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- 2026年04月21日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今日内容主要集中在【社会民生】【科技产业】【国际关系】等。核心议题包括：①校园食品安全与信任重建②AI巨头竞争与行业治理③国际政局变动与内部博弈</w:t>
      </w:r>
    </w:p>
    <w:p>
      <w:pPr>
        <w:spacing w:after="300"/>
        <w:jc w:val="center"/>
      </w:pPr>
      <w:r>
        <w:rPr>
          <w:rFonts w:ascii="微软雅黑" w:hAnsi="微软雅黑" w:eastAsia="微软雅黑"/>
          <w:color w:val="808080"/>
          <w:sz w:val="18"/>
        </w:rPr>
        <w:t>═══════════════════════════════════════════════════════════════════════</w:t>
      </w:r>
    </w:p>
    <w:p>
      <w:pPr>
        <w:spacing w:before="300" w:after="200"/>
      </w:pPr>
      <w:r>
        <w:rPr>
          <w:rFonts w:ascii="微软雅黑" w:hAnsi="微软雅黑" w:eastAsia="微软雅黑"/>
          <w:b/>
          <w:color w:val="000000"/>
          <w:sz w:val="32"/>
        </w:rPr>
        <w:br/>
        <w:t>【国际局势与地缘政治】</w:t>
      </w:r>
    </w:p>
    <w:p>
      <w:pPr>
        <w:spacing w:after="120"/>
      </w:pPr>
      <w:r>
        <w:rPr>
          <w:rFonts w:ascii="微软雅黑" w:hAnsi="微软雅黑" w:eastAsia="微软雅黑"/>
          <w:b/>
          <w:sz w:val="24"/>
        </w:rPr>
        <w:t>一、【匈牙利执政党大选失利，欧尔班承认败选】</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发布时间：2026-04-21 00:00:00</w:t>
      </w:r>
    </w:p>
    <w:p>
      <w:pPr>
        <w:spacing w:after="120"/>
        <w:jc w:val="both"/>
      </w:pPr>
      <w:r>
        <w:rPr>
          <w:rFonts w:ascii="微软雅黑" w:hAnsi="微软雅黑" w:eastAsia="微软雅黑"/>
          <w:sz w:val="21"/>
        </w:rPr>
        <w:t xml:space="preserve">         内容摘要：2026年4月12日深夜，匈牙利布达佩斯多瑙河沿岸出现庆祝人群。欧尔班·维克托在电话中向对手马扎尔·彼得表示祝贺，随后向支持者承认选举结果“令人痛苦”。根据选举结果，蒂萨党以53.69%的得票率战胜了得票率为37.72%的对手，赢得了国会199个席位中的138席，达到了可以修改宪法的超级多数。这意味着一个持续了16年的政治强人时代告一段落。</w:t>
      </w:r>
    </w:p>
    <w:p>
      <w:pPr>
        <w:spacing w:after="240"/>
      </w:pPr>
      <w:r>
        <w:rPr>
          <w:rFonts w:ascii="微软雅黑" w:hAnsi="微软雅黑" w:eastAsia="微软雅黑"/>
          <w:sz w:val="21"/>
        </w:rPr>
        <w:t xml:space="preserve">         文章链接：</w:t>
      </w:r>
      <w:r>
        <w:rPr>
          <w:color w:val="0000FF"/>
        </w:rPr>
        <w:t>http://mp.weixin.qq.com/s?__biz=MzA3ODI5NDg0Mw==&amp;mid=2654254245&amp;idx=1&amp;sn=6cdf716a67d0fc6927c4f000bc816d30&amp;chksm=8546848ff53a0801b5ec265b551fcf35cd63ce03c8017e9810bc4e5ddff01d86aecdefa8253c&amp;scene=0#rd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二、【伊朗对外政策反复无常，暴露内部温和派与强硬派深刻分裂】</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发布时间：2026-04-20 14:21:30</w:t>
      </w:r>
    </w:p>
    <w:p>
      <w:pPr>
        <w:spacing w:after="120"/>
        <w:jc w:val="both"/>
      </w:pPr>
      <w:r>
        <w:rPr>
          <w:rFonts w:ascii="微软雅黑" w:hAnsi="微软雅黑" w:eastAsia="微软雅黑"/>
          <w:sz w:val="21"/>
        </w:rPr>
        <w:t xml:space="preserve">         内容摘要：据卡塔尔半岛电视台报道，伊朗议会相关委员会主席表示将继续与美国谈判，但不会不惜一切代价。这一表态引发外界对伊朗政策走向的困惑。此前，伊朗外长宣布全面开放霍尔木兹海峡，释放缓和信号，国际油价随之大幅下跌。然而24小时内，伊朗革命卫队直接推翻该决定，宣称海峡从未开放，并对过往油轮采取强硬行动，要求船只通行需经军方审批。  在对美谈判议题上，伊朗政府积极释放谈判意愿，力求通过外交缓解制裁压力、改善经济困境。但保守势力及军方高层接连发出强硬言论，拒绝在核心利益上让步，甚至否定谈判可行性。这种前后矛盾的政策走向，暴露了国内温和派与强硬派、文官政府与军事力量之间的矛盾。  文章分析指出，以总统和外交部门为代表的文官体系，着眼于纾解经济与民生压力，希望融入国际社会，倾向于缓和务实的对外政策。而以伊斯兰革命卫队为核心的强硬势力，掌控军事和经济关键领域，恪守对美强硬立场，反对任何妥协，因为开放融入外部世界会损害其既得利益。两派力量相互制衡掣肘，导致对外决策无法形成统一意志，呈现反复无常状态。文章认为，稳定连贯的外交策略有赖于内部团结，伊朗当下的外交摇摆是其内部权力结构失衡与分裂的外在表现。</w:t>
      </w:r>
    </w:p>
    <w:p>
      <w:pPr>
        <w:spacing w:after="240"/>
      </w:pPr>
      <w:r>
        <w:rPr>
          <w:rFonts w:ascii="微软雅黑" w:hAnsi="微软雅黑" w:eastAsia="微软雅黑"/>
          <w:sz w:val="21"/>
        </w:rPr>
        <w:t xml:space="preserve">         文章链接：</w:t>
      </w:r>
      <w:r>
        <w:rPr>
          <w:color w:val="0000FF"/>
        </w:rPr>
        <w:t>https://mp.weixin.qq.com/s/0qlkeVaUwFfPIzUKBc1chw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三、【巴拿马总统称无意与中国摩擦，望紧张局势降温】</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发布时间：2026-04-20 19:26:00</w:t>
      </w:r>
    </w:p>
    <w:p>
      <w:pPr>
        <w:spacing w:after="120"/>
        <w:jc w:val="both"/>
      </w:pPr>
      <w:r>
        <w:rPr>
          <w:rFonts w:ascii="微软雅黑" w:hAnsi="微软雅黑" w:eastAsia="微软雅黑"/>
          <w:sz w:val="21"/>
        </w:rPr>
        <w:t xml:space="preserve">         内容摘要：巴拿马总统穆利诺在巴尔博亚港对全球媒体表示，“我们无意与中国发生摩擦”，并希望紧张局势能够降温，以使政治关系恢复常态。这一表态被外界视为巴拿马“认怂”，并让全世界发现得罪中国的后果可能很严重。文章指出，穆利诺的此番言论若在几个月前说出，将令人难以置信。</w:t>
      </w:r>
    </w:p>
    <w:p>
      <w:pPr>
        <w:spacing w:after="240"/>
      </w:pPr>
      <w:r>
        <w:rPr>
          <w:rFonts w:ascii="微软雅黑" w:hAnsi="微软雅黑" w:eastAsia="微软雅黑"/>
          <w:sz w:val="21"/>
        </w:rPr>
        <w:t xml:space="preserve">         文章链接：</w:t>
      </w:r>
      <w:r>
        <w:rPr>
          <w:color w:val="0000FF"/>
        </w:rPr>
        <w:t>http://mp.weixin.qq.com/s?__biz=MzYyMTU4OTg5Mg==&amp;mid=2247659768&amp;idx=1&amp;sn=745bfd80481e2e498449bd568478b156&amp;chksm=fe2de0485637860a49d1b88725053143ab17bef969491fe2e6d013a28dc8c46a0627abc0cccd&amp;scene=0#rd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四、【北京中医药大学与土库曼斯坦高校共建中医药中心，获两国副总理见证】</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发布时间：2026-04-20 18:00:00</w:t>
      </w:r>
    </w:p>
    <w:p>
      <w:pPr>
        <w:spacing w:after="120"/>
        <w:jc w:val="both"/>
      </w:pPr>
      <w:r>
        <w:rPr>
          <w:rFonts w:ascii="微软雅黑" w:hAnsi="微软雅黑" w:eastAsia="微软雅黑"/>
          <w:sz w:val="21"/>
        </w:rPr>
        <w:t xml:space="preserve">         内容摘要：4月15日至17日，北京中医药大学校长唐志书率团访问土库曼斯坦，与土库曼斯坦迈拉特·加里耶夫国立医科大学签署了共建中医药中心的合作谅解备忘录，并揭牌成立了中医药中心-中医教室。此次合作的重要环节发生在中土合作委员会第七次会议期间，双方的合作文件交换签署仪式，是在中共中央政治局常委、国务院副总理丁薛祥与土库曼斯坦副总理兼外长梅列多夫的共同见证下完成的。</w:t>
      </w:r>
    </w:p>
    <w:p>
      <w:pPr>
        <w:spacing w:after="240"/>
      </w:pPr>
      <w:r>
        <w:rPr>
          <w:rFonts w:ascii="微软雅黑" w:hAnsi="微软雅黑" w:eastAsia="微软雅黑"/>
          <w:sz w:val="21"/>
        </w:rPr>
        <w:t xml:space="preserve">         文章链接：</w:t>
      </w:r>
      <w:r>
        <w:rPr>
          <w:color w:val="0000FF"/>
        </w:rPr>
        <w:t>http://mp.weixin.qq.com/s?__biz=MzAwMDExNDgxNQ==&amp;mid=2650343914&amp;idx=1&amp;sn=651bcfa5bddf3da0f9e9997aca365f19&amp;chksm=83979183433ac9a5d33fc5a00aa2115119d86bb7a9fa883d74e9159520110af92ef5536d2392&amp;scene=0#rd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五、【全球南方国家危机应对中领导作用增强，世界正学着绕开美国行事】</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发布时间：2026-04-20 17:30:00</w:t>
      </w:r>
    </w:p>
    <w:p>
      <w:pPr>
        <w:spacing w:after="120"/>
        <w:jc w:val="both"/>
      </w:pPr>
      <w:r>
        <w:rPr>
          <w:rFonts w:ascii="微软雅黑" w:hAnsi="微软雅黑" w:eastAsia="微软雅黑"/>
          <w:sz w:val="21"/>
        </w:rPr>
        <w:t xml:space="preserve">         内容摘要：随着美国霸权主义的衰落，全球南方国家正在危机应对中发挥越来越重要的领导作用。一个多极化的世界正在形成，各国不再仅仅依赖美国主导的解决方案，而是通过南南合作、区域组织和新的多边平台来应对挑战。这一趋势在气候变化、公共卫生和金融稳定等领域表现得尤为明显。  文章作者佩德罗·阿布拉莫维指出，这种转变意味着国际决策过程变得更加分散和包容。全球南方国家正利用其集体力量和新兴机构，在全球治理中争取更大的话语权和自主性。这一进程反映了国际权力结构的深刻变化，以及各国寻求在美国影响力之外建立替代性合作框架的努力。</w:t>
      </w:r>
    </w:p>
    <w:p>
      <w:pPr>
        <w:spacing w:after="240"/>
      </w:pPr>
      <w:r>
        <w:rPr>
          <w:rFonts w:ascii="微软雅黑" w:hAnsi="微软雅黑" w:eastAsia="微软雅黑"/>
          <w:sz w:val="21"/>
        </w:rPr>
        <w:t xml:space="preserve">         文章链接：</w:t>
      </w:r>
      <w:r>
        <w:rPr>
          <w:color w:val="0000FF"/>
        </w:rPr>
        <w:t>http://mp.weixin.qq.com/s?__biz=MzA4NDMwNDM3Mg==&amp;mid=2650286934&amp;idx=1&amp;sn=b333e95def15826c826cd923715f48c7&amp;chksm=87e5c3cdb0924adbd0d42aaa047f48aa7433c89472395e36957129e858569f0b9cd3150bf06a#rd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六、【美国政策负面效应显现，东南亚大国认知转向稳定与可预期性】</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发布时间：2026-04-20 17:30:00</w:t>
      </w:r>
    </w:p>
    <w:p>
      <w:pPr>
        <w:spacing w:after="120"/>
        <w:jc w:val="both"/>
      </w:pPr>
      <w:r>
        <w:rPr>
          <w:rFonts w:ascii="微软雅黑" w:hAnsi="微软雅黑" w:eastAsia="微软雅黑"/>
          <w:sz w:val="21"/>
        </w:rPr>
        <w:t xml:space="preserve">         内容摘要：美国当前对东南亚的政策正在产生多重负面效应。未来，东南亚国家对大国的认知与选择将围绕稳定性、可预期性与发展收益三大核心标准展开。如果美国难以调整其竞争对抗、自顾利己的对外政策，其在东南亚地区的影响力恐将继续面临下滑压力。</w:t>
      </w:r>
    </w:p>
    <w:p>
      <w:pPr>
        <w:spacing w:after="240"/>
      </w:pPr>
      <w:r>
        <w:rPr>
          <w:rFonts w:ascii="微软雅黑" w:hAnsi="微软雅黑" w:eastAsia="微软雅黑"/>
          <w:sz w:val="21"/>
        </w:rPr>
        <w:t xml:space="preserve">         文章链接：</w:t>
      </w:r>
      <w:r>
        <w:rPr>
          <w:color w:val="0000FF"/>
        </w:rPr>
        <w:t>http://mp.weixin.qq.com/s?__biz=MzA4NDMwNDM3Mg==&amp;mid=2650286934&amp;idx=2&amp;sn=4929ca873cdc8fd4d4c679b9569e5381&amp;chksm=87e5c3cdb0924adbb3d0c1cd98fde6f4a9632b425119452a0ab8859788cea71fe6b3348cda55#rd</w:t>
      </w:r>
    </w:p>
    <w:p>
      <w:pPr>
        <w:spacing w:before="300" w:after="200"/>
      </w:pPr>
      <w:r>
        <w:rPr>
          <w:rFonts w:ascii="微软雅黑" w:hAnsi="微软雅黑" w:eastAsia="微软雅黑"/>
          <w:b/>
          <w:color w:val="000000"/>
          <w:sz w:val="32"/>
        </w:rPr>
        <w:br/>
        <w:t>【宏观经济与金融】</w:t>
      </w:r>
    </w:p>
    <w:p>
      <w:pPr>
        <w:spacing w:after="120"/>
      </w:pPr>
      <w:r>
        <w:rPr>
          <w:rFonts w:ascii="微软雅黑" w:hAnsi="微软雅黑" w:eastAsia="微软雅黑"/>
          <w:b/>
          <w:sz w:val="24"/>
        </w:rPr>
        <w:t>一、【GDP增长5%背后：企业盈利与个人体感错位，结构性修复特征明显】</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发布时间：2026-04-20 12:50:00</w:t>
      </w:r>
    </w:p>
    <w:p>
      <w:pPr>
        <w:spacing w:after="120"/>
        <w:jc w:val="both"/>
      </w:pPr>
      <w:r>
        <w:rPr>
          <w:rFonts w:ascii="微软雅黑" w:hAnsi="微软雅黑" w:eastAsia="微软雅黑"/>
          <w:sz w:val="21"/>
        </w:rPr>
        <w:t xml:space="preserve">         内容摘要：一季度GDP同比增长5.0%，工业、服务业修复，出口与制造业保持韧性。但宏观数据与个人体感出现错位：企业恢复、数据走高，而个人收入改善有限、消费谨慎，资本市场指数修复但个股分化。  本轮增长呈现结构性修复特征，由工业和出口拉动，逐步向就业传导，最后才可能影响居民收入和消费。增长具体流向装备制造、高技术制造及新能源车、锂电池、光伏等出口领域。有锂业从业者反映公司扭亏为盈、工作更忙，但工资未明显上涨。基建和政府投资是重要支撑，但投资带来的就业需求集中在少数行业，且自动化程度高，导致企业净利润上升而员工福利与招聘需求未同步大涨。楼市仅在一线及部分强二线城市出现局部“小阳春”，全国房地产投资仍处调整区间。  下一阶段恢复重点仍是工业中游与设备制造。企业恢复信心会先增加设备和技术投入，就业与工资改善滞后。传统行业恢复较慢。消费完全恢复需满足企业扩张重启、就业持续改善及资产价格稳定三个条件，通常滞后工业复苏6-18个月。  当前消费呈现结构性变化：刚性消费稳定；服务消费快速恢复；Z世代成为消费核心力量，偏好转向体验型、情绪型消费。对投资者而言，当前处于工业修复向就业传导的过渡阶段，企业利润改善但扩张谨慎，用工逻辑向效率提升调整，就业改善尚未形成稳定趋势。市场表现呈阶段轮动，需关注传导节奏与波动节点。</w:t>
      </w:r>
    </w:p>
    <w:p>
      <w:pPr>
        <w:spacing w:after="240"/>
      </w:pPr>
      <w:r>
        <w:rPr>
          <w:rFonts w:ascii="微软雅黑" w:hAnsi="微软雅黑" w:eastAsia="微软雅黑"/>
          <w:sz w:val="21"/>
        </w:rPr>
        <w:t xml:space="preserve">         文章链接：</w:t>
      </w:r>
      <w:r>
        <w:rPr>
          <w:color w:val="0000FF"/>
        </w:rPr>
        <w:t>https://mp.weixin.qq.com/s/pnjUgCwhwVYrVUqeYhX37w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二、【中国变压器等机电产品成外贸新爆款，一季度进出口总值创历史同期新高】</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发布时间：2026-04-20 18:05:00</w:t>
      </w:r>
    </w:p>
    <w:p>
      <w:pPr>
        <w:spacing w:after="120"/>
        <w:jc w:val="both"/>
      </w:pPr>
      <w:r>
        <w:rPr>
          <w:rFonts w:ascii="微软雅黑" w:hAnsi="微软雅黑" w:eastAsia="微软雅黑"/>
          <w:sz w:val="21"/>
        </w:rPr>
        <w:t xml:space="preserve">         内容摘要：今年一季度，中国进出口总值历史同期首次突破11万亿元大关，季度增速达到近五年来的最高水平。在出口产品中，附加值高的机电产品占比超过六成，表现突出。其中，智能机器人和变压器成为拉动外贸增长的“新爆款”产品。</w:t>
      </w:r>
    </w:p>
    <w:p>
      <w:pPr>
        <w:spacing w:after="240"/>
      </w:pPr>
      <w:r>
        <w:rPr>
          <w:rFonts w:ascii="微软雅黑" w:hAnsi="微软雅黑" w:eastAsia="微软雅黑"/>
          <w:sz w:val="21"/>
        </w:rPr>
        <w:t xml:space="preserve">         文章链接：</w:t>
      </w:r>
      <w:r>
        <w:rPr>
          <w:color w:val="0000FF"/>
        </w:rPr>
        <w:t>http://mp.weixin.qq.com/s?__biz=MzI5MDQxNzE1NQ==&amp;mid=2247515437&amp;idx=1&amp;sn=559751ad1cc60ee173ccbe9e5700e791&amp;chksm=ed28cea4e4c3e43e68be491d0e80dfe352d5f23e3547667597b95509b4d53608c9a984e158b4&amp;scene=0#rd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三、【中央一揽子化债方案落地，12万亿资源化解地方隐性债务】</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发布时间：2026-04-20 02:46:56</w:t>
      </w:r>
    </w:p>
    <w:p>
      <w:pPr>
        <w:spacing w:after="120"/>
        <w:jc w:val="both"/>
      </w:pPr>
      <w:r>
        <w:rPr>
          <w:rFonts w:ascii="微软雅黑" w:hAnsi="微软雅黑" w:eastAsia="微软雅黑"/>
          <w:sz w:val="21"/>
        </w:rPr>
        <w:t xml:space="preserve">         内容摘要：文章介绍了中国为构建政府债务管理长效机制、化解政府债务所采取的措施，重点阐述了一揽子化债方案的内容与影响。该方案包括三项核心举措：增加6万亿元地方政府债务限额分3年置换存量隐性债务；连续5年每年安排8000亿元新增专项债券用于化债，累计置换4万亿元；对2029年及以后到期的2万亿元棚改隐性债务按原合同偿还。这三项总计可化解12万亿元地方隐性债务。  文章指出，对于2023年末总量14.3万亿元的地方隐性债务，此计划意味着到2028年底前地方政府仅需直接化解2.3万亿元，大大减轻了化债压力。通过用利率较低的法定债务置换隐性债务，预计5年可节约利息6000亿元，缓解了地方短期偿债压力。方案不仅化解存量债务，也坚决遏制新增隐性债务，并促进了金融机构资产质量的提升。  文章进一步分析了政府债务管理面临的多重结构性难题，包括债务的认识定位、地方政府与国企债务的区分、存量与增量的关系、央地责任划分、专项债券项目可行性、财政可承受能力评估以及全口径债务管理等。最后，文章提出了构建长效机制的着力点，包括做好债务管理基础工作、优化央地债务结构、强化源头治理、加强法定债务管理、建立全口径监测监管体系以及加快地方融资平台改革转型。</w:t>
      </w:r>
    </w:p>
    <w:p>
      <w:pPr>
        <w:spacing w:after="240"/>
      </w:pPr>
      <w:r>
        <w:rPr>
          <w:rFonts w:ascii="微软雅黑" w:hAnsi="微软雅黑" w:eastAsia="微软雅黑"/>
          <w:sz w:val="21"/>
        </w:rPr>
        <w:t xml:space="preserve">         文章链接：</w:t>
      </w:r>
      <w:r>
        <w:rPr>
          <w:color w:val="0000FF"/>
        </w:rPr>
        <w:t>https://mp.weixin.qq.com/s/-ootrKrAKv5-_eDb-qw9Rw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四、【陕企源杰科技股价飙至1445元，以6亿营收登顶A股“新股王”】</w:t>
      </w:r>
    </w:p>
    <w:p>
      <w:pPr>
        <w:spacing w:after="120"/>
      </w:pPr>
      <w:r>
        <w:rPr>
          <w:rFonts w:ascii="微软雅黑" w:hAnsi="微软雅黑" w:eastAsia="微软雅黑"/>
          <w:sz w:val="21"/>
        </w:rPr>
        <w:t xml:space="preserve">         来源：牲产队</w:t>
      </w:r>
    </w:p>
    <w:p>
      <w:pPr>
        <w:spacing w:after="120"/>
      </w:pPr>
      <w:r>
        <w:rPr>
          <w:rFonts w:ascii="微软雅黑" w:hAnsi="微软雅黑" w:eastAsia="微软雅黑"/>
          <w:sz w:val="21"/>
        </w:rPr>
        <w:t xml:space="preserve">         发布时间：2026-04-20 16:48:00</w:t>
      </w:r>
    </w:p>
    <w:p>
      <w:pPr>
        <w:spacing w:after="120"/>
        <w:jc w:val="both"/>
      </w:pPr>
      <w:r>
        <w:rPr>
          <w:rFonts w:ascii="微软雅黑" w:hAnsi="微软雅黑" w:eastAsia="微软雅黑"/>
          <w:sz w:val="21"/>
        </w:rPr>
        <w:t xml:space="preserve">         内容摘要：4月17日收盘，陕西源杰半导体科技股份有限公司股价飙升至1445元，超越贵州茅台，加冕A股“新股王”。该公司年度营收仅6亿元，但其市值已达千亿级别，股价在过去一年内暴涨了1500%。进入2025年以来，包括寒武纪、源杰科技在内的多家科技股已接连跻身千元股行列。</w:t>
      </w:r>
    </w:p>
    <w:p>
      <w:pPr>
        <w:spacing w:after="240"/>
      </w:pPr>
      <w:r>
        <w:rPr>
          <w:rFonts w:ascii="微软雅黑" w:hAnsi="微软雅黑" w:eastAsia="微软雅黑"/>
          <w:sz w:val="21"/>
        </w:rPr>
        <w:t xml:space="preserve">         文章链接：</w:t>
      </w:r>
      <w:r>
        <w:rPr>
          <w:color w:val="0000FF"/>
        </w:rPr>
        <w:t>http://mp.weixin.qq.com/s?__biz=MzkzODU2OTk1Mg==&amp;mid=2247533802&amp;idx=1&amp;sn=1befe11420b8522fa516ac1ccd56f401&amp;chksm=c337ee1dcb74ffcd9620eec42a449f3c764b0a3201825807323b360ca5e1559d7b679d93c58f&amp;scene=0#rd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五、【巴菲特持仓透明度高却难“抄作业”，核心障碍在于“拿不住”】</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发布时间：2026-04-20 12:00:00</w:t>
      </w:r>
    </w:p>
    <w:p>
      <w:pPr>
        <w:spacing w:after="120"/>
        <w:jc w:val="both"/>
      </w:pPr>
      <w:r>
        <w:rPr>
          <w:rFonts w:ascii="微软雅黑" w:hAnsi="微软雅黑" w:eastAsia="微软雅黑"/>
          <w:sz w:val="21"/>
        </w:rPr>
        <w:t xml:space="preserve">         内容摘要：尽管巴菲特的持仓透明度全球最高，但几乎没人能通过复制他的持仓赚大钱。问题并非人们不相信他，而在于投资者不理解他买入的原因，更不知道他计划持有多久。其结果是，即便跟进了，也往往“拿不住”。  文章以巴菲特2016年重仓买入苹果为例。即便有投资者当时跟进买入，在2018年苹果股价下跌40%的过程中，他们也很有可能在股价下跌30%时就选择卖出止损，而无法像巴菲特那样长期持有。</w:t>
      </w:r>
    </w:p>
    <w:p>
      <w:pPr>
        <w:spacing w:after="240"/>
      </w:pPr>
      <w:r>
        <w:rPr>
          <w:rFonts w:ascii="微软雅黑" w:hAnsi="微软雅黑" w:eastAsia="微软雅黑"/>
          <w:sz w:val="21"/>
        </w:rPr>
        <w:t xml:space="preserve">         文章链接：</w:t>
      </w:r>
      <w:r>
        <w:rPr>
          <w:color w:val="0000FF"/>
        </w:rPr>
        <w:t>http://mp.weixin.qq.com/s?__biz=MzYyMTU4OTg5Mg==&amp;mid=2247659752&amp;idx=1&amp;sn=d56ef0889dc8771a588adde2660be930&amp;chksm=fe05712f5ea3a2e74a243425f0442721e837844b355b4e60938ba0ea7a6118af94b60c082ac9&amp;scene=0#rd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六、【物业公司掀起“退出潮”：多家企业主动撤离低效项目，累计退出规模超千万平方米】</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发布时间：2026-04-20 22:01:00</w:t>
      </w:r>
    </w:p>
    <w:p>
      <w:pPr>
        <w:spacing w:after="120"/>
        <w:jc w:val="both"/>
      </w:pPr>
      <w:r>
        <w:rPr>
          <w:rFonts w:ascii="微软雅黑" w:hAnsi="微软雅黑" w:eastAsia="微软雅黑"/>
          <w:sz w:val="21"/>
        </w:rPr>
        <w:t xml:space="preserve">         内容摘要：最近，部分物业企业退出小区服务的消息引发关注。据媒体报道，主动从低效项目退出，已成为2025年物业企业的普遍动作。具体而言，碧桂园服务、中海物业、彩生活、永升服务和世茂服务这五家企业，累计退出的管理规模已超过千万平方米。此外，还有更多物业公司主动退出的规模也达到了百万平方米级别。这一现象表明，物业行业正在经历一轮主动的战略收缩与项目优化调整。</w:t>
      </w:r>
    </w:p>
    <w:p>
      <w:pPr>
        <w:spacing w:after="240"/>
      </w:pPr>
      <w:r>
        <w:rPr>
          <w:rFonts w:ascii="微软雅黑" w:hAnsi="微软雅黑" w:eastAsia="微软雅黑"/>
          <w:sz w:val="21"/>
        </w:rPr>
        <w:t xml:space="preserve">         文章链接：</w:t>
      </w:r>
      <w:r>
        <w:rPr>
          <w:color w:val="0000FF"/>
        </w:rPr>
        <w:t>http://mp.weixin.qq.com/s?__biz=MTQzMjE1NjQwMQ==&amp;mid=2656166678&amp;idx=4&amp;sn=b3447a1cc24fe92e4063b389eb552987&amp;chksm=677b5f164e5b6223eb6b19480e5f1a84acd9226c4bc0707f0fc742b3ff598439e21f27f80451&amp;scene=0#rd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七、【5年期以上LPR连续11个月未降，市场盼降息缓解房贷压力】</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发布时间：2026-04-20 16:53:00</w:t>
      </w:r>
    </w:p>
    <w:p>
      <w:pPr>
        <w:spacing w:after="120"/>
        <w:jc w:val="both"/>
      </w:pPr>
      <w:r>
        <w:rPr>
          <w:rFonts w:ascii="微软雅黑" w:hAnsi="微软雅黑" w:eastAsia="微软雅黑"/>
          <w:sz w:val="21"/>
        </w:rPr>
        <w:t xml:space="preserve">         内容摘要：本月5年期以上贷款市场报价利率（LPR）仍未下调。自去年5月以来，该利率已连续11个月维持在3.5%的水平。这一现状直接反映了当前楼市中的一个突出矛盾：整个市场都在期待LPR能够下调。  期待主要来自两类人群：一类是在高利率时期“高位上车”的存量房贷业主，他们希望通过降息来减轻每月的月供还款压力；另一类是准备“上车”的刚需购房者，他们期盼利率进一步下降，从而能够减少借贷负担。</w:t>
      </w:r>
    </w:p>
    <w:p>
      <w:pPr>
        <w:spacing w:after="240"/>
      </w:pPr>
      <w:r>
        <w:rPr>
          <w:rFonts w:ascii="微软雅黑" w:hAnsi="微软雅黑" w:eastAsia="微软雅黑"/>
          <w:sz w:val="21"/>
        </w:rPr>
        <w:t xml:space="preserve">         文章链接：</w:t>
      </w:r>
      <w:r>
        <w:rPr>
          <w:color w:val="0000FF"/>
        </w:rPr>
        <w:t>http://mp.weixin.qq.com/s?__biz=Mzg3NTkwNTcyOQ==&amp;mid=2247489295&amp;idx=1&amp;sn=368e41fd46f688b8981667ee3ef0effd&amp;chksm=ce6d0b6d64dd93ac508b7eb303e55089d341aa6d514d12d085d0d9f27c43886e2b12f7c889a5&amp;scene=0#rd</w:t>
      </w:r>
    </w:p>
    <w:p>
      <w:pPr>
        <w:spacing w:before="300" w:after="200"/>
      </w:pPr>
      <w:r>
        <w:rPr>
          <w:rFonts w:ascii="微软雅黑" w:hAnsi="微软雅黑" w:eastAsia="微软雅黑"/>
          <w:b/>
          <w:color w:val="000000"/>
          <w:sz w:val="32"/>
        </w:rPr>
        <w:br/>
        <w:t>【文化娱乐内容】</w:t>
      </w:r>
    </w:p>
    <w:p>
      <w:pPr>
        <w:spacing w:after="120"/>
      </w:pPr>
      <w:r>
        <w:rPr>
          <w:rFonts w:ascii="微软雅黑" w:hAnsi="微软雅黑" w:eastAsia="微软雅黑"/>
          <w:b/>
          <w:sz w:val="24"/>
        </w:rPr>
        <w:t>一、【古偶剧“粉底液将军”遭批，何润东版“西楚霸王”14年后翻红】</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发布时间：2026-04-20 05:11:40</w:t>
      </w:r>
    </w:p>
    <w:p>
      <w:pPr>
        <w:spacing w:after="120"/>
        <w:jc w:val="both"/>
      </w:pPr>
      <w:r>
        <w:rPr>
          <w:rFonts w:ascii="微软雅黑" w:hAnsi="微软雅黑" w:eastAsia="微软雅黑"/>
          <w:sz w:val="21"/>
        </w:rPr>
        <w:t xml:space="preserve">         内容摘要：2026年，古装偶像剧《逐玉》热播，剧中由张凌赫饰演的“武安侯”将军因妆容过度精致、皮肤白皙，被网友戏称为“粉底液将军”。官媒“钧正平工作室”罕见下场批评，指出“古装剧里涂脂抹粉的‘将军’，承载不起塑造阳刚之气的社会责任”，浙江宣传等媒体也批评古装剧过度柔化。在此批评浪潮中，网友翻出演员何润东在2012年《楚汉传奇》中饰演的项羽形象，其满脸尘土、血污斑斑，眼神充满杀伐之气。为演此角色，何润东曾提前7个月增肌至190斤，在零下17度的片场光膀子拍戏，重感冒仍拒用替身。  对比之下，何润东迅速翻红，其抖音粉丝在30天内狂涨176万，相关视频播放量超12亿，半个月内狂揽6个商务广告。受此热度影响，宿迁文旅在2026年江苏省城市足球联赛宿迁队对阵南京队的主场比赛中，邀请何润东以“西楚霸王”造型登场。何润东身披重约25斤的复刻战甲，驾战车绕场，并带领“乌骓应援队”，引发全场近3万名观众沸腾。宿迁队最终以2:0战胜南京队。何润东在回应为何不骑马时坦言自己已50多岁，不愿冒险破坏角色形象，这份坦诚获得网友好感。  事件被视作观众对“精修磨皮”审美疲劳后，市场回归实力评判标准的体现。文章同时提及老牌艺人陈宝国、李雪健为角色付出的例子，认为行业正经历一场去伪存真的洗礼。</w:t>
      </w:r>
    </w:p>
    <w:p>
      <w:pPr>
        <w:spacing w:after="240"/>
      </w:pPr>
      <w:r>
        <w:rPr>
          <w:rFonts w:ascii="微软雅黑" w:hAnsi="微软雅黑" w:eastAsia="微软雅黑"/>
          <w:sz w:val="21"/>
        </w:rPr>
        <w:t xml:space="preserve">         文章链接：</w:t>
      </w:r>
      <w:r>
        <w:rPr>
          <w:color w:val="0000FF"/>
        </w:rPr>
        <w:t>https://mp.weixin.qq.com/s/w4EQF9KTKcq2ppoV9aEHEw</w:t>
      </w:r>
    </w:p>
    <w:p>
      <w:pPr>
        <w:spacing w:before="300" w:after="200"/>
      </w:pPr>
      <w:r>
        <w:rPr>
          <w:rFonts w:ascii="微软雅黑" w:hAnsi="微软雅黑" w:eastAsia="微软雅黑"/>
          <w:b/>
          <w:color w:val="000000"/>
          <w:sz w:val="32"/>
        </w:rPr>
        <w:br/>
        <w:t>【科技产业动态与创新】</w:t>
      </w:r>
    </w:p>
    <w:p>
      <w:pPr>
        <w:spacing w:after="120"/>
      </w:pPr>
      <w:r>
        <w:rPr>
          <w:rFonts w:ascii="微软雅黑" w:hAnsi="微软雅黑" w:eastAsia="微软雅黑"/>
          <w:b/>
          <w:sz w:val="24"/>
        </w:rPr>
        <w:t>一、【字节跳动净利润“下滑”主因会计调整，新兴AI投入影响实际利润率】</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发布时间：2026-04-20 16:10:13</w:t>
      </w:r>
    </w:p>
    <w:p>
      <w:pPr>
        <w:spacing w:after="120"/>
        <w:jc w:val="both"/>
      </w:pPr>
      <w:r>
        <w:rPr>
          <w:rFonts w:ascii="微软雅黑" w:hAnsi="微软雅黑" w:eastAsia="微软雅黑"/>
          <w:sz w:val="21"/>
        </w:rPr>
        <w:t xml:space="preserve">         内容摘要：抖音集团副总裁李亮澄清，关于字节跳动2025年净利润下滑超70%的报道，是基于国际会计准则的数字，其中包含了优先股和期权成本变动的会计因素，并不反映运营实质。字节跳动作为未上市公司，其发行的优先股按IFRS准则被计为金融负债，公司估值上升会导致优先股账面价值增加并计入当期亏损；员工期权激励的价值也会随估值上涨而增加，并摊销为费用。这些均为账面调整，资金并未实际流出。  李亮同时承认，下半年经营利润率有小幅下滑，原因一是抖音电商增速放缓，二是对新兴业务（主要是AI）的投入大幅增加。字节跳动在算力、模型等AI基础设施上的资本开支明显加大。若不考虑会计因素，公司整体营收和利润仍在增长，TikTok电商与新业务趋势较好。此前市场传闻的净利润具体数字偏差较大。  文章认为，字节跳动的赚钱能力在行业中仍处前列，2026年预计继续保持领先。其在AI产品上的市占率与商业化目前领先明显，但大模型的商业化路径与回报周期尚不清晰。当前，抖音电商这一成熟但增速放缓的业务，正支撑着回报周期较长的AI新业务。文章末尾提及，坊间称字节跳动为“恒生科技最强空头”。</w:t>
      </w:r>
    </w:p>
    <w:p>
      <w:pPr>
        <w:spacing w:after="240"/>
      </w:pPr>
      <w:r>
        <w:rPr>
          <w:rFonts w:ascii="微软雅黑" w:hAnsi="微软雅黑" w:eastAsia="微软雅黑"/>
          <w:sz w:val="21"/>
        </w:rPr>
        <w:t xml:space="preserve">         文章链接：</w:t>
      </w:r>
      <w:r>
        <w:rPr>
          <w:color w:val="0000FF"/>
        </w:rPr>
        <w:t>https://mp.weixin.qq.com/s/-1lQBfea43TnaZhjbf-xvw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二、【爱奇艺发布AI艺人库引争议，张若昀工作室称未授权】</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发布时间：2026-04-21 00:00:00</w:t>
      </w:r>
    </w:p>
    <w:p>
      <w:pPr>
        <w:spacing w:after="120"/>
        <w:jc w:val="both"/>
      </w:pPr>
      <w:r>
        <w:rPr>
          <w:rFonts w:ascii="微软雅黑" w:hAnsi="微软雅黑" w:eastAsia="微软雅黑"/>
          <w:sz w:val="21"/>
        </w:rPr>
        <w:t xml:space="preserve">         内容摘要：4月20日，爱奇艺在2026爱奇艺世界大会上发布了“纳逗Pro艺人库”，并宣布已有100多位深度合作艺人同意入驻。爱奇艺CEO龚宇在活动中表示“未来真人实拍可能会成非遗”，这一言论引发了公众讨论。然而，在此消息公布后，演员张若昀的工作室公开发文否认，称“没签过任何AI相关”协议。事件显示出爱奇艺宣称的艺人合作情况与部分艺人方的公开表态存在出入。</w:t>
      </w:r>
    </w:p>
    <w:p>
      <w:pPr>
        <w:spacing w:after="240"/>
      </w:pPr>
      <w:r>
        <w:rPr>
          <w:rFonts w:ascii="微软雅黑" w:hAnsi="微软雅黑" w:eastAsia="微软雅黑"/>
          <w:sz w:val="21"/>
        </w:rPr>
        <w:t xml:space="preserve">         文章链接：</w:t>
      </w:r>
      <w:r>
        <w:rPr>
          <w:color w:val="0000FF"/>
        </w:rPr>
        <w:t>http://mp.weixin.qq.com/s?__biz=MzA5ODU2MDIxMQ==&amp;mid=2653636591&amp;idx=1&amp;sn=52092c5bcc4b0d173308246d2e3a36a0&amp;chksm=8a84c05f98f9d6585719fc26543218abbd10ab84bbf93a08afd95e8752518107dcc0a1cee088&amp;scene=0#rd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三、【硅谷AI三巨头罕见联手，组建“前沿模型论坛”应对对抗性蒸馏】</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发布时间：2026-04-21 00:00:00</w:t>
      </w:r>
    </w:p>
    <w:p>
      <w:pPr>
        <w:spacing w:after="120"/>
        <w:jc w:val="both"/>
      </w:pPr>
      <w:r>
        <w:rPr>
          <w:rFonts w:ascii="微软雅黑" w:hAnsi="微软雅黑" w:eastAsia="微软雅黑"/>
          <w:sz w:val="21"/>
        </w:rPr>
        <w:t xml:space="preserve">         内容摘要：根据彭博社报道，硅谷人工智能领域的三大公司——OpenAI、Anthropic和谷歌——近期罕见地组成了联盟。这三家通常竞争激烈的公司，目前正通过一个名为“前沿模型论坛”的组织进行信息共享。该联盟的主要目的是联手识别和应对所谓的“对抗性蒸馏行为”。文章提及，这一行为的具体定义未被详细解释，但明确指出三巨头的合作旨在共同揪出此类行为。</w:t>
      </w:r>
    </w:p>
    <w:p>
      <w:pPr>
        <w:spacing w:after="240"/>
      </w:pPr>
      <w:r>
        <w:rPr>
          <w:rFonts w:ascii="微软雅黑" w:hAnsi="微软雅黑" w:eastAsia="微软雅黑"/>
          <w:sz w:val="21"/>
        </w:rPr>
        <w:t xml:space="preserve">         文章链接：</w:t>
      </w:r>
      <w:r>
        <w:rPr>
          <w:color w:val="0000FF"/>
        </w:rPr>
        <w:t>http://mp.weixin.qq.com/s?__biz=MzA5NDc1NzQ4MA==&amp;mid=2654654906&amp;idx=4&amp;sn=d0c85240c3d147b8695729527b4f2b9e&amp;chksm=8a48eec32533885a0e2322ef7cde83d64ab757c10ae14f9b60f3d3d47a1381d2f5634bf369ad&amp;scene=0#rd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四、【“龙虾热”降温：OpenClaw从AI生产力代名词到关注度下滑】</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发布时间：2026-04-20 22:01:00</w:t>
      </w:r>
    </w:p>
    <w:p>
      <w:pPr>
        <w:spacing w:after="120"/>
        <w:jc w:val="both"/>
      </w:pPr>
      <w:r>
        <w:rPr>
          <w:rFonts w:ascii="微软雅黑" w:hAnsi="微软雅黑" w:eastAsia="微软雅黑"/>
          <w:sz w:val="21"/>
        </w:rPr>
        <w:t xml:space="preserve">         内容摘要：年初，OpenClaw在中文AI圈和海外开发者社区内被视为新时代AI生产力的代名词。当时，只要对AI稍有耳闻的人，都知道这个被称为“龙虾”的工具，它能在电脑上部署，帮助用户处理盯邮箱、跑日程、读文档、调工具、跨软件干活等任务。然而，文章暗示这股“龙虾热”如今可能已经凉了。</w:t>
      </w:r>
    </w:p>
    <w:p>
      <w:pPr>
        <w:spacing w:after="240"/>
      </w:pPr>
      <w:r>
        <w:rPr>
          <w:rFonts w:ascii="微软雅黑" w:hAnsi="微软雅黑" w:eastAsia="微软雅黑"/>
          <w:sz w:val="21"/>
        </w:rPr>
        <w:t xml:space="preserve">         文章链接：</w:t>
      </w:r>
      <w:r>
        <w:rPr>
          <w:color w:val="0000FF"/>
        </w:rPr>
        <w:t>http://mp.weixin.qq.com/s?__biz=MTQzMjE1NjQwMQ==&amp;mid=2656166678&amp;idx=3&amp;sn=b7b0961594a6ca7216d5d61b2f404106&amp;chksm=673c2f5a3ff37b4fcf28c2f24caa78102f273575a8b12e4af2795dab23dbaecc3ae51c9d3c3f&amp;scene=0#rd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五、【Anthropic二级市场估值短暂突破万亿美元，AI融资圈再亢奋】</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发布时间：2026-04-20 22:01:00</w:t>
      </w:r>
    </w:p>
    <w:p>
      <w:pPr>
        <w:spacing w:after="120"/>
        <w:jc w:val="both"/>
      </w:pPr>
      <w:r>
        <w:rPr>
          <w:rFonts w:ascii="微软雅黑" w:hAnsi="微软雅黑" w:eastAsia="微软雅黑"/>
          <w:sz w:val="21"/>
        </w:rPr>
        <w:t xml:space="preserve">         内容摘要：2026年4月17日，AI融资圈再次亢奋。一张在投资者圈子里疯传的截图显示，Anthropic的隐含估值在Caplight、Ventuals等二级市场和衍生品平台上，悄悄越过了一道线：1万亿美元。这一估值突破是短暂的，但确实发生了。</w:t>
      </w:r>
    </w:p>
    <w:p>
      <w:pPr>
        <w:spacing w:after="240"/>
      </w:pPr>
      <w:r>
        <w:rPr>
          <w:rFonts w:ascii="微软雅黑" w:hAnsi="微软雅黑" w:eastAsia="微软雅黑"/>
          <w:sz w:val="21"/>
        </w:rPr>
        <w:t xml:space="preserve">         文章链接：</w:t>
      </w:r>
      <w:r>
        <w:rPr>
          <w:color w:val="0000FF"/>
        </w:rPr>
        <w:t>http://mp.weixin.qq.com/s?__biz=MTQzMjE1NjQwMQ==&amp;mid=2656166678&amp;idx=1&amp;sn=0adf9a95ad76d9eb3c675667165f40bd&amp;chksm=67e3e6e1d57aca5efe6609a8169f14dfe0b022726eb56b5087cd6ea82326b5cbe142bd4d695c&amp;scene=0#rd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六、【AI浪潮中人文学科价值凸显，被指为算法时代“意义锚点”】</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发布时间：2026-04-20 13:30:00</w:t>
      </w:r>
    </w:p>
    <w:p>
      <w:pPr>
        <w:spacing w:after="120"/>
        <w:jc w:val="both"/>
      </w:pPr>
      <w:r>
        <w:rPr>
          <w:rFonts w:ascii="微软雅黑" w:hAnsi="微软雅黑" w:eastAsia="微软雅黑"/>
          <w:sz w:val="21"/>
        </w:rPr>
        <w:t xml:space="preserve">         内容摘要：在人工智能将工具理性推向极致的时代，人文学科的价值与意义面临重估。文章指出，以“可替代性”衡量人文学科，本质上是将其降格为可被算法模拟的技能组合，而人文学科的目标是培育不可量化的人。当前高等教育领域压缩人文学科经费等现象，是工具理性对教育生态的渗透。当“效率”被奉为圭臬时，追问意义、反思伦理、守护“人之为人”的学问显得步履维艰。  工具理性的膨胀伴随着价值理性的萎缩，而人文学科是价值理性最重要的思想资源。它为算法提供价值坐标的根本参照，例如，伦理学为算法提供道德推理框架，法学划定权利边界，社会学揭示社会后果，哲学追问技术本质与人的尊严。人文学科也为“算法信任”提供伦理基础，法律、伦理学、传播学等为算法信任提供深层人文支撑。  在AI时代，人文学科守护的是人之为人的意义边界，如文学理解他者、历史审视当下、哲学追问存在、艺术滋养感性，这些构成人之为人的最后疆域。文章强调，AI时代呼唤“新文科”崛起，人文教育需在坚守内核的同时借助算法实现范式革新，例如利用主题建模、文本挖掘等技术进行宏观分析。算法偏见、数据隐私等议题本质上是深刻的人文命题，需要将价值理性注入技术发展全过程。人文学科的终极意义在于守护那些无法被编码的能力，并在技术浪潮中保持独立思考。</w:t>
      </w:r>
    </w:p>
    <w:p>
      <w:pPr>
        <w:spacing w:after="240"/>
      </w:pPr>
      <w:r>
        <w:rPr>
          <w:rFonts w:ascii="微软雅黑" w:hAnsi="微软雅黑" w:eastAsia="微软雅黑"/>
          <w:sz w:val="21"/>
        </w:rPr>
        <w:t xml:space="preserve">         文章链接：</w:t>
      </w:r>
      <w:r>
        <w:rPr>
          <w:color w:val="0000FF"/>
        </w:rPr>
        <w:t>https://mp.weixin.qq.com/s/MC80udDZ-XZxS-XqwQ8V0A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七、【北京升级科研诚信治理，人工智能与伦理成新焦点】</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发布时间：2026-04-20 13:30:00</w:t>
      </w:r>
    </w:p>
    <w:p>
      <w:pPr>
        <w:spacing w:after="120"/>
        <w:jc w:val="both"/>
      </w:pPr>
      <w:r>
        <w:rPr>
          <w:rFonts w:ascii="微软雅黑" w:hAnsi="微软雅黑" w:eastAsia="微软雅黑"/>
          <w:sz w:val="21"/>
        </w:rPr>
        <w:t xml:space="preserve">         内容摘要：2026年北京市作风学风与科研诚信建设联席会议召开。会议介绍，去年北京市开展了学术不端撤稿论文专项整治，聚焦论文造假、数据篡改，推动形成全链条整治合力。各单位清理撤稿论文，并对严重失信责任人采取通报批评、取消申报资格等惩戒措施。  随着人工智能深度融入科研全流程，对新型学术不端的管控手段需要升级。北京正着力构建“制度+技术+文化”三位一体的治理新范式。将发挥其人工智能和大数据产业优势，推动人工智能生成内容检测、图像查重、数据溯源等技术工具在高校、院所、医院应用，以技术赋能治理。  北京市将进一步压实各类创新主体的诚信管理主体责任，加强科研诚信与科技伦理制度建设，全面实施科研诚信承诺制，并将科研诚信要求纳入科技评价全过程，对学术不端行为“零容忍”。其中，人工智能等前沿领域将得到重点关注。  今年，北京市将组织研究制定人工智能研发、应用等具体活动的科技伦理规范和通用大模型等前沿技术的伦理审查标准。同时对算法治理及人机融合系统，以及侵入式脑机接口用于神经、精神类疾病治疗的临床研究等科技活动，将进一步做好伦理审查与服务工作。</w:t>
      </w:r>
    </w:p>
    <w:p>
      <w:pPr>
        <w:spacing w:after="240"/>
      </w:pPr>
      <w:r>
        <w:rPr>
          <w:rFonts w:ascii="微软雅黑" w:hAnsi="微软雅黑" w:eastAsia="微软雅黑"/>
          <w:sz w:val="21"/>
        </w:rPr>
        <w:t xml:space="preserve">         文章链接：</w:t>
      </w:r>
      <w:r>
        <w:rPr>
          <w:color w:val="0000FF"/>
        </w:rPr>
        <w:t>https://mp.weixin.qq.com/s/L1Vd8CoG9m5I4UWM-2OMoQ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八、【中国AI公司新偶像：从“中国版OpenAI”转向“中国版Anthropic”】</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发布时间：2026-04-20 18:05:00</w:t>
      </w:r>
    </w:p>
    <w:p>
      <w:pPr>
        <w:spacing w:after="120"/>
        <w:jc w:val="both"/>
      </w:pPr>
      <w:r>
        <w:rPr>
          <w:rFonts w:ascii="微软雅黑" w:hAnsi="微软雅黑" w:eastAsia="微软雅黑"/>
          <w:sz w:val="21"/>
        </w:rPr>
        <w:t xml:space="preserve">         内容摘要：一个微妙但值得注意的变化是，过去两年，中国大模型公司最喜欢讲的故事正在从“做中国版OpenAI”悄悄转向“做中国版Anthropic”。过去，“中国版OpenAI”几乎是行业最体面的自我定位，因为这个说法足够响亮，投资人一听就懂，媒体也容易传播。</w:t>
      </w:r>
    </w:p>
    <w:p>
      <w:pPr>
        <w:spacing w:after="240"/>
      </w:pPr>
      <w:r>
        <w:rPr>
          <w:rFonts w:ascii="微软雅黑" w:hAnsi="微软雅黑" w:eastAsia="微软雅黑"/>
          <w:sz w:val="21"/>
        </w:rPr>
        <w:t xml:space="preserve">         文章链接：</w:t>
      </w:r>
      <w:r>
        <w:rPr>
          <w:color w:val="0000FF"/>
        </w:rPr>
        <w:t>http://mp.weixin.qq.com/s?__biz=MzI5MDQxNzE1NQ==&amp;mid=2247515437&amp;idx=2&amp;sn=dbfa984463bd7d98e8f00849586f7372&amp;chksm=ed224af84be73cc45ba256413e84c7dc45889aed10eb6a891c58b65d8467c8d54d5310e64566&amp;scene=0#rd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九、【48小时内三巨头齐动，中国AI产业上演世界模型“军备竞赛”】</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发布时间：2026-04-20 13:09:00</w:t>
      </w:r>
    </w:p>
    <w:p>
      <w:pPr>
        <w:spacing w:after="120"/>
        <w:jc w:val="both"/>
      </w:pPr>
      <w:r>
        <w:rPr>
          <w:rFonts w:ascii="微软雅黑" w:hAnsi="微软雅黑" w:eastAsia="微软雅黑"/>
          <w:sz w:val="21"/>
        </w:rPr>
        <w:t xml:space="preserve">         内容摘要：上周4月16日至17日的48小时内，中国AI产业接连上演三场重磅戏码。阿里云发布了世界模型HappyOyster（快乐生蚊），腾讯同日开源了混元3D世界模型2.0，而专注空间智能的群核科技也宣布了上市计划。文章由此提出疑问：世界模型是否会成为继ChatGPT之后的下一个现象级突破。</w:t>
      </w:r>
    </w:p>
    <w:p>
      <w:pPr>
        <w:spacing w:after="240"/>
      </w:pPr>
      <w:r>
        <w:rPr>
          <w:rFonts w:ascii="微软雅黑" w:hAnsi="微软雅黑" w:eastAsia="微软雅黑"/>
          <w:sz w:val="21"/>
        </w:rPr>
        <w:t xml:space="preserve">         文章链接：</w:t>
      </w:r>
      <w:r>
        <w:rPr>
          <w:color w:val="0000FF"/>
        </w:rPr>
        <w:t>http://mp.weixin.qq.com/s?__biz=MjM5ODIzNTc2MA==&amp;mid=2661073291&amp;idx=1&amp;sn=7b4c6b4d35729f28c6fb58ab02f7a974&amp;chksm=bc787e025a74ec851cc1d14b8f75e79510c5a52de879d558f95a45c02d018292e3c4e2f8eb21&amp;scene=0#rd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十、【人形机器人半马赛事一年间：从“社死现场”到自主导航占比近四成】</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发布时间：2026-04-20 21:13:00</w:t>
      </w:r>
    </w:p>
    <w:p>
      <w:pPr>
        <w:spacing w:after="120"/>
        <w:jc w:val="both"/>
      </w:pPr>
      <w:r>
        <w:rPr>
          <w:rFonts w:ascii="微软雅黑" w:hAnsi="微软雅黑" w:eastAsia="微软雅黑"/>
          <w:sz w:val="21"/>
        </w:rPr>
        <w:t xml:space="preserve">         内容摘要：去年，一场人形机器人半程马拉松比赛中，20多支队伍仅有6台机器人勉强完赛。比赛过程中，机器人跑几公里就需要关机更换电池，关节因过热而冒烟，工作人员需举着喷壶追着为其降温。多数机器人依赖人工遥控，工程师比机器人更累。  一年后，在北京亦庄举行的半程马拉松赛事中，参赛队伍增至102支，机器人数量达到300多台。一个显著的变化是，比赛中实现自主导航的机器人占比已接近40%。</w:t>
      </w:r>
    </w:p>
    <w:p>
      <w:pPr>
        <w:spacing w:after="240"/>
      </w:pPr>
      <w:r>
        <w:rPr>
          <w:rFonts w:ascii="微软雅黑" w:hAnsi="微软雅黑" w:eastAsia="微软雅黑"/>
          <w:sz w:val="21"/>
        </w:rPr>
        <w:t xml:space="preserve">         文章链接：</w:t>
      </w:r>
      <w:r>
        <w:rPr>
          <w:color w:val="0000FF"/>
        </w:rPr>
        <w:t>http://mp.weixin.qq.com/s?__biz=MTQzMjE1NjQwMQ==&amp;mid=2656166658&amp;idx=1&amp;sn=92712f38afa147079e68fdd843efecee&amp;chksm=671308cde79857ca90b8dc06e2ad13823f12a37cae99d18f56cee8bebef881253ac3c53248f5&amp;scene=0#rd</w:t>
      </w:r>
    </w:p>
    <w:p>
      <w:pPr>
        <w:spacing w:before="300" w:after="200"/>
      </w:pPr>
      <w:r>
        <w:rPr>
          <w:rFonts w:ascii="微软雅黑" w:hAnsi="微软雅黑" w:eastAsia="微软雅黑"/>
          <w:b/>
          <w:color w:val="000000"/>
          <w:sz w:val="32"/>
        </w:rPr>
        <w:br/>
        <w:t>【医疗健康与生命科学】</w:t>
      </w:r>
    </w:p>
    <w:p>
      <w:pPr>
        <w:spacing w:after="120"/>
      </w:pPr>
      <w:r>
        <w:rPr>
          <w:rFonts w:ascii="微软雅黑" w:hAnsi="微软雅黑" w:eastAsia="微软雅黑"/>
          <w:b/>
          <w:sz w:val="24"/>
        </w:rPr>
        <w:t>一、【国务院发文重塑创新药定价体系，行业将迎“洗牌”】</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发布时间：2026-04-20 18:41:00</w:t>
      </w:r>
    </w:p>
    <w:p>
      <w:pPr>
        <w:spacing w:after="120"/>
        <w:jc w:val="both"/>
      </w:pPr>
      <w:r>
        <w:rPr>
          <w:rFonts w:ascii="微软雅黑" w:hAnsi="微软雅黑" w:eastAsia="微软雅黑"/>
          <w:sz w:val="21"/>
        </w:rPr>
        <w:t xml:space="preserve">         内容摘要：4月14日，国务院办公厅发布《关于健全药品价格形成机制的若干意见》。《意见》提出，将优化创新药等新上市药品的首发价格机制，并发挥医保支付标准对药品价格形成的引导作用。该文件旨在建立以“创新与临床价值”为核心的支付和定价体系。在此体系下，本土创新药行业预计将迎来“洗牌”。</w:t>
      </w:r>
    </w:p>
    <w:p>
      <w:pPr>
        <w:spacing w:after="240"/>
      </w:pPr>
      <w:r>
        <w:rPr>
          <w:rFonts w:ascii="微软雅黑" w:hAnsi="微软雅黑" w:eastAsia="微软雅黑"/>
          <w:sz w:val="21"/>
        </w:rPr>
        <w:t xml:space="preserve">         文章链接：</w:t>
      </w:r>
      <w:r>
        <w:rPr>
          <w:color w:val="0000FF"/>
        </w:rPr>
        <w:t>http://mp.weixin.qq.com/s?__biz=MjM5MDc3NjQwMA==&amp;mid=2926938789&amp;idx=3&amp;sn=f736d916709215f8db5bf7bcf4a15f17&amp;chksm=8cdae09abf1e559d3965a5be0bd1eee5d5d3b01e5458e7e0d13d0bd00c57d81ddc1cc8e9829c&amp;scene=0#rd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二、【治疗肺纤维化常用药吡非尼酮的剂量确定与服用要点】</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发布时间：2026-04-20 18:41:00</w:t>
      </w:r>
    </w:p>
    <w:p>
      <w:pPr>
        <w:spacing w:after="120"/>
        <w:jc w:val="both"/>
      </w:pPr>
      <w:r>
        <w:rPr>
          <w:rFonts w:ascii="微软雅黑" w:hAnsi="微软雅黑" w:eastAsia="微软雅黑"/>
          <w:sz w:val="21"/>
        </w:rPr>
        <w:t xml:space="preserve">         内容摘要：该文章内容为针对医学专业人士的用药信息提示，聚焦于药物吡非尼酮在治疗特定肺纤维化时的用法。文章指出，吡非尼酮适用于轻、中度特发性肺间质纤维化。  关于具体用法用量，文章明确给出了剂量递增原则。它强调，因空腹服用会导致血液中药物浓度明显升高并很可能出现不良反应，故必须餐后服用。药物的初始用量为每次200毫克。文章内容以片剂和胶囊剂型的服用指导为主，并提供了获取完整用药信息的链接指引。全文内容集中于该药物的适应症与核心服用方法，未涉及其他疾病背景、药理机制或疗效数据。</w:t>
      </w:r>
    </w:p>
    <w:p>
      <w:pPr>
        <w:spacing w:after="240"/>
      </w:pPr>
      <w:r>
        <w:rPr>
          <w:rFonts w:ascii="微软雅黑" w:hAnsi="微软雅黑" w:eastAsia="微软雅黑"/>
          <w:sz w:val="21"/>
        </w:rPr>
        <w:t xml:space="preserve">         文章链接：</w:t>
      </w:r>
      <w:r>
        <w:rPr>
          <w:color w:val="0000FF"/>
        </w:rPr>
        <w:t>http://mp.weixin.qq.com/s?__biz=MjM5MDc3NjQwMA==&amp;mid=2926938789&amp;idx=4&amp;sn=fb4eb8747595b3658dfb0b27b3249650&amp;chksm=8cd3ab4e7325f6e878e4e8d782ec3535364e34589a99ea183cda184952196735a23821246397&amp;scene=0#rd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三、【“无创产检之父”卢煜明院士再获国际大奖，系该奖项首位中国得主】</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发布时间：2026-04-20 18:41:00</w:t>
      </w:r>
    </w:p>
    <w:p>
      <w:pPr>
        <w:spacing w:after="120"/>
        <w:jc w:val="both"/>
      </w:pPr>
      <w:r>
        <w:rPr>
          <w:rFonts w:ascii="微软雅黑" w:hAnsi="微软雅黑" w:eastAsia="微软雅黑"/>
          <w:sz w:val="21"/>
        </w:rPr>
        <w:t xml:space="preserve">         内容摘要：卢煜明院士近日获得美国癌症研究协会（AACR）颁发的欧文・温斯坦基金会杰出讲座奖，成为首位获得该奖项的中国学者。他因在无创产前基因检测等领域的成就，此前已获得包括拉斯克临床医学研究奖、价值医疗泰山奖-临床医学研究奖在内的多项荣誉。</w:t>
      </w:r>
    </w:p>
    <w:p>
      <w:pPr>
        <w:spacing w:after="240"/>
      </w:pPr>
      <w:r>
        <w:rPr>
          <w:rFonts w:ascii="微软雅黑" w:hAnsi="微软雅黑" w:eastAsia="微软雅黑"/>
          <w:sz w:val="21"/>
        </w:rPr>
        <w:t xml:space="preserve">         文章链接：</w:t>
      </w:r>
      <w:r>
        <w:rPr>
          <w:color w:val="0000FF"/>
        </w:rPr>
        <w:t>http://mp.weixin.qq.com/s?__biz=MjM5MDc3NjQwMA==&amp;mid=2926938789&amp;idx=2&amp;sn=79fffdb73cc1ff8eb15de9f1978f48b6&amp;chksm=8cc0ace6e7d930796e74b9677a1693123e1fedf89bff65010867534d8423af3bbadc3b592d32&amp;scene=0#rd</w:t>
      </w:r>
    </w:p>
    <w:p>
      <w:pPr>
        <w:spacing w:before="300" w:after="200"/>
      </w:pPr>
      <w:r>
        <w:rPr>
          <w:rFonts w:ascii="微软雅黑" w:hAnsi="微软雅黑" w:eastAsia="微软雅黑"/>
          <w:b/>
          <w:color w:val="000000"/>
          <w:sz w:val="32"/>
        </w:rPr>
        <w:br/>
        <w:t>【教育发展与人才培养】</w:t>
      </w:r>
    </w:p>
    <w:p>
      <w:pPr>
        <w:spacing w:after="120"/>
      </w:pPr>
      <w:r>
        <w:rPr>
          <w:rFonts w:ascii="微软雅黑" w:hAnsi="微软雅黑" w:eastAsia="微软雅黑"/>
          <w:b/>
          <w:sz w:val="24"/>
        </w:rPr>
        <w:t>一、【教育部发文重构教师培养体系，人工智能成师范生必修与教师考核新标】</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发布时间：2026-04-20 10:10:33</w:t>
      </w:r>
    </w:p>
    <w:p>
      <w:pPr>
        <w:spacing w:after="120"/>
        <w:jc w:val="both"/>
      </w:pPr>
      <w:r>
        <w:rPr>
          <w:rFonts w:ascii="微软雅黑" w:hAnsi="微软雅黑" w:eastAsia="微软雅黑"/>
          <w:sz w:val="21"/>
        </w:rPr>
        <w:t xml:space="preserve">         内容摘要：教育部等五部门在《“人工智能+教育”行动计划》中明确，将推动师范生培养改革，把人工智能等前沿技术知识纳入课程体系，并更新教师资格考试和认证内容。这意味着教师职业的知识结构与评价标准正在改变，职业门槛进一步抬高。  国家层面的制度设计已明确要求提升教师数字素养。根据《教育强国建设规划纲要（2024-2035年）》，需制定师生数字素养标准，并建立基于大数据和人工智能的教育评价制度。教育部部长怀进鹏在部署会上也提出要纵深推进“AI for教师发展”。高等师范院校成为转型首发阵地，近1/4的公办师范本科院校在过去三年新增了至少3个工科专业，其中人工智能相关专业占比最高。2024年，“人工智能教育”作为新增本科专业在北京师范大学首次落地，该专业采用“高校+企业+中小学”模式，旨在培养能解决一线教学实际问题的复合型人才。  变化同样冲击在岗教师。麦可思研究数据显示，超七成高校教师预判生成式AI将改变教师评价体系。目前，五成高校教师已投入AI技能学习，超四成有明确学习计划。国际趋势类似，美国约77%的教师已在工作中使用AI工具。数字教育理事会的报告显示，61%的教师已将AI引入教学，主要场景包括制作教学材料、辅助行政工作等。但约40%的教师仍处于应用初级阶段，仅约17%具备较高熟练度。同时，约八成教师在使用AI过程中感到压力。教师正面临能力要求与评价体系同步变化带来的学习成本和持续重塑工作的压力。</w:t>
      </w:r>
    </w:p>
    <w:p>
      <w:pPr>
        <w:spacing w:after="240"/>
      </w:pPr>
      <w:r>
        <w:rPr>
          <w:rFonts w:ascii="微软雅黑" w:hAnsi="微软雅黑" w:eastAsia="微软雅黑"/>
          <w:sz w:val="21"/>
        </w:rPr>
        <w:t xml:space="preserve">         文章链接：</w:t>
      </w:r>
      <w:r>
        <w:rPr>
          <w:color w:val="0000FF"/>
        </w:rPr>
        <w:t>https://mp.weixin.qq.com/s/hMZnoJRMb_aLRyHDjw71Jw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二、【“双一流”高校副校长周莹履新成都大学校长】</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发布时间：2026-04-20 13:30:00</w:t>
      </w:r>
    </w:p>
    <w:p>
      <w:pPr>
        <w:spacing w:after="120"/>
        <w:jc w:val="both"/>
      </w:pPr>
      <w:r>
        <w:rPr>
          <w:rFonts w:ascii="微软雅黑" w:hAnsi="微软雅黑" w:eastAsia="微软雅黑"/>
          <w:sz w:val="21"/>
        </w:rPr>
        <w:t xml:space="preserve">         内容摘要：4月17日，四川省人民政府任命周莹为成都大学校长（试用期一年），免去其西南石油大学副校长职务，同时免去朱明的成都大学校长职务。  周莹，男，1981年3月出生，四川威远人，工学博士，二级教授，博士生导师。他于2004年从中南大学本科毕业，先后在中国科学院上海光学精密机械研究所获硕士学位、瑞士苏黎世大学获博士学位，并在瑞士、德国、日本从事博士后及研究工作。其职业生涯始于2012年7月，历任新能源材料与器件教研室主任、材料科学与工程学院副院长、院长等职，2022年11月起任西南石油大学副校长。  周莹长期从事油气资源与绿色能源教学科研，是国家一流本科课程负责人，获多项省级教学成果奖，指导学生多次在国家级竞赛中获奖。他主持过多项国家级科研项目，在国内外期刊发表论文200多篇，被引超11000次，2020年以来连续入选Elsevier中国高被引学者，拥有国内外发明专利40多项。其研究成果获得教育部自然科学奖二等奖、四川省自然科学奖二等奖等多个奖项，个人曾获霍英东教育基金会青年教师奖等荣誉。他还兼任多个学术组织职务及期刊编委。  周莹是国家杰出青年科学基金获得者、百千万人才工程国家级人选、国务院特殊津贴专家、英国皇家化学会会士、四川省学术和技术带头人，并担任四川省“天府峨眉计划”创新团队负责人。</w:t>
      </w:r>
    </w:p>
    <w:p>
      <w:pPr>
        <w:spacing w:after="240"/>
      </w:pPr>
      <w:r>
        <w:rPr>
          <w:rFonts w:ascii="微软雅黑" w:hAnsi="微软雅黑" w:eastAsia="微软雅黑"/>
          <w:sz w:val="21"/>
        </w:rPr>
        <w:t xml:space="preserve">         文章链接：</w:t>
      </w:r>
      <w:r>
        <w:rPr>
          <w:color w:val="0000FF"/>
        </w:rPr>
        <w:t>https://mp.weixin.qq.com/s/91W71yipXtcq2tsZnz-LLA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三、【江小涓：用“学术腔调”讲好中国故事，需寻求规律与普适性】</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发布时间：2026-04-20 10:30:30</w:t>
      </w:r>
    </w:p>
    <w:p>
      <w:pPr>
        <w:spacing w:after="120"/>
        <w:jc w:val="both"/>
      </w:pPr>
      <w:r>
        <w:rPr>
          <w:rFonts w:ascii="微软雅黑" w:hAnsi="微软雅黑" w:eastAsia="微软雅黑"/>
          <w:sz w:val="21"/>
        </w:rPr>
        <w:t xml:space="preserve">         内容摘要：2026年4月11日，在清华大学经济学系百年纪念大会上，江小涓教授以“学术研究的腔调”为题发表演讲。她指出，中国的发展成就是现有理论难以解释的“奇迹”，因此用学术腔调阐释中国实践是重要任务。学术腔调指学术共同体认同的规范，追求精确、严谨、客观、逻辑，旨在揭示规律与普遍价值。  她提出四点感想。第一，阐释现象需寻求规律，普适性是学术腔调。她以红旗渠研究为例，认为应超越具体经验总结，从“水权分配”这一具有普遍性的学理角度分析。第二，研究需在知识体系内讲述，以便分享、传承并防止片面性，要综合考虑收益、成本与机会成本。第三，总结经验需抽象化以寻求包容性与可扩展性。她举例说明，在2003年修宪前，中国虽无私有产权保护法律，但长期投资活跃，这是因为政治稳定与政策连续性被视为另一种“有效承诺”，此经验可纳入“产权保护与长期投资关系”的既有分析框架。第四，经济学作为发展良好的学科有其独特腔调，构建中国自主经济学体系应保持其规范性。例如，判断AI伦理之“善”，经济学有提高资源配置效率、增加社会福利与消费者剩余等维度。  江小涓强调，讲好中国故事必须创新，但在学界应使用学术腔调。她同时回应钱颖一教授的观点，指出经济学应研究真问题、重要问题，否则再规范的讲述也只是装腔作势。</w:t>
      </w:r>
    </w:p>
    <w:p>
      <w:pPr>
        <w:spacing w:after="240"/>
      </w:pPr>
      <w:r>
        <w:rPr>
          <w:rFonts w:ascii="微软雅黑" w:hAnsi="微软雅黑" w:eastAsia="微软雅黑"/>
          <w:sz w:val="21"/>
        </w:rPr>
        <w:t xml:space="preserve">         文章链接：</w:t>
      </w:r>
      <w:r>
        <w:rPr>
          <w:color w:val="0000FF"/>
        </w:rPr>
        <w:t>https://mp.weixin.qq.com/s/SfLKnznVXSBI9zlyzVfPpA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四、【美国工程院院士卞建华受聘清华大学杰出访问教授】</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发布时间：2026-04-20 18:00:00</w:t>
      </w:r>
    </w:p>
    <w:p>
      <w:pPr>
        <w:spacing w:after="120"/>
        <w:jc w:val="both"/>
      </w:pPr>
      <w:r>
        <w:rPr>
          <w:rFonts w:ascii="微软雅黑" w:hAnsi="微软雅黑" w:eastAsia="微软雅黑"/>
          <w:sz w:val="21"/>
        </w:rPr>
        <w:t xml:space="preserve">         内容摘要：近日，清华大学举行杰出访问教授聘任仪式。美国工程院院士、IEEE电力与能源协会（PES）前主席卞建华（Jessica Bian）应邀来访，受聘为清华大学杰出访问教授。在聘任仪式上，清华大学电机系副主任孙凯介绍了卞建华院士的学术背景与成就。受聘后，卞建华院士在同期举行的IEEE PES Day 2026 China Event上作了主旨报告。</w:t>
      </w:r>
    </w:p>
    <w:p>
      <w:pPr>
        <w:spacing w:after="240"/>
      </w:pPr>
      <w:r>
        <w:rPr>
          <w:rFonts w:ascii="微软雅黑" w:hAnsi="微软雅黑" w:eastAsia="微软雅黑"/>
          <w:sz w:val="21"/>
        </w:rPr>
        <w:t xml:space="preserve">         文章链接：</w:t>
      </w:r>
      <w:r>
        <w:rPr>
          <w:color w:val="0000FF"/>
        </w:rPr>
        <w:t>http://mp.weixin.qq.com/s?__biz=MzAwMDExNDgxNQ==&amp;mid=2650343914&amp;idx=3&amp;sn=2925fffccab259a36a446dc01cb2243c&amp;chksm=839e8c3de98dbc4ea956415bc232cec5d58e47177aea86015c10d25d66c67e3bfc9367cff1a2&amp;scene=0#rd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五、【最年轻985大学中南大学，为中国锂电池行业培养过半人才】</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发布时间：2026-04-20 12:00:00</w:t>
      </w:r>
    </w:p>
    <w:p>
      <w:pPr>
        <w:spacing w:after="120"/>
        <w:jc w:val="both"/>
      </w:pPr>
      <w:r>
        <w:rPr>
          <w:rFonts w:ascii="微软雅黑" w:hAnsi="微软雅黑" w:eastAsia="微软雅黑"/>
          <w:sz w:val="21"/>
        </w:rPr>
        <w:t xml:space="preserve">         内容摘要：2023年，中国成为全球最大汽车出口国。2024年，中国出口的新能源汽车超过200万辆，其新能源汽车产销量已连续10年位居全球第一。新能源汽车及新能源产业的发展与锂电池密切相关，而在中国锂电池行业中，中南大学扮演了关键角色。这所被称为“最年轻”的985大学，培养了中国锂电池行业超过一半的人才。</w:t>
      </w:r>
    </w:p>
    <w:p>
      <w:pPr>
        <w:spacing w:after="240"/>
      </w:pPr>
      <w:r>
        <w:rPr>
          <w:rFonts w:ascii="微软雅黑" w:hAnsi="微软雅黑" w:eastAsia="微软雅黑"/>
          <w:sz w:val="21"/>
        </w:rPr>
        <w:t xml:space="preserve">         文章链接：</w:t>
      </w:r>
      <w:r>
        <w:rPr>
          <w:color w:val="0000FF"/>
        </w:rPr>
        <w:t>http://mp.weixin.qq.com/s?__biz=MjM5MTU3Mzk2OA==&amp;mid=2654920589&amp;idx=3&amp;sn=3ccd036cce6bce27e1c447c5b9abc477&amp;chksm=bc2a14bc4a784c548187fb0cfcc46f0b0ed90cb14b6b0bc04c3c72a9135b2567a2f472388d45&amp;scene=0#rd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六、【北京将推出6个全日制大学生技师班，涵盖智能制造、生物制药等专业】</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发布时间：2026-04-20 18:00:00</w:t>
      </w:r>
    </w:p>
    <w:p>
      <w:pPr>
        <w:spacing w:after="120"/>
        <w:jc w:val="both"/>
      </w:pPr>
      <w:r>
        <w:rPr>
          <w:rFonts w:ascii="微软雅黑" w:hAnsi="微软雅黑" w:eastAsia="微软雅黑"/>
          <w:sz w:val="21"/>
        </w:rPr>
        <w:t xml:space="preserve">         内容摘要：据北京市教育委员会官方账号“首都教育”消息，今年北京将推出6个全日制大学生技师班和21个技能就业培训班。这些项目采取长短结合、订单式培养的方式，旨在为大学生实现技能就业开辟“新赛道”。其中，6个全日制大学生技师班的专业覆盖了智能制造技术应用、生物制药、多媒体制作（全媒体运营师方向）以及电子技术应用（集成电路技术方向）等领域。</w:t>
      </w:r>
    </w:p>
    <w:p>
      <w:pPr>
        <w:spacing w:after="240"/>
      </w:pPr>
      <w:r>
        <w:rPr>
          <w:rFonts w:ascii="微软雅黑" w:hAnsi="微软雅黑" w:eastAsia="微软雅黑"/>
          <w:sz w:val="21"/>
        </w:rPr>
        <w:t xml:space="preserve">         文章链接：</w:t>
      </w:r>
      <w:r>
        <w:rPr>
          <w:color w:val="0000FF"/>
        </w:rPr>
        <w:t>http://mp.weixin.qq.com/s?__biz=MzAwMDExNDgxNQ==&amp;mid=2650343914&amp;idx=2&amp;sn=ccd0f101d2621587e72241f7d598ba23&amp;chksm=83937b90aa9c9dce52a9a9f26cdbfb3d27aab06345580e6db7d93da84c4fadaa89b44d886ac5&amp;scene=0#rd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七、【AI时代高薪专业格局生变：信息安全等28专业稳居前列，智能科学与技术等新贵崛起】</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发布时间：2026-04-20 05:22:00</w:t>
      </w:r>
    </w:p>
    <w:p>
      <w:pPr>
        <w:spacing w:after="120"/>
        <w:jc w:val="both"/>
      </w:pPr>
      <w:r>
        <w:rPr>
          <w:rFonts w:ascii="微软雅黑" w:hAnsi="微软雅黑" w:eastAsia="微软雅黑"/>
          <w:sz w:val="21"/>
        </w:rPr>
        <w:t xml:space="preserve">         内容摘要：近期多所高校调整本科专业结构，部分曾被视为“高薪”“热门”的专业被撤销或停招。在人工智能快速发展下，专业冷热更迭节奏加快。  麦可思对近五年（2020—2024届）毕业半年后月收入较高的主要本科专业（前50位）统计发现，28个专业连续五年出现在高薪榜上。其中，信息安全、软件工程、电子科学与技术连续五年均进入前10名；微电子科学与工程、物联网工程均有4次进入前10。  对比2020届与2024届数据，机械电子工程、光电信息科学与工程、微电子科学与工程等10个专业的月收入增长均超过1000元，涨幅均在18%以上。机械电子工程涨幅最高，由5521元增至7018元，增长1497元，涨幅达27.11%。  近两年（2023、2024届）连续跻身月收入前50的本科专业中，出现了4张“新面孔”：智能科学与技术、新能源科学与工程、机器人工程、采矿工程。这些“新贵专业”多集中于人工智能、新能源及资源开发等技术密集型领域。  同时，部分专业排名出现下滑。建筑学、应用物理学、金融工程、产品设计这4个专业，在连续3年上榜后，于2023届、2024届连续两年缺席。信息管理与信息系统由2020届的第9位降至2024届的第29位；金融学由第23位降至第42位；计算机科学与技术和网络工程均下滑18位。</w:t>
      </w:r>
    </w:p>
    <w:p>
      <w:pPr>
        <w:spacing w:after="240"/>
      </w:pPr>
      <w:r>
        <w:rPr>
          <w:rFonts w:ascii="微软雅黑" w:hAnsi="微软雅黑" w:eastAsia="微软雅黑"/>
          <w:sz w:val="21"/>
        </w:rPr>
        <w:t xml:space="preserve">         文章链接：</w:t>
      </w:r>
      <w:r>
        <w:rPr>
          <w:color w:val="0000FF"/>
        </w:rPr>
        <w:t>https://mp.weixin.qq.com/s/KmtZcpFnW8GfVft1bIBUEg</w:t>
      </w:r>
    </w:p>
    <w:p>
      <w:pPr>
        <w:spacing w:before="300" w:after="200"/>
      </w:pPr>
      <w:r>
        <w:rPr>
          <w:rFonts w:ascii="微软雅黑" w:hAnsi="微软雅黑" w:eastAsia="微软雅黑"/>
          <w:b/>
          <w:color w:val="000000"/>
          <w:sz w:val="32"/>
        </w:rPr>
        <w:br/>
        <w:t>【企业与商业】</w:t>
      </w:r>
    </w:p>
    <w:p>
      <w:pPr>
        <w:spacing w:after="120"/>
      </w:pPr>
      <w:r>
        <w:rPr>
          <w:rFonts w:ascii="微软雅黑" w:hAnsi="微软雅黑" w:eastAsia="微软雅黑"/>
          <w:b/>
          <w:sz w:val="24"/>
        </w:rPr>
        <w:t>一、【企业家重读“教员”为破解判断失真困境】</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发布时间：2026-04-21 00:00:00</w:t>
      </w:r>
    </w:p>
    <w:p>
      <w:pPr>
        <w:spacing w:after="120"/>
        <w:jc w:val="both"/>
      </w:pPr>
      <w:r>
        <w:rPr>
          <w:rFonts w:ascii="微软雅黑" w:hAnsi="微软雅黑" w:eastAsia="微软雅黑"/>
          <w:sz w:val="21"/>
        </w:rPr>
        <w:t xml:space="preserve">         内容摘要：近年来，许多企业家面临的困境已不再是勤奋、资源或单纯的技术问题，而是“判断失真”。外部世界变化加速，信息爆炸，新概念层出不穷，方法论泛滥，但企业的战略判断却日益飘忽，组织动作趋于散乱，增长机制变得脆弱。这一现象发生在技术革命加速与经营现实并存的背景下。</w:t>
      </w:r>
    </w:p>
    <w:p>
      <w:pPr>
        <w:spacing w:after="240"/>
      </w:pPr>
      <w:r>
        <w:rPr>
          <w:rFonts w:ascii="微软雅黑" w:hAnsi="微软雅黑" w:eastAsia="微软雅黑"/>
          <w:sz w:val="21"/>
        </w:rPr>
        <w:t xml:space="preserve">         文章链接：</w:t>
      </w:r>
      <w:r>
        <w:rPr>
          <w:color w:val="0000FF"/>
        </w:rPr>
        <w:t>http://mp.weixin.qq.com/s?__biz=MzA3ODI5NDg0Mw==&amp;mid=2654254245&amp;idx=2&amp;sn=041dc39bdb8b8aa6a0f8a5c9cbb4db0e&amp;chksm=855866b01bd5770a4a950a5bd964a376bd8590ed4092f9d3da6e8e5ddf5699553157b30ea72c&amp;scene=0#rd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二、【银行统计打印纸被指“降本增笑”，一季度用纸超56万张成本仅万元】</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发布时间：2026-04-20 13:00:00</w:t>
      </w:r>
    </w:p>
    <w:p>
      <w:pPr>
        <w:spacing w:after="120"/>
        <w:jc w:val="both"/>
      </w:pPr>
      <w:r>
        <w:rPr>
          <w:rFonts w:ascii="微软雅黑" w:hAnsi="微软雅黑" w:eastAsia="微软雅黑"/>
          <w:sz w:val="21"/>
        </w:rPr>
        <w:t xml:space="preserve">         内容摘要：一家银行公布了2026年第一季度打印情况，总用纸量达568,332张，其中黑色纸张558,102张，彩色10,230张，并详细统计了各部门用量，如普惠金融部用了44,468张。银行内部行政部门视此为细致负责的成绩，但基层员工普遍不理解。他们认为打印多出于工作必需，无法计划，且纸张成本低廉，批量采购每张仅几分钱，一季度总成本约一万元，对银行而言微不足道，此举毫无意义。  从银行领导及行政部门角度看，统计打印纸是降本增效的数据化体现。在银行各项成本已压缩至极致、上级却要求数据和结果的背景下，此类不起眼的项目成为“凑数据”的手段。同时，这能倒逼员工节省办公成本。当前银行面临净息差收窄、利润增长压力，上市银行数据不佳会影响资本市场表现，因此竭力压缩包括打印纸在内的各类办公成本。此外，统计具体数据也是管理者向上级邀功的表现，银行考核推崇“数字能力”，数据亮眼者易获赏识，促使一些管理能力一般的人通过粉饰数据来突出自己。  然而，严格统计每一张纸被批评为“降本增笑”，更像是形式主义。外界可能笑话银行财大气粗却抠搜办公用纸，这看似节约，实则可能掩盖其他不合理的成本支出。银行每年有巨额成本开支，其中存在许多“糊涂账”，如管理人员套取营销费用、领导在项目审批和采购中贪赃枉法。与这些隐性支出相比，办公用纸成本微不足道。银行若真想降本增效，不应在打印纸这类日常必需品上大做文章，而应减少领导福利、曝光隐性支出。</w:t>
      </w:r>
    </w:p>
    <w:p>
      <w:pPr>
        <w:spacing w:after="240"/>
      </w:pPr>
      <w:r>
        <w:rPr>
          <w:rFonts w:ascii="微软雅黑" w:hAnsi="微软雅黑" w:eastAsia="微软雅黑"/>
          <w:sz w:val="21"/>
        </w:rPr>
        <w:t xml:space="preserve">         文章链接：</w:t>
      </w:r>
      <w:r>
        <w:rPr>
          <w:color w:val="0000FF"/>
        </w:rPr>
        <w:t>https://mp.weixin.qq.com/s/Zl7mBoD7_y3-PVqNcOYGuQ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三、【斯堪尼亚重卡竞争逻辑：不比价格，比拼总体拥有成本】</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发布时间：2026-04-20 18:05:00</w:t>
      </w:r>
    </w:p>
    <w:p>
      <w:pPr>
        <w:spacing w:after="120"/>
        <w:jc w:val="both"/>
      </w:pPr>
      <w:r>
        <w:rPr>
          <w:rFonts w:ascii="微软雅黑" w:hAnsi="微软雅黑" w:eastAsia="微软雅黑"/>
          <w:sz w:val="21"/>
        </w:rPr>
        <w:t xml:space="preserve">         内容摘要：斯堪尼亚的竞争逻辑并非绝对价格，而是TCO（总体拥有成本），其核心是“不是比谁便宜，而是比谁更划算”。这家企业从1891年瑞典小城的一家马车工厂起步，历经135年，现已发展成为业务遍及全球100多个国家的重卡巨头。</w:t>
      </w:r>
    </w:p>
    <w:p>
      <w:pPr>
        <w:spacing w:after="240"/>
      </w:pPr>
      <w:r>
        <w:rPr>
          <w:rFonts w:ascii="微软雅黑" w:hAnsi="微软雅黑" w:eastAsia="微软雅黑"/>
          <w:sz w:val="21"/>
        </w:rPr>
        <w:t xml:space="preserve">         文章链接：</w:t>
      </w:r>
      <w:r>
        <w:rPr>
          <w:color w:val="0000FF"/>
        </w:rPr>
        <w:t>http://mp.weixin.qq.com/s?__biz=MzI5MDQxNzE1NQ==&amp;mid=2247515437&amp;idx=3&amp;sn=e116d443c2d6168cdd1e348da53f41f5&amp;chksm=ed7fdb9fa851ecba390540133eb7d48810a576ae30d17fb7cf9604726a3c12879a538e94c9a4&amp;scene=0#rd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四、【万达电影更名儒意电影，“院线第一股”摘下万达招牌】</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发布时间：2026-04-20 18:02:00</w:t>
      </w:r>
    </w:p>
    <w:p>
      <w:pPr>
        <w:spacing w:after="120"/>
        <w:jc w:val="both"/>
      </w:pPr>
      <w:r>
        <w:rPr>
          <w:rFonts w:ascii="微软雅黑" w:hAnsi="微软雅黑" w:eastAsia="微软雅黑"/>
          <w:sz w:val="21"/>
        </w:rPr>
        <w:t xml:space="preserve">         内容摘要：4月20日开市，万达电影正式更名为儒意电影，但万达影城的名字暂时不变。文章称，“院线第一股”终于摘下了万达的招牌。文章提及，未来会根据市场变化和用户需求规划新品牌。这场资本大戏的更多细节未在提供的片段中展开。</w:t>
      </w:r>
    </w:p>
    <w:p>
      <w:pPr>
        <w:spacing w:after="240"/>
      </w:pPr>
      <w:r>
        <w:rPr>
          <w:rFonts w:ascii="微软雅黑" w:hAnsi="微软雅黑" w:eastAsia="微软雅黑"/>
          <w:sz w:val="21"/>
        </w:rPr>
        <w:t xml:space="preserve">         文章链接：</w:t>
      </w:r>
      <w:r>
        <w:rPr>
          <w:color w:val="0000FF"/>
        </w:rPr>
        <w:t>http://mp.weixin.qq.com/s?__biz=MjM5MDY5NjI2MQ==&amp;mid=2649852329&amp;idx=1&amp;sn=0f08a548fc4702ef3343f8e895503a85&amp;chksm=bfcdd7b87eefd5ce0b338546e96215444ce6c7730cf5b078255aa6aa39e99e692a4f05e4bc2b&amp;scene=0#rd</w:t>
      </w:r>
    </w:p>
    <w:p>
      <w:pPr>
        <w:spacing w:before="300" w:after="200"/>
      </w:pPr>
      <w:r>
        <w:rPr>
          <w:rFonts w:ascii="微软雅黑" w:hAnsi="微软雅黑" w:eastAsia="微软雅黑"/>
          <w:b/>
          <w:color w:val="000000"/>
          <w:sz w:val="32"/>
        </w:rPr>
        <w:br/>
        <w:t>【政策法规与监管】</w:t>
      </w:r>
    </w:p>
    <w:p>
      <w:pPr>
        <w:spacing w:after="120"/>
      </w:pPr>
      <w:r>
        <w:rPr>
          <w:rFonts w:ascii="微软雅黑" w:hAnsi="微软雅黑" w:eastAsia="微软雅黑"/>
          <w:b/>
          <w:sz w:val="24"/>
        </w:rPr>
        <w:t>一、【发改委低空司司长详解“十五五”低空经济五大工作重点：安全为前提、场景为牵引】</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发布时间：2026-04-20 03:46:17</w:t>
      </w:r>
    </w:p>
    <w:p>
      <w:pPr>
        <w:spacing w:after="120"/>
        <w:jc w:val="both"/>
      </w:pPr>
      <w:r>
        <w:rPr>
          <w:rFonts w:ascii="微软雅黑" w:hAnsi="微软雅黑" w:eastAsia="微软雅黑"/>
          <w:sz w:val="21"/>
        </w:rPr>
        <w:t xml:space="preserve">         内容摘要：国家发展改革委低空经济发展司司长郑剑在国新办发布会上表示，“十五五”时期，低空经济将作为新兴支柱产业打造，工作主题是健康有序，主线是改革创新，目标是实现“管得好、飞得稳、用得活”。重点将开展五方面工作。  首先是以安全为前提，把保障飞行安全作为优先事项，加强航空器全周期管理，创新完善安全监管机制。各地正结合实际出台管理规定，细化安全规范。第二是以产业为支撑，加大大载重固定翼无人机、长航时垂直起降航空器等新型航空器的研制，形成关键装备谱系，带动上下游产业，打造集群发展高地。第三是以场景为牵引，坚持“先载货后载人、先隔离后融合、先远郊后城区”原则，在严控风险下优先推广成熟场景。同时提升空域精细化管理水平，谋划布局低空航路网，建设低空智能网联系统。第四是以创新为动力，深化基础理论研究，强化企业、高校、科研院所协同攻关，支持民营企业牵头承担重大科技任务，突破智能飞行、混合动力系统等关键技术。第五是以合作为路径，参与全球低空经济治理，支持海外优势企业在华投资，支持国内企业拓展海外市场，提供低空经济的中国方案。  郑剑列举了多个典型应用场景：在云南边境乡镇，无人机配送将3小时路程缩短至40分钟；在深圳，无人机作为“空中急救员”能在4分钟左右运送AED到现场；在上海，无人机作为“空中交管员”能在2分钟内飞抵事故现场取证。针对无人机飞行审批难问题，有关部门正在研究推广“扫码飞”等经验以提高审批效率。下一步将与企业、有关部门一道，推动低空经济发展得更稳更好。</w:t>
      </w:r>
    </w:p>
    <w:p>
      <w:pPr>
        <w:spacing w:after="240"/>
      </w:pPr>
      <w:r>
        <w:rPr>
          <w:rFonts w:ascii="微软雅黑" w:hAnsi="微软雅黑" w:eastAsia="微软雅黑"/>
          <w:sz w:val="21"/>
        </w:rPr>
        <w:t xml:space="preserve">         文章链接：</w:t>
      </w:r>
      <w:r>
        <w:rPr>
          <w:color w:val="0000FF"/>
        </w:rPr>
        <w:t>https://mp.weixin.qq.com/s/potTdTlStq44N1tLF6ZG4Q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二、【郑栅洁发文阐述国家经济安全：总结“十四五”成效，部署“十五五”任务】</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发布时间：2026-04-20 02:46:56</w:t>
      </w:r>
    </w:p>
    <w:p>
      <w:pPr>
        <w:spacing w:after="120"/>
        <w:jc w:val="both"/>
      </w:pPr>
      <w:r>
        <w:rPr>
          <w:rFonts w:ascii="微软雅黑" w:hAnsi="微软雅黑" w:eastAsia="微软雅黑"/>
          <w:sz w:val="21"/>
        </w:rPr>
        <w:t xml:space="preserve">         内容摘要：国家发展改革委党组书记、主任郑栅洁在《人民日报》发文，强调需深入践行总体国家安全观，统筹发展与安全，以新安全格局保障新发展格局。文章指出，“十四五”以来我国经济安全保障能力建设取得显著成效：粮食安全基础更加稳固，总产量连续两年站稳1.4万亿斤，人均占有量超500公斤；能源资源安全保障加强，一次能源生产总量突破50亿吨标准煤，自给率保持80%以上，建成全球最大清洁低碳能源体系；产业链供应链韧性提升，制造业增加值规模连续16年全球第一；重点领域风险防控有力，居民收入增长，城镇新增就业超6000万人。  文章同时分析，“十五五”时期我国经济安全面临的内外部环境更加复杂严峻。国际方面，不稳定不确定因素增多，地缘冲突多发，保护主义抬头，全球产业链供应链脆弱性凸显。国内方面，统筹发展与安全面临挑战，存在初级产品保障薄弱环节、关键领域“卡脖子”风险、以及房地产、地方政府债务等重点领域风险。但我国也具备制度、市场、产业体系等优势，长期向好的基本趋势没有改变。  为此，文章部署了全面推进经济安全保障能力建设的重点任务：包括立足经济安全办好自己的事，提升经济安全韧性和抗冲击能力，完善经济安全风险防控体系，以及加强网络安全、数据安全、人工智能安全等新兴领域安全治理。</w:t>
      </w:r>
    </w:p>
    <w:p>
      <w:pPr>
        <w:spacing w:after="240"/>
      </w:pPr>
      <w:r>
        <w:rPr>
          <w:rFonts w:ascii="微软雅黑" w:hAnsi="微软雅黑" w:eastAsia="微软雅黑"/>
          <w:sz w:val="21"/>
        </w:rPr>
        <w:t xml:space="preserve">         文章链接：</w:t>
      </w:r>
      <w:r>
        <w:rPr>
          <w:color w:val="0000FF"/>
        </w:rPr>
        <w:t>https://mp.weixin.qq.com/s/X83RQYU91QvKrweQUGj6dg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三、【35.97亿天价罚单背后：执法者遭遇吞纸、假摔与骨折的艰难取证】</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发布时间：2026-04-20 10:50:18</w:t>
      </w:r>
    </w:p>
    <w:p>
      <w:pPr>
        <w:spacing w:after="120"/>
        <w:jc w:val="both"/>
      </w:pPr>
      <w:r>
        <w:rPr>
          <w:rFonts w:ascii="微软雅黑" w:hAnsi="微软雅黑" w:eastAsia="微软雅黑"/>
          <w:sz w:val="21"/>
        </w:rPr>
        <w:t xml:space="preserve">         内容摘要：2026年4月17日，市场监管总局对七家电商平台开出35.97亿元罚单，这是食品安全法实施以来的最高纪录。事件源于2025年7月北京消费者刘先生的一个蛋糕订单，监管部门核查发现“甜颜情书”品牌在北京的20余家店铺均无实体店，其名下378家连锁店的食品经营许可证全部伪造，牵出一条覆盖全国31个省区市的黑色产业链。  执法过程异常艰难。执法人员进驻平台时遭遇不配合，以系统升级等理由被推诿。在江苏、江西某平台调查时，执法人员郭晖在强行进入办公地点时手被门挤压骨折。次日，该平台安保负责人带人冲击办案现场，郭晖被推倒头部受伤送医。平台技术总监曾假摔送医，检查后身体无碍。更有工作人员将写有“沉默不说”的纸团当众吞下。  执法人员通过逐一核验店铺、跑废数十个手机号、核查三四千家店的方式建立自有数据库，穿透了平台的数据屏障。河北执法人员周群标曾连续作战72小时心脏病突发。最终，市场监管总局对6万多家“幽灵店铺”实行一店一处罚，总局领导主持召开24次专题会议以确保处罚于法有据。罚单开出后，七家平台均表态落实整改。数据显示，两大转单平台违规转单蛋糕订单达360万个。</w:t>
      </w:r>
    </w:p>
    <w:p>
      <w:pPr>
        <w:spacing w:after="240"/>
      </w:pPr>
      <w:r>
        <w:rPr>
          <w:rFonts w:ascii="微软雅黑" w:hAnsi="微软雅黑" w:eastAsia="微软雅黑"/>
          <w:sz w:val="21"/>
        </w:rPr>
        <w:t xml:space="preserve">         文章链接：</w:t>
      </w:r>
      <w:r>
        <w:rPr>
          <w:color w:val="0000FF"/>
        </w:rPr>
        <w:t>https://mp.weixin.qq.com/s/4n_4YGdYeQWP_vfhjvrucQ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四、【新疆草湖获批设市，成为中国最年轻城市】</w:t>
      </w:r>
    </w:p>
    <w:p>
      <w:pPr>
        <w:spacing w:after="120"/>
      </w:pPr>
      <w:r>
        <w:rPr>
          <w:rFonts w:ascii="微软雅黑" w:hAnsi="微软雅黑" w:eastAsia="微软雅黑"/>
          <w:sz w:val="21"/>
        </w:rPr>
        <w:t xml:space="preserve">         来源：国民经略</w:t>
      </w:r>
    </w:p>
    <w:p>
      <w:pPr>
        <w:spacing w:after="120"/>
      </w:pPr>
      <w:r>
        <w:rPr>
          <w:rFonts w:ascii="微软雅黑" w:hAnsi="微软雅黑" w:eastAsia="微软雅黑"/>
          <w:sz w:val="21"/>
        </w:rPr>
        <w:t xml:space="preserve">         发布时间：2026-04-20 12:03:00</w:t>
      </w:r>
    </w:p>
    <w:p>
      <w:pPr>
        <w:spacing w:after="120"/>
        <w:jc w:val="both"/>
      </w:pPr>
      <w:r>
        <w:rPr>
          <w:rFonts w:ascii="微软雅黑" w:hAnsi="微软雅黑" w:eastAsia="微软雅黑"/>
          <w:sz w:val="21"/>
        </w:rPr>
        <w:t xml:space="preserve">         内容摘要：新疆宣布，经批准设立县级草湖市，驻地草湖镇，由自治区直辖。在我国，县与县级市级别相当，但定位有别：县以农业为主，县级市则聚焦于工商业，与地级市同属“城市”范畴。草湖设市，标志着中国最年轻的城市诞生。此前，这一“最年轻城市”的桂冠属于同样地处新疆的白杨市。</w:t>
      </w:r>
    </w:p>
    <w:p>
      <w:pPr>
        <w:spacing w:after="240"/>
      </w:pPr>
      <w:r>
        <w:rPr>
          <w:rFonts w:ascii="微软雅黑" w:hAnsi="微软雅黑" w:eastAsia="微软雅黑"/>
          <w:sz w:val="21"/>
        </w:rPr>
        <w:t xml:space="preserve">         文章链接：</w:t>
      </w:r>
      <w:r>
        <w:rPr>
          <w:color w:val="0000FF"/>
        </w:rPr>
        <w:t>http://mp.weixin.qq.com/s?__biz=MzUyMTI0MDkxMg==&amp;mid=2247512417&amp;idx=1&amp;sn=e4bc76c8ffee8c1a2b20b39acdcfdbfc&amp;chksm=f8d1e0d4d6fc2485d38ef4ffea66b4b898115ad01e2391473d8aaf9d7e5bb038e8019abbf8ec&amp;scene=0#rd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五、【2026医疗反腐风暴：回扣3万入刑，系统治理直击行业灰色心脏】</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发布时间：2026-04-21 01:03:08</w:t>
      </w:r>
    </w:p>
    <w:p>
      <w:pPr>
        <w:spacing w:after="120"/>
        <w:jc w:val="both"/>
      </w:pPr>
      <w:r>
        <w:rPr>
          <w:rFonts w:ascii="微软雅黑" w:hAnsi="微软雅黑" w:eastAsia="微软雅黑"/>
          <w:sz w:val="21"/>
        </w:rPr>
        <w:t xml:space="preserve">         内容摘要：2026年春天，中国医疗反腐进入系统性治理关键时期。武汉大学中南医院原院长王行环因“搞新型隐性腐败”等被“双开”。最高人民法院、最高人民检察院联合发布司法解释，明确自5月1日起，医生收受回扣3万元即可刑事立案，药企行贿10万元即可入刑，大幅降低入罪门槛。中纪委强调医药领域腐败必须“露头就打、寸步不让”。  此次反腐从“个案打击”转向“系统治理”。监管覆盖全链条、全流程，重点监督医院院长、药企高管、医保管理人员等“关键少数”与关键岗位，并延伸至退休人员，实行终身追责。治理环节涵盖药品耗材采购、医保基金使用等关键流程。同时坚持“受贿行贿一起查”，溯源深挖“围猎”行为。  反腐手段上运用大数据分析模型穿透“关系链、资金链、利益链”，以识别线上转账、学术会议赞助等新型隐蔽腐败。国家医保局将口腔、内分泌等新领域纳入医保基金自查范围，并鼓励全民监督举报。  国务院办公厅发文要求公立医疗机构药品通过省级平台采购并零差率销售，以切断加价利益链。行业数据显示，部分药企销售费用高企，灰色空间仍存。司法解释明确药企单位行贿将追责法人，使“医药代表个人行为”的切割策略失效。这场风暴旨在守护医保基金，让老百姓看病不再多花冤枉钱。</w:t>
      </w:r>
    </w:p>
    <w:p>
      <w:pPr>
        <w:spacing w:after="240"/>
      </w:pPr>
      <w:r>
        <w:rPr>
          <w:rFonts w:ascii="微软雅黑" w:hAnsi="微软雅黑" w:eastAsia="微软雅黑"/>
          <w:sz w:val="21"/>
        </w:rPr>
        <w:t xml:space="preserve">         文章链接：</w:t>
      </w:r>
      <w:r>
        <w:rPr>
          <w:color w:val="0000FF"/>
        </w:rPr>
        <w:t>https://mp.weixin.qq.com/s/vxWHAlv2NUpyysO2kDPt-Q</w:t>
      </w:r>
    </w:p>
    <w:p>
      <w:pPr>
        <w:spacing w:before="300" w:after="200"/>
      </w:pPr>
      <w:r>
        <w:rPr>
          <w:rFonts w:ascii="微软雅黑" w:hAnsi="微软雅黑" w:eastAsia="微软雅黑"/>
          <w:b/>
          <w:color w:val="000000"/>
          <w:sz w:val="32"/>
        </w:rPr>
        <w:br/>
        <w:t>【社会热点与舆论动态】</w:t>
      </w:r>
    </w:p>
    <w:p>
      <w:pPr>
        <w:spacing w:after="120"/>
      </w:pPr>
      <w:r>
        <w:rPr>
          <w:rFonts w:ascii="微软雅黑" w:hAnsi="微软雅黑" w:eastAsia="微软雅黑"/>
          <w:b/>
          <w:sz w:val="24"/>
        </w:rPr>
        <w:t>一、【光明“新鲜牧场”牛奶被指玩商标文字游戏，涉嫌擦边鲜牛奶】</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发布时间：2026-04-21 00:00:00</w:t>
      </w:r>
    </w:p>
    <w:p>
      <w:pPr>
        <w:spacing w:after="120"/>
        <w:jc w:val="both"/>
      </w:pPr>
      <w:r>
        <w:rPr>
          <w:rFonts w:ascii="微软雅黑" w:hAnsi="微软雅黑" w:eastAsia="微软雅黑"/>
          <w:sz w:val="21"/>
        </w:rPr>
        <w:t xml:space="preserve">         内容摘要：近日，多位消费者在社交媒体投诉光明“新鲜牧场”牛奶。消费者指出，该产品包装印有醒目的“新鲜牧场”字样，且常年陈列于冷藏柜中，但其真实身份是高温杀菌乳，并非鲜牛奶。消费者质疑其通过商标和陈列方式玩“文字游戏”，有擦边鲜牛奶的嫌疑。此事件被中国新闻网于4月19日报道，并作为2026年度红网“青椒评论”系列作品的一部分。报道揭示了当前食品营销中存在的一种乱象。</w:t>
      </w:r>
    </w:p>
    <w:p>
      <w:pPr>
        <w:spacing w:after="240"/>
      </w:pPr>
      <w:r>
        <w:rPr>
          <w:rFonts w:ascii="微软雅黑" w:hAnsi="微软雅黑" w:eastAsia="微软雅黑"/>
          <w:sz w:val="21"/>
        </w:rPr>
        <w:t xml:space="preserve">         文章链接：</w:t>
      </w:r>
      <w:r>
        <w:rPr>
          <w:color w:val="0000FF"/>
        </w:rPr>
        <w:t>http://mp.weixin.qq.com/s?__biz=MzA5ODU2MDIxMQ==&amp;mid=2653636591&amp;idx=4&amp;sn=b78069d28a724e5be802d8cf5737598e&amp;chksm=8acbd40db8c2bf4d3998c01e713d2e2bf59f307988c55e4d61639e75bcbacf991b3271d1c3a1&amp;scene=0#rd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二、【“五粮液”变“五稂液”，假酒销往20余省涉案2.6亿元】</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发布时间：2026-04-21 00:00:00</w:t>
      </w:r>
    </w:p>
    <w:p>
      <w:pPr>
        <w:spacing w:after="120"/>
        <w:jc w:val="both"/>
      </w:pPr>
      <w:r>
        <w:rPr>
          <w:rFonts w:ascii="微软雅黑" w:hAnsi="微软雅黑" w:eastAsia="微软雅黑"/>
          <w:sz w:val="21"/>
        </w:rPr>
        <w:t xml:space="preserve">         内容摘要：山东消费者王先生在某直播间以168元一箱的价格购买“名酒”，到手后发现是假酒。经查，造假窝点使用食用酒精勾兑成配制酒，并通过包装伪装成“名优老酒”。这些假酒，包括仿冒“五稂液”、“剣南春”等品牌的产品，已累计销往全国20多个省份，涉案金额高达2.6亿元。</w:t>
      </w:r>
    </w:p>
    <w:p>
      <w:pPr>
        <w:spacing w:after="240"/>
      </w:pPr>
      <w:r>
        <w:rPr>
          <w:rFonts w:ascii="微软雅黑" w:hAnsi="微软雅黑" w:eastAsia="微软雅黑"/>
          <w:sz w:val="21"/>
        </w:rPr>
        <w:t xml:space="preserve">         文章链接：</w:t>
      </w:r>
      <w:r>
        <w:rPr>
          <w:color w:val="0000FF"/>
        </w:rPr>
        <w:t>http://mp.weixin.qq.com/s?__biz=MzA5ODU2MDIxMQ==&amp;mid=2653636591&amp;idx=3&amp;sn=55b7239a0abe02714fb6cb61ca539354&amp;chksm=8aa859c3d881f5a447357a8f07219a8bfa393eaf9fbc3b4d2fe3bace75718a250968ade0847b&amp;scene=0#rd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三、【云南一高中生因操行分不合格被劝退引争议】</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发布时间：2026-04-21 00:00:00</w:t>
      </w:r>
    </w:p>
    <w:p>
      <w:pPr>
        <w:spacing w:after="120"/>
        <w:jc w:val="both"/>
      </w:pPr>
      <w:r>
        <w:rPr>
          <w:rFonts w:ascii="微软雅黑" w:hAnsi="微软雅黑" w:eastAsia="微软雅黑"/>
          <w:sz w:val="21"/>
        </w:rPr>
        <w:t xml:space="preserve">         内容摘要：据潇湘晨报报道，云南一名高中生因操行分不合格被劝退，引发广泛争议。学生家长苏先生称，其弟弟今年在云南建水县一中读高二，因3月份带电话手表进校被罚留校察看，又因2025年9月份操行分不合格被记过，处分叠加后，学校劝令其转学。建水一中一名工作人员对此事进行了回应。该事件被作为2026年度红网“青椒评论”系列作品由赵梦茹（西南科技大学）进行评述。</w:t>
      </w:r>
    </w:p>
    <w:p>
      <w:pPr>
        <w:spacing w:after="240"/>
      </w:pPr>
      <w:r>
        <w:rPr>
          <w:rFonts w:ascii="微软雅黑" w:hAnsi="微软雅黑" w:eastAsia="微软雅黑"/>
          <w:sz w:val="21"/>
        </w:rPr>
        <w:t xml:space="preserve">         文章链接：</w:t>
      </w:r>
      <w:r>
        <w:rPr>
          <w:color w:val="0000FF"/>
        </w:rPr>
        <w:t>http://mp.weixin.qq.com/s?__biz=MzA5ODU2MDIxMQ==&amp;mid=2653636591&amp;idx=2&amp;sn=be39c610ec0b65dd28c233c91ace2c2e&amp;chksm=8a44c1f6c5c7b059247b612192d159894572094fdef1333201cae8523da38b1279119cc93ba0&amp;scene=0#rd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四、【河南三地招商引资数据造假超127亿，25人被问责后三大疑问待解】</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发布时间：2026-04-20 15:21:56</w:t>
      </w:r>
    </w:p>
    <w:p>
      <w:pPr>
        <w:spacing w:after="120"/>
        <w:jc w:val="both"/>
      </w:pPr>
      <w:r>
        <w:rPr>
          <w:rFonts w:ascii="微软雅黑" w:hAnsi="微软雅黑" w:eastAsia="微软雅黑"/>
          <w:sz w:val="21"/>
        </w:rPr>
        <w:t xml:space="preserve">         内容摘要：针对《焦点访谈》曝光的招商引资数据造假问题，河南省采取了一系列处理措施：立即取消相关数据考核排名；成立专项调研组全面排查整改，对25名党员干部严肃追责问责，商务厅党组向省委作深刻检查；并在12个重点行业领域开展同类问题整治。  曝光的具体造假情况触目惊心：舞阳县上报的78亿资金中有77亿纯属虚报，管城区凭空虚构9.6亿元投资，柘城县虚报金额超40亿元，仅这三个县级单位虚报总额就达127亿元。这些“亮眼”成绩实则是数字泡沫和纸面政绩，更是长期累积的顽疾。  文章随之提出三个难以拉直的问号。第一，造假问题可能并非孤立现象。在层层加码的考核压力和唯数据论的政绩导向下，数据注水往往具有普遍性和隐蔽性。第二，虚假数据可能不仅限于引进省外资金这一指标。在经济发展、项目建设等存在刚性考核的领域，都可能成为数据造假的重灾区。河南在12个领域部署整治，说明已意识到这是系统性问题。第三，仅处理具体干部能否根治顽疾？核心问题在于不切实际的考核压力、唯数字论的评价体系以及形式主义作风。若未彻底扭转政绩导向、优化考核机制、建立长效监督体系，造假很可能卷土重来。  文章最后反思，在成人世界中“讲真话报实情”并不容易，当数字造假成为潜规则，最紧迫的是改变滋生问题的环境。</w:t>
      </w:r>
    </w:p>
    <w:p>
      <w:pPr>
        <w:spacing w:after="240"/>
      </w:pPr>
      <w:r>
        <w:rPr>
          <w:rFonts w:ascii="微软雅黑" w:hAnsi="微软雅黑" w:eastAsia="微软雅黑"/>
          <w:sz w:val="21"/>
        </w:rPr>
        <w:t xml:space="preserve">         文章链接：</w:t>
      </w:r>
      <w:r>
        <w:rPr>
          <w:color w:val="0000FF"/>
        </w:rPr>
        <w:t>https://mp.weixin.qq.com/s/ay8IC-h4hacrkMImeI2hJA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五、【泼水节乱象频发：高压水枪袭人、骚扰女性、车辆受损，民俗变味引担忧】</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发布时间：2026-04-20 09:44:04</w:t>
      </w:r>
    </w:p>
    <w:p>
      <w:pPr>
        <w:spacing w:after="120"/>
        <w:jc w:val="both"/>
      </w:pPr>
      <w:r>
        <w:rPr>
          <w:rFonts w:ascii="微软雅黑" w:hAnsi="微软雅黑" w:eastAsia="微软雅黑"/>
          <w:sz w:val="21"/>
        </w:rPr>
        <w:t xml:space="preserve">         内容摘要：近期泼水节期间发生多起越界行为，使这一传统节日蒙上阴影。4月13日，两名骑电动车女子被人群围堵，遭高压水枪对准头脸及隐私部位持续攻击，尽管她们摆手拒绝和求饶。次日，一辆正常行驶的外地新能源车被强行拉开车门喷水，导致车内人员全身湿透，电路短路冒烟。另有男子撕扯女性雨衣并向私密部位喷水，还有游客被高压水枪击中右眼住院治疗。文章指出，这些行为已从祝福变为霸凌甚至犯罪。  乱象并非首次，自2013年起年年上演。2023年有类似骚扰事件，2024年有游客眼伤，2026年西双版纳医院已接诊17例眼伤患者。尽管当地每年发布文明泼水倡议书，禁止使用高压水枪、强行拦车及骚扰行为，但乱象依旧。文章分析，部分原因是“法不责众”心理，以及个体拒绝被嘲弄为“玩不起”，导致受害者忍气吞声。  文章提及，泰国泼水节情况更为严重，2026年节日期间发生1242起交通事故，致242人死亡、1200人受伤，甚至出现有人利用水枪喷射迷药“GHB”的犯罪事件。  法律界人士认为，这些越界行为可能涉及民事侵权、行政违法乃至刑事犯罪，如故意伤害罪和强制猥亵罪。文章强调，民俗不是违法行为的免责声明，倡议书的“柔性劝导”需配合“刚性执法”。若状况无法扭转，泼水节可能面临被禁止的风险。文章最后指出，泼水节是国家级非物质文化遗产，脏的不是水，而是人心。</w:t>
      </w:r>
    </w:p>
    <w:p>
      <w:pPr>
        <w:spacing w:after="240"/>
      </w:pPr>
      <w:r>
        <w:rPr>
          <w:rFonts w:ascii="微软雅黑" w:hAnsi="微软雅黑" w:eastAsia="微软雅黑"/>
          <w:sz w:val="21"/>
        </w:rPr>
        <w:t xml:space="preserve">         文章链接：</w:t>
      </w:r>
      <w:r>
        <w:rPr>
          <w:color w:val="0000FF"/>
        </w:rPr>
        <w:t>https://mp.weixin.qq.com/s/Nwq0BlnwbF8X0YwHP9pp2Q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六、【宁夏小学生拒借三轮车遭9人围殴入户抢劫，施暴者因低龄免于实质处罚】</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发布时间：2026-04-20 08:59:32</w:t>
      </w:r>
    </w:p>
    <w:p>
      <w:pPr>
        <w:spacing w:after="120"/>
        <w:jc w:val="both"/>
      </w:pPr>
      <w:r>
        <w:rPr>
          <w:rFonts w:ascii="微软雅黑" w:hAnsi="微软雅黑" w:eastAsia="微软雅黑"/>
          <w:sz w:val="21"/>
        </w:rPr>
        <w:t xml:space="preserve">         内容摘要：近日，宁夏银川一名12岁小学生因拒绝出借电动三轮车，遭到9名中小学生群殴、辱骂、拍视频，并被威胁带至家中翻找财物。警方调查后锁定9名施暴者，其中8人因未满14岁不予处罚，1人已满14岁未满16周岁者被处以行政拘留12日但不送拘留所执行。受害者身心受创，不敢返校，其母亲已以入室抢劫为由再次报案。  评论指出，施暴行为具有预谋性，包括躲避监控和入户搜刮财物，已远超普通打闹。施暴者清楚知晓年龄是“免罪金牌”，且事后毫无悔意，其家长也未露面道歉或赔偿。受害者母亲因观看施暴视频身心遭受巨大冲击，需服药缓解。事件暴露了部分家庭管教缺失、道德教育缺位的问题。若对低龄暴力霸凌始终缺乏实质惩戒，可能助长施暴者有恃无恐，使未成年人暴力蔓延，埋下社会安全隐患。保护未成年人，首先应保护受害的未成年人。</w:t>
      </w:r>
    </w:p>
    <w:p>
      <w:pPr>
        <w:spacing w:after="240"/>
      </w:pPr>
      <w:r>
        <w:rPr>
          <w:rFonts w:ascii="微软雅黑" w:hAnsi="微软雅黑" w:eastAsia="微软雅黑"/>
          <w:sz w:val="21"/>
        </w:rPr>
        <w:t xml:space="preserve">         文章链接：</w:t>
      </w:r>
      <w:r>
        <w:rPr>
          <w:color w:val="0000FF"/>
        </w:rPr>
        <w:t>https://mp.weixin.qq.com/s/XEaU37Qz5haCxV1MDIhvww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七、【新车电池卡扣断裂维修费高达13万，车主陷“修不起也不能不修”困境】</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发布时间：2026-04-20 08:59:32</w:t>
      </w:r>
    </w:p>
    <w:p>
      <w:pPr>
        <w:spacing w:after="120"/>
        <w:jc w:val="both"/>
      </w:pPr>
      <w:r>
        <w:rPr>
          <w:rFonts w:ascii="微软雅黑" w:hAnsi="微软雅黑" w:eastAsia="微软雅黑"/>
          <w:sz w:val="21"/>
        </w:rPr>
        <w:t xml:space="preserve">         内容摘要：一位车主新提的二十多万国产新能源车，在停车场低速行驶时底盘轻微磕碰，导致电池包外壳上一个塑料固定卡扣断裂。经检查，电池内部电芯完好、无变形漏液，密封结构完整，无安全隐患。然而，4S店给出的维修方案是无法单独更换卡扣，必须整体更换整套动力电池总成，官方报价高达13万元。  车主认为这只是百十来块的小问题，却面临近半车价的维修费。厂家以意外损伤为由拒绝保修，保险公司也拒赔。文章作者“槽三刀”批评，这背后是车企以“一体化设计”为挡箭牌，拒不开放单独维修渠道，垄断维修定价权，将高昂维修成本转嫁给消费者。这种“小病大修”的做法，让车主陷入“修不起、也不能不修”的境地，新车可能面临“被报废”的结局。文章指出，电池包一体化设计本为提升性能，却成了部分车企牟取售后暴利的工具，其蛮横冰冷的售后规则消耗了车主信任。</w:t>
      </w:r>
    </w:p>
    <w:p>
      <w:pPr>
        <w:spacing w:after="240"/>
      </w:pPr>
      <w:r>
        <w:rPr>
          <w:rFonts w:ascii="微软雅黑" w:hAnsi="微软雅黑" w:eastAsia="微软雅黑"/>
          <w:sz w:val="21"/>
        </w:rPr>
        <w:t xml:space="preserve">         文章链接：</w:t>
      </w:r>
      <w:r>
        <w:rPr>
          <w:color w:val="0000FF"/>
        </w:rPr>
        <w:t>https://mp.weixin.qq.com/s/UAKIOJaJ5ayQpCUlbamv0g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八、【“开盒”犯罪背后：信息泄露成常态，道德与法律土壤亟待治理】</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发布时间：2026-04-20 04:40:12</w:t>
      </w:r>
    </w:p>
    <w:p>
      <w:pPr>
        <w:spacing w:after="120"/>
        <w:jc w:val="both"/>
      </w:pPr>
      <w:r>
        <w:rPr>
          <w:rFonts w:ascii="微软雅黑" w:hAnsi="微软雅黑" w:eastAsia="微软雅黑"/>
          <w:sz w:val="21"/>
        </w:rPr>
        <w:t xml:space="preserve">         内容摘要：2026年3月，主播李雨桐因在直播中展示他人身份证号被行政拘留。同年4月，上海林女士因举报虐猫，其全家户籍信息、长辈身份证号等被公开张贴，导致其被骚扰并住进ICU。两起事件均属“开盒”（即非法公开个人信息）犯罪。  最高检2026年3月发布的典型案例显示，林某武等5人搭建“社工库”网站，非法提供公民个人信息超1000次，被判刑。2025年，有通信公司工程师违规查询基站定位信息千余条获刑。然而，问题核心在于此类犯罪为何能轻易发生。林女士的信息并非自己泄露，而是早已存在于标价售卖的数据库中。  这些海量信息主要来源于“内鬼”。案例包括银行工作人员导出客户信息、公司员工盗取数据卖给境外、电商从业者解密订单信息非法交易等，成本仅几毛至几元一条，转手可获利数倍。信息买卖已成常态，例如业主在房管局签字后，装修公司电话随即追来，实为信息被地产从业人员打包转卖。  “开盒”的工具常非黑客技术，而是基于“人情”的内部泄露。社会对泄露隐私的道德阈值极低，泄露者常以“拓展业务”、“数据闲置”等理由自我开脱，形成“道德的溃口”。同时，部分人将“开盒”视为“以牙还牙”的正义手段，用正义名义为越界行为开脱，形成“道德的名义”。更深层的问题在于，社会习惯了被侵犯隐私，也习惯了侵犯他人，并以“那不一样”进行自我豁免。  法律已对侵犯个人信息行为进行惩处，但仅能处理“枝叶”。根源在于社会文化对“隐私”理解模糊，认为个人边界可被侵犯、秘密可被交换、隐私可被标价。信息在倒卖者眼中是商品，在“开盒”者眼中是武器，而在许多人眼中“什么都不是”，可被随意对待。这种默许甚至参与泄露的文化，构成了“开盒”犯罪最本质的土壤。</w:t>
      </w:r>
    </w:p>
    <w:p>
      <w:pPr>
        <w:spacing w:after="240"/>
      </w:pPr>
      <w:r>
        <w:rPr>
          <w:rFonts w:ascii="微软雅黑" w:hAnsi="微软雅黑" w:eastAsia="微软雅黑"/>
          <w:sz w:val="21"/>
        </w:rPr>
        <w:t xml:space="preserve">         文章链接：</w:t>
      </w:r>
      <w:r>
        <w:rPr>
          <w:color w:val="0000FF"/>
        </w:rPr>
        <w:t>https://mp.weixin.qq.com/s/_21Sqnjnio7366Vu1RhXQw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九、【食堂员工带走学生剩饭引热议，折射校园食品安全信任危机】</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发布时间：2026-04-21 01:50:22</w:t>
      </w:r>
    </w:p>
    <w:p>
      <w:pPr>
        <w:spacing w:after="120"/>
        <w:jc w:val="both"/>
      </w:pPr>
      <w:r>
        <w:rPr>
          <w:rFonts w:ascii="微软雅黑" w:hAnsi="微软雅黑" w:eastAsia="微软雅黑"/>
          <w:sz w:val="21"/>
        </w:rPr>
        <w:t xml:space="preserve">         内容摘要：广西陆川旺垌小学食堂员工将学生吃剩下的饭菜带回家一事引发关注。官方通报澄清，被带走的是剩余饭菜，并非克扣学生的营养午餐。文章认为，此事能成为热搜，并非事件本身有重大新闻价值，而是触发了公众对校园食品安全的普遍担忧。  文章指出，食堂员工愿意将饭菜带回家，至少说明饭菜本身质量无虞，这与过去频发的“鼠头鸭脖”、“臭肉事件”等负面新闻形成对比。公众已形成一种下意识判断：员工自己都不碰的东西肯定有问题，反之则说明食物尚可。此次事件成了公众积压情绪的宣泄口。  对于官方通报中“将剩饭带回家喂鸡”的表述，文章认为其“矫枉过正”，旨在将行为定性为“处理厨余垃圾”而非“私分公共财物”，但这种说法在传播上产生了语义错位，削弱了此前公众因员工带饭行为而对饭菜质量产生的好感。  文章分析，此类新闻屡上热搜的根本原因，是公众因以往校园食品安全事件（如官方辟谣后被证实的“鼠头鸭脖”事件、处理过程不透明的“臭肉事件”）产生了“创伤后应激反应”（PTSD），导致对任何与学生吃饭相关的消息都高度敏感，习惯性往坏处联想。这种反应针对的是整个系统长期积累的问题。重建信任需要全链条的透明和出现问题后不遮掩的态度，而非仅仅一纸通报。</w:t>
      </w:r>
    </w:p>
    <w:p>
      <w:pPr>
        <w:spacing w:after="240"/>
      </w:pPr>
      <w:r>
        <w:rPr>
          <w:rFonts w:ascii="微软雅黑" w:hAnsi="微软雅黑" w:eastAsia="微软雅黑"/>
          <w:sz w:val="21"/>
        </w:rPr>
        <w:t xml:space="preserve">         文章链接：</w:t>
      </w:r>
      <w:r>
        <w:rPr>
          <w:color w:val="0000FF"/>
        </w:rPr>
        <w:t>https://mp.weixin.qq.com/s/7BltEUygAmQxqSZ91Fb_yA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十、【李嘉诚资产出售引关注，市场热议“船舱”段子喻示风险感知差异】</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发布时间：2026-04-20 19:26:00</w:t>
      </w:r>
    </w:p>
    <w:p>
      <w:pPr>
        <w:spacing w:after="120"/>
        <w:jc w:val="both"/>
      </w:pPr>
      <w:r>
        <w:rPr>
          <w:rFonts w:ascii="微软雅黑" w:hAnsi="微软雅黑" w:eastAsia="微软雅黑"/>
          <w:sz w:val="21"/>
        </w:rPr>
        <w:t xml:space="preserve">         内容摘要：文章引用了一个关于“船遇冰山”的老段子，用以比喻不同市场参与者对潜在风险的感知差异。段子描述：头等舱旅客看到冰山后急忙整理物品准备转移；二等舱旅客感觉到船体摇晃，询问发生何事；三等舱旅客仍在喝酒睡觉；四等舱旅客在导游带领下赞叹船的伟大；五等舱旅客则集体学习讨论冰山的渺小。段子最后以“您在几等舱？”作为结尾。该段子被置于知名企业家李嘉诚近期进行资产出售的新闻背景下进行讨论，暗示其行动可能类似于“头等舱旅客”对风险的提前反应。文章未对李嘉诚出售资产的具体细节、原因或市场影响进行进一步阐述，核心内容集中于通过这一比喻，引发读者对自身在市场中所处位置及风险警觉性的思考。</w:t>
      </w:r>
    </w:p>
    <w:p>
      <w:pPr>
        <w:spacing w:after="240"/>
      </w:pPr>
      <w:r>
        <w:rPr>
          <w:rFonts w:ascii="微软雅黑" w:hAnsi="微软雅黑" w:eastAsia="微软雅黑"/>
          <w:sz w:val="21"/>
        </w:rPr>
        <w:t xml:space="preserve">         文章链接：</w:t>
      </w:r>
      <w:r>
        <w:rPr>
          <w:color w:val="0000FF"/>
        </w:rPr>
        <w:t>http://mp.weixin.qq.com/s?__biz=MzYyMTU4OTg5Mg==&amp;mid=2247659768&amp;idx=2&amp;sn=e31e9dcbef0d46e51d7341a5b1ca8cbb&amp;chksm=fe54d0732c5ebd208329ac18b73425bc05d1d469d2349baa50d638c035e7c55d22328e045d0b&amp;scene=0#rd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