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- 2026年04月03日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教育科技】、【社会法治】、【商业财经】三大领域。核心议题包括：①人工智能深度赋能教育与科研体系改革；②社会诚信与规则意识在司法与校园场景下的重申；③企业治理与商业伦理面临现实考验。</w:t>
        <w:br/>
        <w:br/>
        <w:t>第一，**AI驱动教育科研范式变革**。教育部系统部署“十五五”“人工智能+教育”行动，清华大学等高校推动AI时代课程体系改革，新型研究型大学探索“无级别、无编制”新机制，职业本科院校崛起并吸引大批名校博士。</w:t>
        <w:br/>
        <w:br/>
        <w:t>第二，**司法与规则捍卫社会公平底线**。法院驳回病人家属对保姆的“天价索赔”，明确反对“谁闹谁有理”；香港法院对行贿获取学位的家长判刑，彰显对腐败“零容忍”；西南石油大学发布财务报销“30条禁令”，严控经费使用。</w:t>
        <w:br/>
        <w:br/>
        <w:t>第三，**企业治理与商业信用面临审视**。交通银行利润分配公告现“一字之差”重大笔误，暴露内控漏洞；直播带货顶流主播因产品问题面临信用背书风险；万科资金运作争议与高管变动引发关注。</w:t>
        <w:br/>
        <w:br/>
        <w:t>此外，**产业创新与务实作风**同样值得关注：华为年报展现“埋头打井”的研发定力；摩托车手张雪夺冠后体现长期主义价值选择；县委书记“二字闭幕”发言获赞，折射反形式主义务实新风。</w:t>
      </w:r>
    </w:p>
    <w:p>
      <w:pPr>
        <w:spacing w:after="300"/>
        <w:jc w:val="center"/>
      </w:pPr>
      <w:r>
        <w:rPr>
          <w:rFonts w:ascii="微软雅黑" w:hAnsi="微软雅黑" w:eastAsia="微软雅黑"/>
          <w:color w:val="808080"/>
          <w:sz w:val="18"/>
        </w:rPr>
        <w:t>═══════════════════════════════════════════════════════════════════════</w:t>
      </w:r>
    </w:p>
    <w:p>
      <w:pPr>
        <w:spacing w:after="120"/>
      </w:pPr>
      <w:r>
        <w:rPr>
          <w:rFonts w:ascii="微软雅黑" w:hAnsi="微软雅黑" w:eastAsia="微软雅黑"/>
          <w:b/>
          <w:sz w:val="24"/>
        </w:rPr>
        <w:t>一、【高校财务报销划定红线，严禁虚报拆分与个人消费】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发布时间：2026-04-03 04:54:42</w:t>
      </w:r>
    </w:p>
    <w:p>
      <w:pPr>
        <w:spacing w:after="120"/>
      </w:pPr>
      <w:r>
        <w:rPr>
          <w:rFonts w:ascii="微软雅黑" w:hAnsi="微软雅黑" w:eastAsia="微软雅黑"/>
          <w:sz w:val="21"/>
        </w:rPr>
        <w:t xml:space="preserve">         内容摘要：【高校财务报销划定红线，严禁虚报拆分与个人消费】 西南石油大学近日制定并发布财务报销“负面清单”，列出30条具体禁令，旨在严肃财经纪律、规范经费使用。清单核心内容包括严禁虚报冒领、恶意拆分、报销个人费用等六大类违规行为。  具体禁令直指常见违规情形：严禁通过向学生发放劳务费再回收等方式套取科研经费；严禁虚构会议、差旅事实或使用虚假发票套取资金；严禁将设备拆分成配件以“耗材”名义采购以规避固定资产管理；严禁报销应由个人承担的旅游、探亲、家庭消费等费用，明确咖啡店、甜品店、景区等发票原则上不予报销；严禁在会议费中列支宴请、烟酒或发放纪念品；严禁在无实质内容的学习考察中变相旅游。  清单同时强调多项财务纪律：要求遵循“交易真实、主体一致、凭证完整”原则；科研经费外拨对象不得与项目组成员有直接利益关系，且外拨比例不得超过50%；不得突击花钱或截留收入形成“小金库”。该规定是对中央八项规定精神的进一步落实，旨在严格控制经费支出，保障学校事业健康发展。</w:t>
      </w:r>
    </w:p>
    <w:p>
      <w:pPr>
        <w:spacing w:after="240"/>
      </w:pPr>
      <w:r>
        <w:rPr>
          <w:rFonts w:ascii="微软雅黑" w:hAnsi="微软雅黑" w:eastAsia="微软雅黑"/>
          <w:sz w:val="21"/>
        </w:rPr>
        <w:t xml:space="preserve">         文章链接：</w:t>
      </w:r>
      <w:r>
        <w:rPr>
          <w:color w:val="0000FF"/>
        </w:rPr>
        <w:t>https://mp.weixin.qq.com/s/SQ8CwdgUtvJZPCPE4x2k0g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二、【法院驳回家属对保姆及平台的天价索赔，强调“谁闹谁有理”不可取】</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发布时间：2026-04-03 04:50:12</w:t>
      </w:r>
    </w:p>
    <w:p>
      <w:pPr>
        <w:spacing w:after="120"/>
      </w:pPr>
      <w:r>
        <w:rPr>
          <w:rFonts w:ascii="微软雅黑" w:hAnsi="微软雅黑" w:eastAsia="微软雅黑"/>
          <w:sz w:val="21"/>
        </w:rPr>
        <w:t xml:space="preserve">         内容摘要：【法院驳回家属对保姆及平台的天价索赔，强调“谁闹谁有理”不可取】 江苏淮安一脑干出血病人在住家保姆上门首日去世，家属起诉保姆及家政平台，索赔132.7万元并返还服务费7300元。法院审理认定，保姆按合同进行擦洗按摩，无证据证明其操作失误或与老人离世有直接因果关系；家政平台已履行资质审核与风险提示义务。鉴于老人出院时已病情危重，家属曾签署风险自担承诺书，法院判决保姆与平台无过错，不承担赔偿责任，仅需返还7300元服务费，132.7万元赔偿请求被全部驳回。  案件引发对“零成本告状”及“讹人文化”的担忧。类似现象包括：顾客在超市摔倒索赔数十万、好心扶老人反被索赔、以及福建两女生扶起摔倒老人后被认定“无接触事故”次要责任并遭索赔22万元（后撤诉）。这些案例显示，若讹诈行为无需成本，可能助长滥诉风气，导致社会信任受损。  为遏制恶意诉讼，最高人民法院于2024年9月发布《民法典侵权责任编司法解释（一）》，明确恶意诉讼的构成要件，并规定侵权人需承担受害方的律师费等实际损失。此举旨在增加滥诉成本，让“输了不亏”的算计失去空间，以司法判决引导社会风气，保护守规者权益。</w:t>
      </w:r>
    </w:p>
    <w:p>
      <w:pPr>
        <w:spacing w:after="240"/>
      </w:pPr>
      <w:r>
        <w:rPr>
          <w:rFonts w:ascii="微软雅黑" w:hAnsi="微软雅黑" w:eastAsia="微软雅黑"/>
          <w:sz w:val="21"/>
        </w:rPr>
        <w:t xml:space="preserve">         文章链接：</w:t>
      </w:r>
      <w:r>
        <w:rPr>
          <w:color w:val="0000FF"/>
        </w:rPr>
        <w:t>https://mp.weixin.qq.com/s/SC00HIohmrQIRMl3Kj8fvQ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三、【谷歌与OpenAI在AI大模型领域的竞争与反击】</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发布时间：2026-04-03 12:19:00</w:t>
      </w:r>
    </w:p>
    <w:p>
      <w:pPr>
        <w:spacing w:after="120"/>
      </w:pPr>
      <w:r>
        <w:rPr>
          <w:rFonts w:ascii="微软雅黑" w:hAnsi="微软雅黑" w:eastAsia="微软雅黑"/>
          <w:sz w:val="21"/>
        </w:rPr>
        <w:t xml:space="preserve">         内容摘要：【谷歌与OpenAI在AI大模型领域的竞争与反击】  2022年11月30日，OpenAI发布ChatGPT，其用户数在不到两个月内突破1亿，成为史上增长最快的消费级应用。这一现象级产品对自视为AI领导者的谷歌构成了直接冲击。  谷歌CEO桑达尔·皮查伊随即宣布进入“红色代码”紧急状态，并迅速重组AI部门，将DeepMind与谷歌大脑合并为Google DeepMind，由DeepMind联合创始人德米斯·哈萨比斯统一领导。此举旨在整合资源，加速应对。  作为反击，谷歌在2023年5月的I/O大会上密集发布了PaLM 2大模型、Bard聊天机器人升级版，并宣布将生成式AI整合进搜索等核心产品。同年12月，谷歌推出其最强大的大模型Gemini Ultra，试图在性能上对标乃至超越OpenAI的GPT-4。  这场竞争被描述为哈萨比斯（代表谷歌的严谨研究路线）与萨姆·奥特曼（代表OpenAI的快速产品化与市场路线）之间的理念较量。竞争不仅关乎技术，更涉及商业模式、生态构建与行业标准的主导权。</w:t>
      </w:r>
    </w:p>
    <w:p>
      <w:pPr>
        <w:spacing w:after="240"/>
      </w:pPr>
      <w:r>
        <w:rPr>
          <w:rFonts w:ascii="微软雅黑" w:hAnsi="微软雅黑" w:eastAsia="微软雅黑"/>
          <w:sz w:val="21"/>
        </w:rPr>
        <w:t xml:space="preserve">         文章链接：</w:t>
      </w:r>
      <w:r>
        <w:rPr>
          <w:color w:val="0000FF"/>
        </w:rPr>
        <w:t>http://mp.weixin.qq.com/s?__biz=MzI1MjcwNzExMg==&amp;mid=2247622331&amp;idx=2&amp;sn=5e7fa85e0c94a2698f36e45d183e5c05&amp;chksm=e8b582fed247c9515b59a78302db415393d3bf08b57c4e8f203de19646141064315af42b5bd2&amp;scene=0#rd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四、【顶流主播个人信用背书风险凸显，行业责任闭环亟待建立】</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发布时间：2026-04-03 12:19:00</w:t>
      </w:r>
    </w:p>
    <w:p>
      <w:pPr>
        <w:spacing w:after="120"/>
      </w:pPr>
      <w:r>
        <w:rPr>
          <w:rFonts w:ascii="微软雅黑" w:hAnsi="微软雅黑" w:eastAsia="微软雅黑"/>
          <w:sz w:val="21"/>
        </w:rPr>
        <w:t xml:space="preserve">         内容摘要：【顶流主播个人信用背书风险凸显，行业责任闭环亟待建立】  央视4月1日报道揭露了“澳洲优思益”奶粉产品问题。事件中，李若彤、章小蕙等明星主播迅速为相关产品办理了退款。相比之下，“与辉同行”客服“问题已重点关注”的回应，被舆论视为直播带货史上“最傲慢的售后宣言”。  这一事件反映出直播电商领域的核心矛盾：消费者基于信任，将顶流主播推至特殊生态位，使其个人信用被无限放大，成为商业背书的核心资产。然而，与之相匹配的产品审核义务、风险控制能力及售后责任闭环，在行业内普遍未能同步建立。压力目前正传导至董宇辉及其团队一方。</w:t>
      </w:r>
    </w:p>
    <w:p>
      <w:pPr>
        <w:spacing w:after="240"/>
      </w:pPr>
      <w:r>
        <w:rPr>
          <w:rFonts w:ascii="微软雅黑" w:hAnsi="微软雅黑" w:eastAsia="微软雅黑"/>
          <w:sz w:val="21"/>
        </w:rPr>
        <w:t xml:space="preserve">         文章链接：</w:t>
      </w:r>
      <w:r>
        <w:rPr>
          <w:color w:val="0000FF"/>
        </w:rPr>
        <w:t>http://mp.weixin.qq.com/s?__biz=MzI1MjcwNzExMg==&amp;mid=2247622331&amp;idx=1&amp;sn=a266ccde28e2340378a496cb20bd5741&amp;chksm=e822b452863c67a915fdac13dee98db8d28483126c9dd3d51f26054046025bee93b0e5f57e14&amp;scene=0#rd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五、【辣椒如何从观赏植物发展为千亿产业】</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发布时间：2026-04-03 12:01:00</w:t>
      </w:r>
    </w:p>
    <w:p>
      <w:pPr>
        <w:spacing w:after="120"/>
      </w:pPr>
      <w:r>
        <w:rPr>
          <w:rFonts w:ascii="微软雅黑" w:hAnsi="微软雅黑" w:eastAsia="微软雅黑"/>
          <w:sz w:val="21"/>
        </w:rPr>
        <w:t xml:space="preserve">         内容摘要：【辣椒如何从观赏植物发展为千亿产业】  辣椒约400多年前从墨西哥传入中国，最初作为观赏植物。云贵川地区居民发现其可替代部分盐巴，具有提味去腥、驱寒祛湿、提升菜品风味的功能，从而开始广泛食用。  辣椒产业如今已形成完整链条，涵盖品种选育、规模化种植、深加工（如辣椒酱、火锅底料）、品牌营销及餐饮应用。其核心价值在于：极大丰富了中华饮食的风味体系，成为川菜、湘菜等菜系的灵魂；创造了从田间到餐桌的庞大就业岗位；催生了以“老干妈”等为代表的国民品牌和众多地方特色产品。  当前，中国辣椒种植面积超3000万亩，年产量逾4000万吨，占全球总产量近一半。辣椒制品年产值已突破千亿元人民币，并持续带动调味品、食品加工及餐饮行业的增长。</w:t>
      </w:r>
    </w:p>
    <w:p>
      <w:pPr>
        <w:spacing w:after="240"/>
      </w:pPr>
      <w:r>
        <w:rPr>
          <w:rFonts w:ascii="微软雅黑" w:hAnsi="微软雅黑" w:eastAsia="微软雅黑"/>
          <w:sz w:val="21"/>
        </w:rPr>
        <w:t xml:space="preserve">         文章链接：</w:t>
      </w:r>
      <w:r>
        <w:rPr>
          <w:color w:val="0000FF"/>
        </w:rPr>
        <w:t>http://mp.weixin.qq.com/s?__biz=MjM5MTU3Mzk2OA==&amp;mid=2654919797&amp;idx=3&amp;sn=60094849767ff045d0c71a60bbb486ae&amp;chksm=bc406eeed2ae6a4b9e8f79a10761c1afaffe9a78fbb2da5ae36873e015aff731e3b3f06872a1&amp;scene=0#rd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六、【顶尖高校校友圈正成为中国最具影响力的财富与创新群体】</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发布时间：2026-04-03 12:01:00</w:t>
      </w:r>
    </w:p>
    <w:p>
      <w:pPr>
        <w:spacing w:after="120"/>
      </w:pPr>
      <w:r>
        <w:rPr>
          <w:rFonts w:ascii="微软雅黑" w:hAnsi="微软雅黑" w:eastAsia="微软雅黑"/>
          <w:sz w:val="21"/>
        </w:rPr>
        <w:t xml:space="preserve">         内容摘要：【顶尖高校校友圈正成为中国最具影响力的财富与创新群体】 中国最富有的圈子正从传统的“京圈”“沪圈”转向顶尖高校的校友网络。以清华大学“姚班”为代表的校友群体在全球人工智能领域占据重要地位，西北工业大学和哈尔滨工业大学的机器人技术也已广泛应用于各类生活场景。这一现象表明，中国最顶尖的人才与商业资源正高度集中于少数头部高校的校友之中。</w:t>
      </w:r>
    </w:p>
    <w:p>
      <w:pPr>
        <w:spacing w:after="240"/>
      </w:pPr>
      <w:r>
        <w:rPr>
          <w:rFonts w:ascii="微软雅黑" w:hAnsi="微软雅黑" w:eastAsia="微软雅黑"/>
          <w:sz w:val="21"/>
        </w:rPr>
        <w:t xml:space="preserve">         文章链接：</w:t>
      </w:r>
      <w:r>
        <w:rPr>
          <w:color w:val="0000FF"/>
        </w:rPr>
        <w:t>http://mp.weixin.qq.com/s?__biz=MjM5MTU3Mzk2OA==&amp;mid=2654919797&amp;idx=2&amp;sn=1b42bb99c808d6a74694ebddf4997886&amp;chksm=bcf4064af5c400015acdb0c2e28cff130c1d0646151cec07f910a592aae190172f559ec65932&amp;scene=0#rd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七、【华为年报展现“从容”底色：不追风口，深耕基础】</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发布时间：2026-04-03 12:01:00</w:t>
      </w:r>
    </w:p>
    <w:p>
      <w:pPr>
        <w:spacing w:after="120"/>
      </w:pPr>
      <w:r>
        <w:rPr>
          <w:rFonts w:ascii="微软雅黑" w:hAnsi="微软雅黑" w:eastAsia="微软雅黑"/>
          <w:sz w:val="21"/>
        </w:rPr>
        <w:t xml:space="preserve">         内容摘要：【华为年报展现“从容”底色：不追风口，深耕基础】  华为2023年实现全球销售收入7042亿元人民币，净利润870亿元人民币。轮值董事长孟晚舟在年报致辞中强调“根深则木高，基固则行远”，传递出公司历经风浪后的从容姿态。这份报告未刻意突出智驾或汽车等单一热门业务，也未渲染戏剧性的“翻盘”叙事。  华为的从容源于对基础研究与长期投入的坚持。公司持续压强式投入研发，2023年研发支出达1647亿元人民币，占全年收入的23.4%，十年累计投入的研发费用超过11100亿元人民币。这种“埋头打井”式的战略，使其在ICT基础设施、计算、终端等多个领域构建了深厚的技术根基，而非追逐短期市场风口。</w:t>
      </w:r>
    </w:p>
    <w:p>
      <w:pPr>
        <w:spacing w:after="240"/>
      </w:pPr>
      <w:r>
        <w:rPr>
          <w:rFonts w:ascii="微软雅黑" w:hAnsi="微软雅黑" w:eastAsia="微软雅黑"/>
          <w:sz w:val="21"/>
        </w:rPr>
        <w:t xml:space="preserve">         文章链接：</w:t>
      </w:r>
      <w:r>
        <w:rPr>
          <w:color w:val="0000FF"/>
        </w:rPr>
        <w:t>http://mp.weixin.qq.com/s?__biz=MjM5MTU3Mzk2OA==&amp;mid=2654919797&amp;idx=1&amp;sn=bedbd6d500eb1d8abf96acd991fa5913&amp;chksm=bc3436fbd8411f4b20ad8179e17d901d7f673f36bf5398e1d095853e5212efdd38eb1d963a19&amp;scene=0#rd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八、【香港13名家长因行贿为子女获取幼儿园学位被判刑】</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发布时间：2026-04-03 03:10:31</w:t>
      </w:r>
    </w:p>
    <w:p>
      <w:pPr>
        <w:spacing w:after="120"/>
      </w:pPr>
      <w:r>
        <w:rPr>
          <w:rFonts w:ascii="微软雅黑" w:hAnsi="微软雅黑" w:eastAsia="微软雅黑"/>
          <w:sz w:val="21"/>
        </w:rPr>
        <w:t xml:space="preserve">         内容摘要：【香港13名家长因行贿为子女获取幼儿园学位被判刑】 3月31日，香港区域法院对一起幼儿园入学行贿案作出判决。13名家长及1名中间人因向英基乌溪沙幼儿园时任行政主任林珍妮行贿共约110万港元，为12名学童在2019至2022年间优先插队获取学位，分别被判处8至14个月监禁。贿款金额从2万至20万港元不等。涉案行政主任已承认收贿，将于4月20日判刑。  法官指出，被告行为剥夺了其他申请人的公平机会，动摇了社会廉洁基石，必须判处具阻吓性的刑罚。案件表明，行贿者是腐败链条的发起者，与受贿者同样应受法律严惩。香港廉署强调，家长应以身作则，遇索贿应举报而非妥协。此案是香港廉署对行贿行为“零容忍”的体现，旨在警示公众不可用金钱破坏规则。</w:t>
      </w:r>
    </w:p>
    <w:p>
      <w:pPr>
        <w:spacing w:after="240"/>
      </w:pPr>
      <w:r>
        <w:rPr>
          <w:rFonts w:ascii="微软雅黑" w:hAnsi="微软雅黑" w:eastAsia="微软雅黑"/>
          <w:sz w:val="21"/>
        </w:rPr>
        <w:t xml:space="preserve">         文章链接：</w:t>
      </w:r>
      <w:r>
        <w:rPr>
          <w:color w:val="0000FF"/>
        </w:rPr>
        <w:t>https://mp.weixin.qq.com/s/P8iK3r1SF3ebYsluSBLq6w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九、【县委书记六秒“闭幕”发言获赞，折射反形式主义务实作风】</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发布时间：2026-04-03 03:10:31</w:t>
      </w:r>
    </w:p>
    <w:p>
      <w:pPr>
        <w:spacing w:after="120"/>
      </w:pPr>
      <w:r>
        <w:rPr>
          <w:rFonts w:ascii="微软雅黑" w:hAnsi="微软雅黑" w:eastAsia="微软雅黑"/>
          <w:sz w:val="21"/>
        </w:rPr>
        <w:t xml:space="preserve">         内容摘要：【县委书记六秒“闭幕”发言获赞，折射反形式主义务实作风】  3月30日，贵州黔东南州“州长杯”榕江赛区闭幕式上，榕江县委书记徐勃仅用“闭幕”二字、耗时6秒结束发言，现场随即爆发掌声与笑声。工作人员解释，当时天色已晚、气温低，参赛孩子们又累又饿，已列队等候多时。此举被解读为体恤群众、简化不必要程序。  徐勃此前在县首届干部职工足球联赛开幕式上，也曾仅说“开幕”二字。两次“极简发言”被视为当地“村超”火爆出圈的原因之一，即政府甘于搭台、不搞形式主义、不抢群众风头。  现象背后是基层会议发言普遍存在的“长、空、繁”问题。《半月谈》曾指出，不少基层干部陷入“离稿难言”困境，会议交流常变成照本宣科。分析认为，原因并非表达能力不足，而是精力多用于揣摩上意、打磨文稿，而非研究实际问题。  观点指出，领导干部的水平不靠“唠叨”和管得细来体现，真正的权威源于心怀群众、实事求是。讲短话、开短会是对群众时间的尊重，也是对工作实效的追求。期待简洁明快、务实高效的作风成为更多干部的自觉选择。</w:t>
      </w:r>
    </w:p>
    <w:p>
      <w:pPr>
        <w:spacing w:after="240"/>
      </w:pPr>
      <w:r>
        <w:rPr>
          <w:rFonts w:ascii="微软雅黑" w:hAnsi="微软雅黑" w:eastAsia="微软雅黑"/>
          <w:sz w:val="21"/>
        </w:rPr>
        <w:t xml:space="preserve">         文章链接：</w:t>
      </w:r>
      <w:r>
        <w:rPr>
          <w:color w:val="0000FF"/>
        </w:rPr>
        <w:t>https://mp.weixin.qq.com/s/2fbt9i1hiDUHlGInQUHlDA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十、【清华大学全面推动AI时代教育教学改革】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发布时间：2026-04-03 01:40:41</w:t>
      </w:r>
    </w:p>
    <w:p>
      <w:pPr>
        <w:spacing w:after="120"/>
      </w:pPr>
      <w:r>
        <w:rPr>
          <w:rFonts w:ascii="微软雅黑" w:hAnsi="微软雅黑" w:eastAsia="微软雅黑"/>
          <w:sz w:val="21"/>
        </w:rPr>
        <w:t xml:space="preserve">         内容摘要：【清华大学全面推动AI时代教育教学改革】  清华大学于3月26日召开2025-2026学年度春季学期全校教学工作会议。副校长彭刚主持会议，要求主动适应人工智能时代带来的新格局，推动人才培养模式、课程体系与评价方式全方位创新，并完善以提升教师教学能力为目标的评教体系。  教务处从九个方面规划本科教学，重点包括持续加强课程教材建设、深化个性化培养、推动AI时代课程体系改革、推进学生综合评价改革等。研究生院则围绕改革、发展、服务三大维度，规划研究生培养改革与学科建设等工作。  在教育教学交流环节，物理系、马克思主义学院、深圳国际研究生院及航天航空学院的教师代表，分享了融合AI技术的物理教学探索、“思政实践”课程、未来产业工程创新人才培养以及工程硕博士培养改革等实践经验。</w:t>
      </w:r>
    </w:p>
    <w:p>
      <w:pPr>
        <w:spacing w:after="240"/>
      </w:pPr>
      <w:r>
        <w:rPr>
          <w:rFonts w:ascii="微软雅黑" w:hAnsi="微软雅黑" w:eastAsia="微软雅黑"/>
          <w:sz w:val="21"/>
        </w:rPr>
        <w:t xml:space="preserve">         文章链接：</w:t>
      </w:r>
      <w:r>
        <w:rPr>
          <w:color w:val="0000FF"/>
        </w:rPr>
        <w:t>https://mp.weixin.qq.com/s/P4QhgZc80TTkiSvNAeTQvA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十一、【特朗普拟对部分进口药品征收100%关税以促制造业回流】</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发布时间：2026-04-03 08:20:00</w:t>
      </w:r>
    </w:p>
    <w:p>
      <w:pPr>
        <w:spacing w:after="120"/>
      </w:pPr>
      <w:r>
        <w:rPr>
          <w:rFonts w:ascii="微软雅黑" w:hAnsi="微软雅黑" w:eastAsia="微软雅黑"/>
          <w:sz w:val="21"/>
        </w:rPr>
        <w:t xml:space="preserve">         内容摘要：【特朗普拟对部分进口药品征收100%关税以促制造业回流】  特朗普政府正加速推进对部分进口药品征收100%关税，目标直指尚未与白宫达成协议的制药企业。此举旨在以高额关税为杠杆，迫使跨国药企将生产线迁回美国。目前，辉瑞、阿斯利康和诺和诺德已通过承诺增加在美投资并下调药价，换取关税豁免。欧盟与美国在相关议题上存在分歧。</w:t>
      </w:r>
    </w:p>
    <w:p>
      <w:pPr>
        <w:spacing w:after="240"/>
      </w:pPr>
      <w:r>
        <w:rPr>
          <w:rFonts w:ascii="微软雅黑" w:hAnsi="微软雅黑" w:eastAsia="微软雅黑"/>
          <w:sz w:val="21"/>
        </w:rPr>
        <w:t xml:space="preserve">         文章链接：</w:t>
      </w:r>
      <w:r>
        <w:rPr>
          <w:color w:val="0000FF"/>
        </w:rPr>
        <w:t>http://mp.weixin.qq.com/s?__biz=MzA3OTM5NTkxNA==&amp;mid=2653159535&amp;idx=4&amp;sn=7a4672654109d187550f9d1b64b51395&amp;chksm=854f6232bfe4d48ebbc1d4dfc15958e85b4757a3f1e0e879bef914a4ef19abed3d83f4b249c9&amp;scene=0#rd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十二、【特朗普宣称对伊军事胜利，地区紧张局势加剧】</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发布时间：2026-04-03 08:20:00</w:t>
      </w:r>
    </w:p>
    <w:p>
      <w:pPr>
        <w:spacing w:after="120"/>
      </w:pPr>
      <w:r>
        <w:rPr>
          <w:rFonts w:ascii="微软雅黑" w:hAnsi="微软雅黑" w:eastAsia="微软雅黑"/>
          <w:sz w:val="21"/>
        </w:rPr>
        <w:t xml:space="preserve">         内容摘要：【特朗普宣称对伊军事胜利，地区紧张局势加剧】  美东时间4月1日，美国总统特朗普在白宫发表全国讲话，自行宣布美国对伊朗的军事行动取得了“快速、决定性、压倒性胜利”。他同时暗示，未来两到三周内可能对伊朗实施进一步打击升级。此番言论加剧了地区紧张局势，分析认为持续的冲突将对相关国家造成广泛而深远的负面影响。</w:t>
      </w:r>
    </w:p>
    <w:p>
      <w:pPr>
        <w:spacing w:after="240"/>
      </w:pPr>
      <w:r>
        <w:rPr>
          <w:rFonts w:ascii="微软雅黑" w:hAnsi="微软雅黑" w:eastAsia="微软雅黑"/>
          <w:sz w:val="21"/>
        </w:rPr>
        <w:t xml:space="preserve">         文章链接：</w:t>
      </w:r>
      <w:r>
        <w:rPr>
          <w:color w:val="0000FF"/>
        </w:rPr>
        <w:t>http://mp.weixin.qq.com/s?__biz=MzA3OTM5NTkxNA==&amp;mid=2653159535&amp;idx=1&amp;sn=b9a4815804338743ab3caee137ab99e5&amp;chksm=85b0ebce5f0bbf4e3ef9b04399de429ed5090fa9db35b83f1d80c8204514027907597c3a415f&amp;scene=0#rd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十三、【交通银行利润分配公告现重大笔误，一字之差致分红金额虚增逾2000亿元】</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发布时间：2026-04-03 00:03:22</w:t>
      </w:r>
    </w:p>
    <w:p>
      <w:pPr>
        <w:spacing w:after="120"/>
      </w:pPr>
      <w:r>
        <w:rPr>
          <w:rFonts w:ascii="微软雅黑" w:hAnsi="微软雅黑" w:eastAsia="微软雅黑"/>
          <w:sz w:val="21"/>
        </w:rPr>
        <w:t xml:space="preserve">         内容摘要：【交通银行利润分配公告现重大笔误，一字之差致分红金额虚增逾2000亿元】  3月30日，交通银行发布更正公告，就其3月27日披露的《2025年度利润分配方案公告》中的关键错误致歉。原公告将“每10股分配现金股利3.247元（含税）”误写为“每股分配现金股利3.247元（含税）”。根据交行披露的分配总额286.92亿元计算，这一字之差导致单股分红金额被放大10倍，理论上虚增的分红总额超过2000亿元。  此次错误发生在最基础且格式固定的信息披露环节。在A股市场，以“每10股”形式披露分红是行业通行惯例。作为国有大行，交行此次失误暴露了其内部审核流程的漏洞。一份公告需经编制、审核、复核、审批等多环节，涉及财务、合规、董秘办等多部门协同，但层层把关未能发现这一低级错误。  舆论关注点延伸至银行管理层的责任与专业水平。公开信息显示，交通银行11名管理层人员2023年薪酬总额达1902万元。此次事件引发了对高薪与管理质量是否匹配的质疑。分析指出，不能仅归咎于基层工作人员，管理者更需反思。此次失误损害了银行公信力，也为整个银行业敲响警钟，强调了严谨细致的工作态度对于维护金融机构信誉的根本性作用。</w:t>
      </w:r>
    </w:p>
    <w:p>
      <w:pPr>
        <w:spacing w:after="240"/>
      </w:pPr>
      <w:r>
        <w:rPr>
          <w:rFonts w:ascii="微软雅黑" w:hAnsi="微软雅黑" w:eastAsia="微软雅黑"/>
          <w:sz w:val="21"/>
        </w:rPr>
        <w:t xml:space="preserve">         文章链接：</w:t>
      </w:r>
      <w:r>
        <w:rPr>
          <w:color w:val="0000FF"/>
        </w:rPr>
        <w:t>https://mp.weixin.qq.com/s/LjU3ItsSnqwhPqE5ocOHFw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十四、【新型研究型大学兴起，探索“无级别、无编制”新机制】</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发布时间：2026-04-02 13:30:00</w:t>
      </w:r>
    </w:p>
    <w:p>
      <w:pPr>
        <w:spacing w:after="120"/>
      </w:pPr>
      <w:r>
        <w:rPr>
          <w:rFonts w:ascii="微软雅黑" w:hAnsi="微软雅黑" w:eastAsia="微软雅黑"/>
          <w:sz w:val="21"/>
        </w:rPr>
        <w:t xml:space="preserve">         内容摘要：【新型研究型大学兴起，探索“无级别、无编制”新机制】  大湾区大学副校长李晓明表示，该校作为公办大学，实行“无级别、无编制”的管理模式，所有人员均通过签订合同平等聘用。这被视为新办大学没有历史包袱的天然优势。  近年来，我国已涌现多所新型研究型大学。这类大学以服务国家战略、支撑科技自立自强为目标，普遍采用高起点、小而精、研究型、国际化的办学模式。  南方科技大学（2012年成立）和上海科技大学（2014年招生）已入选国家“双一流”建设高校。西湖大学（2018年成立）由科学家倡议创办，办学资金主要依赖社会捐赠，本科招生范围正逐步扩大。  2024年至2025年间，多所新型大学正式成立并招生：深圳理工大学聚焦前沿交叉方向，实行独特的“三院一体”育人模式；康复大学是国内唯一以“康复”命名的大学，实行小班化教学和全员导师制；福耀科技大学实行“双导师制”，与多家企业深度合作；大湾区大学由中国科学院院士担任创校校长，实行大类招生；宁波东方理工大学首次在浙招生，投档分数线接近浙江大学。  更多新型大学正在筹建或推进中：空天信息大学预计2026年迎来首届本科生；深圳海洋大学预计2027年左右启动本科招生；钱塘大学已获批用地并启动校园建设；长沙文化科技大学和郑州航空港实验区的新型研究型大学也在加快筹建。</w:t>
      </w:r>
    </w:p>
    <w:p>
      <w:pPr>
        <w:spacing w:after="240"/>
      </w:pPr>
      <w:r>
        <w:rPr>
          <w:rFonts w:ascii="微软雅黑" w:hAnsi="微软雅黑" w:eastAsia="微软雅黑"/>
          <w:sz w:val="21"/>
        </w:rPr>
        <w:t xml:space="preserve">         文章链接：</w:t>
      </w:r>
      <w:r>
        <w:rPr>
          <w:color w:val="0000FF"/>
        </w:rPr>
        <w:t>https://mp.weixin.qq.com/s/pPfh_GFN31BT789OSXxnAw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十五、【上海电力大学优化专业布局，停招撤销4个专业】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发布时间：2026-04-02 13:30:00</w:t>
      </w:r>
    </w:p>
    <w:p>
      <w:pPr>
        <w:spacing w:after="120"/>
      </w:pPr>
      <w:r>
        <w:rPr>
          <w:rFonts w:ascii="微软雅黑" w:hAnsi="微软雅黑" w:eastAsia="微软雅黑"/>
          <w:sz w:val="21"/>
        </w:rPr>
        <w:t xml:space="preserve">         内容摘要：【上海电力大学优化专业布局，停招撤销4个专业】  上海电力大学教学指导委员会于3月24日举行会议，审议并通过了2026级本科生培养方案修订原则及专业优化调整方案。  在培养方案方面，学校计划精简总学分，重构“通识筑基+专业精进+拓展交叉”的课程体系，并强化“能源电力行业基因”在人才培养全过程中的渗透。校方强调，精简学分旨在引导学生更多参与学科竞赛、创新创业或辅修微专业，以实现个性化发展。  在专业设置上，学校将进行结构性调整：拟新增资源循环科学与工程、智能电网信息工程、能源经济三个专业；同时，拟停招环境工程、光电信息科学与工程、信息与计算科学三个专业，并撤销公共事业管理专业。此次调整共涉及停招或撤销4个原有专业。  校领导指出，专业优化旨在对接国家能源电力战略与上海经济社会发展需求，综合考虑行业、区域、特色及个体发展属性，推动专业教育与社会需求深度契合。</w:t>
      </w:r>
    </w:p>
    <w:p>
      <w:pPr>
        <w:spacing w:after="240"/>
      </w:pPr>
      <w:r>
        <w:rPr>
          <w:rFonts w:ascii="微软雅黑" w:hAnsi="微软雅黑" w:eastAsia="微软雅黑"/>
          <w:sz w:val="21"/>
        </w:rPr>
        <w:t xml:space="preserve">         文章链接：</w:t>
      </w:r>
      <w:r>
        <w:rPr>
          <w:color w:val="0000FF"/>
        </w:rPr>
        <w:t>https://mp.weixin.qq.com/s/P8EWZnlgXRIA3GMvdtSRNA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十六、【中国摩托车手张雪夺冠后的价值选择与长期主义路径】</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发布时间：2026-04-02 12:49:00</w:t>
      </w:r>
    </w:p>
    <w:p>
      <w:pPr>
        <w:spacing w:after="120"/>
      </w:pPr>
      <w:r>
        <w:rPr>
          <w:rFonts w:ascii="微软雅黑" w:hAnsi="微软雅黑" w:eastAsia="微软雅黑"/>
          <w:sz w:val="21"/>
        </w:rPr>
        <w:t xml:space="preserve">         内容摘要：【中国摩托车手张雪夺冠后的价值选择与长期主义路径】  2026年3月，中国车手张雪驾驶国产摩托车在世界超级摩托车锦标赛（WSBK）夺冠，领先优势达4秒，这是国产摩托首次在该赛事最高级别获胜。  夺冠后，张雪拒绝了企业家赠送的价值1300万元劳斯莱斯幻影，选择将其八折出售并将款项捐给嫣然天使基金。面对蜂拥而至的投资人，他将其推荐给正在“造飞机”的师父，称其更需要资金。这些行为被视作其“重新分配资源”而非迅速变现的价值选择。  张雪1987年出生于湖南山村，初中毕业后成为修车学徒。其职业路径从追车寻求曝光以进入车队，到放弃车手梦想转向造车，并于2024年离开原公司，投身于自主研发摩托车发动机这一被普遍看好的领域。2025年，搭载自研发动机的820RR-RS车型在WSBK连续夺冠。  分析指出，张雪的成功体现了长期主义路径：1. **做难的事**：选择攻克发动机核心技术而非简单组装，短期投入研发而非追求即时现金流；2. **延迟满足**：例如前1000台车不销售用于测试，敢于超规划投入研发，容忍公司长期亏损；3. **独特的价值排序**：将热爱置于首位，认为技术与产业升级比盲目扩张更重要。  其成功是三股力量叠加的结果：1. **重庆的产业基础**：完整的摩托车产业链为其提供了“做出来的能力”，尽管他称未获得直接政府资金支持；2. **浙江资本的支持**：在公司困难时期，浙江国资背景的资金注入提供了持续发展的底气；3. **中国制造业升级的宏观背景**：过去十年中国在新能源、电控、材料等领域积累的能力正向摩托车行业外溢。  张雪机车的案例与近期一些依靠流量营销快速变现后“翻车”的网红公司形成对比。观点认为，中国商业主线可能正从“效率革命”转向更可持续的“产品革命”。张雪的经历并非简单的“草根逆袭”奇迹，而是其从修车、赛车、造车到自研发动机每一步“更慢、更难的选择”所积累的复利结果。在普遍寻求捷径的环境中，坚持走难路本身成为一种稀缺能力。</w:t>
      </w:r>
    </w:p>
    <w:p>
      <w:pPr>
        <w:spacing w:after="240"/>
      </w:pPr>
      <w:r>
        <w:rPr>
          <w:rFonts w:ascii="微软雅黑" w:hAnsi="微软雅黑" w:eastAsia="微软雅黑"/>
          <w:sz w:val="21"/>
        </w:rPr>
        <w:t xml:space="preserve">         文章链接：</w:t>
      </w:r>
      <w:r>
        <w:rPr>
          <w:color w:val="0000FF"/>
        </w:rPr>
        <w:t>https://mp.weixin.qq.com/s/0ThoiBsqthOvMl5rG2j_yQ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十七、【严纯华院士呼吁改革高校评价体系，强调育人本质与全面发展】</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发布时间：2026-04-02 09:44:51</w:t>
      </w:r>
    </w:p>
    <w:p>
      <w:pPr>
        <w:spacing w:after="120"/>
      </w:pPr>
      <w:r>
        <w:rPr>
          <w:rFonts w:ascii="微软雅黑" w:hAnsi="微软雅黑" w:eastAsia="微软雅黑"/>
          <w:sz w:val="21"/>
        </w:rPr>
        <w:t xml:space="preserve">         内容摘要：【严纯华院士呼吁改革高校评价体系，强调育人本质与全面发展】  当前，AI技术普及导致人才需求结构变化，学生能力与社会需求间存在“转型适配期”，加剧了“想去的地方不要我，要我的地方不想去”的结构性就业矛盾。解决就业问题，除了外部条件，还需帮助学生树立正确的择业观，鼓励他们将青春安放在祖国最需要的地方。  学科发展面临平衡“知识演化”与“需求能力”的挑战。未来能源、人工智能等关键领域正倒逼教学内容重组。改革需要“有组织地教学”，尊重教师学术自主，同时将教育意志转化为创新动力，这要求师生共同突破传统。  科研评价不可“一刀切”。基础研究应追求“成果上书架”，在顶级平台发表引领性成果；应用研究应聚焦“成果上货架”，解决关键技术问题。评价高校教师，不能只看论文和奖项，更要看其通过科研培养出了怎样的学生。  教育的根本在于“成人”，实现德智体美劳全面发展。具体表现为：德为基、智为能、体为要、美为和、劳为勤。在AI时代，更需警惕人的“异化”，强调知识学习、创新能力与个人综合能力双轮驱动。  为适应到本世纪中叶建成社会主义现代化强国的目标，需培养具有全球领导力的人才。这要求人才根植中华优秀传统文化，同时汲取世界智慧，在文明互鉴中成长，才能在世界上展现“中国范式”和“中国影响”。</w:t>
      </w:r>
    </w:p>
    <w:p>
      <w:pPr>
        <w:spacing w:after="240"/>
      </w:pPr>
      <w:r>
        <w:rPr>
          <w:rFonts w:ascii="微软雅黑" w:hAnsi="微软雅黑" w:eastAsia="微软雅黑"/>
          <w:sz w:val="21"/>
        </w:rPr>
        <w:t xml:space="preserve">         文章链接：</w:t>
      </w:r>
      <w:r>
        <w:rPr>
          <w:color w:val="0000FF"/>
        </w:rPr>
        <w:t>https://mp.weixin.qq.com/s/mL96SftRpEaY0M-sxoO5Nw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十八、【教育部部署“十五五”“人工智能+教育”行动路径】</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发布时间：2026-04-02 09:44:51</w:t>
      </w:r>
    </w:p>
    <w:p>
      <w:pPr>
        <w:spacing w:after="120"/>
      </w:pPr>
      <w:r>
        <w:rPr>
          <w:rFonts w:ascii="微软雅黑" w:hAnsi="微软雅黑" w:eastAsia="微软雅黑"/>
          <w:sz w:val="21"/>
        </w:rPr>
        <w:t xml:space="preserve">         内容摘要：【教育部部署“十五五”“人工智能+教育”行动路径】  3月31日，教育部召开国家教育数字化战略行动2026年部署会，系统规划“十五五”时期以“人工智能+教育”赋能教育综合改革的重点工作。会议明确，2026年是教育数字化战略行动迈入2.0阶段的关键一年。  面对智能技术快速迭代、新一代“数字原住民”成长、社会人口结构变化及国际竞争加剧等挑战，会议提出“四个把握好”的工作思路：把握AI对教育底层逻辑和样态的系统性影响，谋划未来教育；把握AI对培养创新人才的紧迫需求，探索融合范式；把握AI对促进人口高质量发展的机遇，扩大优质资源供给；把握AI带来的价值观引领与伦理挑战新课题，关心学生身心健康。  会议展示了基层探索案例。同济大学利用AI赋能评价改革，通过数字“蒲公英田”系统挖掘学术关联，突破分数主导的评价模式。广西一所小学通过分析学生体能数据生成个性化运动方案，使课间运动参与率从23%跃升至87%。  面向“十五五”，教育部勾勒出“六个赋能”“六个中心”的清晰路径：AI赋能学校教育、终身教育、科技创新、国际交流、教师发展和教育治理，相应打造智能改进学校教育中心、终身学习中心、科技创新中心、中文教育中心、教师中心和教育治理中心。  国家智慧教育平台已全新上线终身学习中心、科技创新中心、中文教育中心，并整合推出“AI专区”和“启悟学习社区”。“AI专区”汇聚学习资源和工具，“启悟学习社区”则聚焦国产AI开源生态，获多家领军企业支持。  会议要求统筹推进国家智慧教育平台深化应用、人工智能赋能教育行动、数字赋能学习型社会建设三项试点，坚决避免形象工程，并重视应对AI带来的安全、伦理等挑战。</w:t>
      </w:r>
    </w:p>
    <w:p>
      <w:pPr>
        <w:spacing w:after="240"/>
      </w:pPr>
      <w:r>
        <w:rPr>
          <w:rFonts w:ascii="微软雅黑" w:hAnsi="微软雅黑" w:eastAsia="微软雅黑"/>
          <w:sz w:val="21"/>
        </w:rPr>
        <w:t xml:space="preserve">         文章链接：</w:t>
      </w:r>
      <w:r>
        <w:rPr>
          <w:color w:val="0000FF"/>
        </w:rPr>
        <w:t>https://mp.weixin.qq.com/s/KBJpDO4_LwckWYRPetu_2w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十九、【名校博士争相入职职业本科院校，折射职教本科崛起与师资挑战】</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发布时间：2026-04-02 09:44:51</w:t>
      </w:r>
    </w:p>
    <w:p>
      <w:pPr>
        <w:spacing w:after="120"/>
      </w:pPr>
      <w:r>
        <w:rPr>
          <w:rFonts w:ascii="微软雅黑" w:hAnsi="微软雅黑" w:eastAsia="微软雅黑"/>
          <w:sz w:val="21"/>
        </w:rPr>
        <w:t xml:space="preserve">         内容摘要：【名校博士争相入职职业本科院校，折射职教本科崛起与师资挑战】  近期，淄博职业技术大学招聘93名博士，一个月内收到超400份简历，竞争激烈。应聘者包括中国医科大学等名校博士。河北工业职业技术大学、黄河水利职业技术大学等院校也吸引了来自中国科学院大学、哈尔滨工业大学、郑州大学、电子科技大学等顶尖高校的博士毕业生。金华职业技术大学表示，如今一年能收到数百份博士简历，而七八年前应聘者寥寥。  这一趋势背后是职业本科教育的快速扩张。2026年3月，教育部新批准15所学校升格，全国职业本科院校总数已达102所。《教育强国建设规划纲要(2024—2035年)》明确提出稳步扩大职业本科学校数量和招生规模。根据规定，这类院校专任教师中博士比例不得低于15%，但目前许多院校尚未达标，存在师资缺口。  为吸引人才，各院校提供丰厚安家费、科研启动费，并协助解决配偶就业、子女入学等问题。但如何“用得好”“留得住”成为新挑战。有研究指出，职业本科需改革职称评价体系，破除“唯论文”倾向，建立以教学实绩和贡献为导向的标准。  同时，职业本科对教师能力有特殊要求。当前引进的博士多“从学校到学校”，缺乏行业实践经验；而从企业引进的人才可能“会做不会教”。德国专家指出，实践经验存在时效性问题，教师需持续更新行业知识。其建议，职业本科教师的核心能力应是“教学设计与发展能力”，即能持续将行业最新动态转化为有效教学内容，而不仅是具备静态的实践经验。  职业本科院校对博士吸引力提升，反映了社会认可度的提高。随着评价体系改革和“双师型”教师队伍建设深化，职业本科将在人才培养中扮演更重要的角色。</w:t>
      </w:r>
    </w:p>
    <w:p>
      <w:pPr>
        <w:spacing w:after="240"/>
      </w:pPr>
      <w:r>
        <w:rPr>
          <w:rFonts w:ascii="微软雅黑" w:hAnsi="微软雅黑" w:eastAsia="微软雅黑"/>
          <w:sz w:val="21"/>
        </w:rPr>
        <w:t xml:space="preserve">         文章链接：</w:t>
      </w:r>
      <w:r>
        <w:rPr>
          <w:color w:val="0000FF"/>
        </w:rPr>
        <w:t>https://mp.weixin.qq.com/s/0WgVd3wWwp2CmQOV7uM0Xw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二十、【万科资金运作争议与高管变动引发对创始人王石处境的关注】</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发布时间：2026-04-02 09:19:28</w:t>
      </w:r>
    </w:p>
    <w:p>
      <w:pPr>
        <w:spacing w:after="120"/>
      </w:pPr>
      <w:r>
        <w:rPr>
          <w:rFonts w:ascii="微软雅黑" w:hAnsi="微软雅黑" w:eastAsia="微软雅黑"/>
          <w:sz w:val="21"/>
        </w:rPr>
        <w:t xml:space="preserve">         内容摘要：【万科资金运作争议与高管变动引发对创始人王石处境的关注】  万科近期面临经营与治理双重压力。2023年财报显示，公司营收同比下降超30%，净亏损885亿元，有息负债超过3500亿元。自2022年以来，包括前董事长郁亮、前总裁祝九胜、前董事长辛杰、董秘朱旭在内的多名高管相继因被调查、配合调查或涉及薪酬追索事项而离任或减少公开活动。  市场关注焦点在于万科的“体内资金体外循环”操作模式。具体而言，万科将销售回款、银行贷款等以较低利率存入关联财务公司，后者再通过特定平台以较高利率向员工、供应商提供融资，资金最终回流至万科项目。此模式下的资金利差去向存疑。2023年7月，相关理财产品出现约8亿元的兑付问题，使该模式曝光。运作类似逻辑的博商资管等平台负责人已于2024年初被控制。  作为万科创始人，王石虽已淡出日常管理，但其个人处境引发猜测。2023年5月，他曾在社交媒体透露，出席联合国气候大会需经审批，与此前自由出行情况不同。近期亦有关于其出行受限的传闻，本人未作回应。王石在2022年曾表示对万科负有责任，目前处于微妙境地。  分析认为，万科问题部分源于房地产行业高速扩张期的普遍加杠杆行为，但公司治理漏洞与股东监督缺位是内部主因。一系列事件显示，相关运作的参与者目前难以独善其身。</w:t>
      </w:r>
    </w:p>
    <w:p>
      <w:pPr>
        <w:spacing w:after="240"/>
      </w:pPr>
      <w:r>
        <w:rPr>
          <w:rFonts w:ascii="微软雅黑" w:hAnsi="微软雅黑" w:eastAsia="微软雅黑"/>
          <w:sz w:val="21"/>
        </w:rPr>
        <w:t xml:space="preserve">         文章链接：</w:t>
      </w:r>
      <w:r>
        <w:rPr>
          <w:color w:val="0000FF"/>
        </w:rPr>
        <w:t>https://mp.weixin.qq.com/s/XybTgNBLpqguEIJfxX9mZg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