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line="300" w:lineRule="auto"/>
      </w:pPr>
      <w:r>
        <w:rPr>
          <w:rFonts w:ascii="Microsoft YaHei" w:hAnsi="Microsoft YaHei" w:eastAsia="Microsoft YaHei"/>
          <w:b/>
          <w:color w:val="18A6C8"/>
          <w:sz w:val="32"/>
        </w:rPr>
        <w:t>岭安</w:t>
      </w:r>
    </w:p>
    <w:p>
      <w:pPr>
        <w:pStyle w:val="Title"/>
        <w:spacing w:before="840" w:after="240" w:line="240" w:lineRule="auto"/>
        <w:jc w:val="left"/>
      </w:pPr>
      <w:r>
        <w:rPr>
          <w:rFonts w:ascii="Microsoft YaHei" w:hAnsi="Microsoft YaHei" w:eastAsia="Microsoft YaHei"/>
          <w:b/>
          <w:color w:val="000000"/>
          <w:sz w:val="60"/>
        </w:rPr>
        <w:t>作业票系统升级测试报告</w:t>
      </w:r>
    </w:p>
    <w:p>
      <w:pPr>
        <w:spacing w:before="0" w:after="600" w:line="300" w:lineRule="auto"/>
      </w:pPr>
      <w:r>
        <w:rPr>
          <w:rFonts w:ascii="Microsoft YaHei" w:hAnsi="Microsoft YaHei" w:eastAsia="Microsoft YaHei"/>
          <w:b w:val="0"/>
          <w:color w:val="173F73"/>
          <w:sz w:val="28"/>
        </w:rPr>
        <w:t>客户验收材料  2026年9月20日</w:t>
      </w:r>
    </w:p>
    <w:tbl>
      <w:tblPr>
        <w:tblW w:type="auto" w:w="0"/>
        <w:jc w:val="left"/>
        <w:tblLayout w:type="fixed"/>
        <w:tblLook w:firstColumn="1" w:firstRow="1" w:lastColumn="0" w:lastRow="0" w:noHBand="0" w:noVBand="1" w:val="04A0"/>
      </w:tblPr>
      <w:tblGrid>
        <w:gridCol w:w="2232"/>
        <w:gridCol w:w="7488"/>
      </w:tblGrid>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测试对象</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作业票管理系统本次升级候选版本</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测试环境</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Windows 本地测试环境  Express SQLite  Vite React</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执行单位</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深圳市岭岳智安科技有限公司</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测试结论</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核心功能与自动化回归通过  实时设备接入需现场联调</w:t>
            </w:r>
          </w:p>
        </w:tc>
      </w:tr>
    </w:tbl>
    <w:p/>
    <w:p>
      <w:pPr>
        <w:spacing w:before="0" w:after="120" w:line="324" w:lineRule="auto"/>
      </w:pPr>
      <w:r>
        <w:rPr>
          <w:rFonts w:ascii="Microsoft YaHei" w:hAnsi="Microsoft YaHei" w:eastAsia="Microsoft YaHei"/>
          <w:b w:val="0"/>
          <w:color w:val="000000"/>
          <w:sz w:val="21"/>
        </w:rPr>
        <w:t>本报告汇总本次升级的自动化回归、生产构建和界面验证结果，并附关键测试截图。报告中的设备待接入状态为本地环境真实状态，未使用未接通的实时视频或气体数据作为通过依据。</w:t>
      </w:r>
    </w:p>
    <w:p>
      <w:r>
        <w:br w:type="page"/>
      </w:r>
    </w:p>
    <w:p>
      <w:pPr>
        <w:pStyle w:val="Heading1"/>
        <w:keepNext/>
        <w:spacing w:before="200" w:after="120" w:line="300" w:lineRule="auto"/>
      </w:pPr>
      <w:r>
        <w:rPr>
          <w:rFonts w:ascii="Microsoft YaHei" w:hAnsi="Microsoft YaHei" w:eastAsia="Microsoft YaHei"/>
          <w:b/>
          <w:color w:val="000000"/>
          <w:sz w:val="34"/>
        </w:rPr>
        <w:t>一 测试结论</w:t>
      </w:r>
    </w:p>
    <w:p>
      <w:pPr>
        <w:spacing w:before="0" w:after="120" w:line="324" w:lineRule="auto"/>
      </w:pPr>
      <w:r>
        <w:rPr>
          <w:rFonts w:ascii="Microsoft YaHei" w:hAnsi="Microsoft YaHei" w:eastAsia="Microsoft YaHei"/>
          <w:b w:val="0"/>
          <w:color w:val="000000"/>
          <w:sz w:val="21"/>
        </w:rPr>
        <w:t>本次升级的核心流程在本地测试环境中运行正常。气体报警与比赛设备服务契约自动化测试共 16 项，全部通过；前端生产构建完成。应急处置的新预案名称、120 上报门槛、救援方式控制、非进入式救援指引和全流程总览均已通过界面验证。</w:t>
      </w:r>
    </w:p>
    <w:p>
      <w:pPr>
        <w:spacing w:before="0" w:after="120" w:line="324" w:lineRule="auto"/>
      </w:pPr>
      <w:r>
        <w:rPr>
          <w:rFonts w:ascii="Microsoft YaHei" w:hAnsi="Microsoft YaHei" w:eastAsia="Microsoft YaHei"/>
          <w:b w:val="0"/>
          <w:color w:val="000000"/>
          <w:sz w:val="21"/>
        </w:rPr>
        <w:t>当前环境没有配置比赛设备接口凭证，因此实时视频与气体检测仪的真实数据链路未纳入通过结论。建议在客户现场完成设备凭证、推流与实时读数联调后，再形成最终生产验收记录。</w:t>
      </w:r>
    </w:p>
    <w:p>
      <w:pPr>
        <w:pStyle w:val="Heading1"/>
        <w:keepNext/>
        <w:spacing w:before="200" w:after="120" w:line="300" w:lineRule="auto"/>
      </w:pPr>
      <w:r>
        <w:rPr>
          <w:rFonts w:ascii="Microsoft YaHei" w:hAnsi="Microsoft YaHei" w:eastAsia="Microsoft YaHei"/>
          <w:b/>
          <w:color w:val="000000"/>
          <w:sz w:val="34"/>
        </w:rPr>
        <w:t>二 本次功能升级说明</w:t>
      </w:r>
    </w:p>
    <w:p>
      <w:pPr>
        <w:spacing w:before="0" w:after="120" w:line="324" w:lineRule="auto"/>
      </w:pPr>
      <w:r>
        <w:rPr>
          <w:rFonts w:ascii="Microsoft YaHei" w:hAnsi="Microsoft YaHei" w:eastAsia="Microsoft YaHei"/>
          <w:b w:val="0"/>
          <w:color w:val="000000"/>
          <w:sz w:val="21"/>
        </w:rPr>
        <w:t>本次升级围绕数字驾驶舱、现场设备接入、气体风险报警、应急处置和受限空间作业票审批五条业务链路展开。升级重点不是增加孤立页面，而是把设备数据、风险识别、应急决策、处置留痕和票证审批进一步串联，提升现场演示的完整性和后续生产接入能力。</w:t>
      </w:r>
    </w:p>
    <w:p>
      <w:pPr>
        <w:spacing w:before="0" w:after="120" w:line="324" w:lineRule="auto"/>
      </w:pPr>
      <w:r>
        <w:rPr>
          <w:rFonts w:ascii="Microsoft YaHei" w:hAnsi="Microsoft YaHei" w:eastAsia="Microsoft YaHei"/>
          <w:b w:val="0"/>
          <w:color w:val="000000"/>
          <w:sz w:val="21"/>
        </w:rPr>
        <w:t>以下内容按照客户使用视角说明本次主要变化及其带来的实际效果。</w:t>
      </w:r>
    </w:p>
    <w:tbl>
      <w:tblPr>
        <w:tblW w:type="auto" w:w="0"/>
        <w:jc w:val="center"/>
        <w:tblLayout w:type="fixed"/>
        <w:tblLook w:firstColumn="1" w:firstRow="1" w:lastColumn="0" w:lastRow="0" w:noHBand="0" w:noVBand="1" w:val="04A0"/>
      </w:tblPr>
      <w:tblGrid>
        <w:gridCol w:w="1512"/>
        <w:gridCol w:w="1944"/>
        <w:gridCol w:w="4176"/>
        <w:gridCol w:w="2232"/>
      </w:tblGrid>
      <w:tr>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FFFFFF"/>
                <w:sz w:val="18"/>
              </w:rPr>
              <w:t>功能模块</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FFFFFF"/>
                <w:sz w:val="18"/>
              </w:rPr>
              <w:t>升级主题</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FFFFFF"/>
                <w:sz w:val="18"/>
              </w:rPr>
              <w:t>主要升级内容</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FFFFFF"/>
                <w:sz w:val="18"/>
              </w:rPr>
              <w:t>客户使用效果</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数字驾驶舱</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全国手表定位</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卫星地图由固定区域升级为全国视图，支持全国范围平移、缩放、设备定位和体征联动；无厂家账号的本地环境提供北京、上海、成都、深圳预览点。</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便于跨区域展示人员位置和设备状态，现场演示不再受单一城市视域限制。</w:t>
            </w:r>
          </w:p>
        </w:tc>
      </w:tr>
      <w:tr>
        <w:tc>
          <w:tcPr>
            <w:tcW w:type="dxa" w:w="151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现场设备接入</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视频与四合一气体仪</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接入执法记录仪 HTTP FLV 视频和 CH4、CO2、O2、CO 实时读数；区分实时、过期、无数据、断线和无权限状态。</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为现场视频、气体监测、作业票采集和应急处置提供同一设备数据来源。</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气体风险报警</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报警与重连机制</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氧气浓度小于等于 18 或二氧化碳浓度大于等于 1 时独立触发报警；连续超限只形成一个批次，恢复后自动解锁；断线两分钟后结束旧批次。</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减少重复报警和历史状态干扰，设备恢复后仍能识别新一轮超限风险。</w:t>
            </w:r>
          </w:p>
        </w:tc>
      </w:tr>
      <w:tr>
        <w:tc>
          <w:tcPr>
            <w:tcW w:type="dxa" w:w="151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气体风险报警</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多设备与优先回退</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应急监控逐台处理全部实时气体设备，各设备独立维护报警和恢复状态；优先设备数据过期时自动回退到其他实时设备。</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避免单台设备异常遮蔽其他点位风险，提高多设备场景下的报警完整性。</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应急处置</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预案研判与 120 上报门槛</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统一展示受限空间现场处置方案、中毒事故应急预案和综合应急预案；完成“已拨打120并上报”前，系统禁止确认救援方式。</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把关键上报动作固化为流程门槛，降低人员跳步处置的风险。</w:t>
            </w:r>
          </w:p>
        </w:tc>
      </w:tr>
      <w:tr>
        <w:tc>
          <w:tcPr>
            <w:tcW w:type="dxa" w:w="151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应急处置</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救援指引与全流程总览</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上报后开放进入式和非进入式救援选择；非进入式救援明确禁止直接使用三脚架或人力拉拽，提示采用绞盘或滑轮组；全流程图同步高亮已执行路径。</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让现场人员按条件选择救援方式，并为演示、复盘和责任追溯提供清晰路径。</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作业票审批</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PDF 附件与 AI 联动核验</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JSA 作业安全分析资料和作业方案支持 PDF 原文件上传、持久化保存和在线预览；安全员审批时先展示 AI 联动核验过程，再显示原始文件及核验结果。</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审批人员可以在同一页面核对资料原文和核验状态，减少附件缺失或内容不一致。</w:t>
            </w:r>
          </w:p>
        </w:tc>
      </w:tr>
      <w:tr>
        <w:tc>
          <w:tcPr>
            <w:tcW w:type="dxa" w:w="151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作业票气体检测</w:t>
            </w:r>
          </w:p>
        </w:tc>
        <w:tc>
          <w:tcPr>
            <w:tcW w:type="dxa" w:w="1944"/>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实时采集与人员选项</w:t>
            </w:r>
          </w:p>
        </w:tc>
        <w:tc>
          <w:tcPr>
            <w:tcW w:type="dxa" w:w="4176"/>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支持选择现场设备采集实时读数，保存设备、读数和采样时间；补充比赛现场编号人员作为作业负责人、作业人、监护人和气体分析人选项。</w:t>
            </w:r>
          </w:p>
        </w:tc>
        <w:tc>
          <w:tcPr>
            <w:tcW w:type="dxa" w:w="2232"/>
            <w:shd w:fill="F4F6F8"/>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增强气体检测记录的来源追溯能力，并适配现场演示和实际岗位分工。</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color w:val="173F73"/>
                <w:sz w:val="17"/>
              </w:rPr>
              <w:t>演示与生产边界</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center"/>
            </w:pPr>
            <w:r>
              <w:rPr>
                <w:rFonts w:ascii="Microsoft YaHei" w:hAnsi="Microsoft YaHei" w:eastAsia="Microsoft YaHei"/>
                <w:b w:val="0"/>
                <w:color w:val="000000"/>
                <w:sz w:val="17"/>
              </w:rPr>
              <w:t>事故模拟优先级</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事故模拟作为受控备用能力保留，模拟数据持续标注为测试数据；真实气体数据始终正常采集并拥有更高报警优先级。</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20" w:type="dxa"/>
              <w:bottom w:w="90" w:type="dxa"/>
              <w:end w:w="120" w:type="dxa"/>
            </w:tcMar>
            <w:vAlign w:val="center"/>
          </w:tcPr>
          <w:p>
            <w:pPr>
              <w:jc w:val="left"/>
            </w:pPr>
            <w:r>
              <w:rPr>
                <w:rFonts w:ascii="Microsoft YaHei" w:hAnsi="Microsoft YaHei" w:eastAsia="Microsoft YaHei"/>
                <w:b w:val="0"/>
                <w:color w:val="000000"/>
                <w:sz w:val="17"/>
              </w:rPr>
              <w:t>兼顾无设备条件下的流程演示，同时避免测试数据覆盖真实风险。</w:t>
            </w:r>
          </w:p>
        </w:tc>
      </w:tr>
    </w:tbl>
    <w:p>
      <w:pPr>
        <w:spacing w:before="0" w:after="120" w:line="324" w:lineRule="auto"/>
      </w:pPr>
      <w:r>
        <w:rPr>
          <w:rFonts w:ascii="Microsoft YaHei" w:hAnsi="Microsoft YaHei" w:eastAsia="Microsoft YaHei"/>
          <w:b w:val="0"/>
          <w:color w:val="000000"/>
          <w:sz w:val="21"/>
        </w:rPr>
        <w:t>升级后的主线可概括为：现场设备产生视频和气体数据，数字驾驶舱发现异常并触发报警，应急处置按照预案和流程门槛推进，作业票及检测记录持续保存人员、设备、读数、附件和处置结果。</w:t>
      </w:r>
    </w:p>
    <w:p>
      <w:r>
        <w:br w:type="page"/>
      </w:r>
    </w:p>
    <w:p>
      <w:pPr>
        <w:pStyle w:val="Heading1"/>
        <w:keepNext/>
        <w:spacing w:before="200" w:after="120" w:line="300" w:lineRule="auto"/>
      </w:pPr>
      <w:r>
        <w:rPr>
          <w:rFonts w:ascii="Microsoft YaHei" w:hAnsi="Microsoft YaHei" w:eastAsia="Microsoft YaHei"/>
          <w:b/>
          <w:color w:val="000000"/>
          <w:sz w:val="34"/>
        </w:rPr>
        <w:t>三 测试范围</w:t>
      </w:r>
    </w:p>
    <w:p>
      <w:pPr>
        <w:pStyle w:val="ListBullet"/>
        <w:spacing w:before="0" w:after="80" w:line="300" w:lineRule="auto"/>
      </w:pPr>
      <w:r>
        <w:rPr>
          <w:rFonts w:ascii="Microsoft YaHei" w:hAnsi="Microsoft YaHei" w:eastAsia="Microsoft YaHei"/>
          <w:b w:val="0"/>
          <w:color w:val="000000"/>
          <w:sz w:val="21"/>
        </w:rPr>
        <w:t>数字驾驶舱全国手表定位与预览点展示</w:t>
      </w:r>
    </w:p>
    <w:p>
      <w:pPr>
        <w:pStyle w:val="ListBullet"/>
        <w:spacing w:before="0" w:after="80" w:line="300" w:lineRule="auto"/>
      </w:pPr>
      <w:r>
        <w:rPr>
          <w:rFonts w:ascii="Microsoft YaHei" w:hAnsi="Microsoft YaHei" w:eastAsia="Microsoft YaHei"/>
          <w:b w:val="0"/>
          <w:color w:val="000000"/>
          <w:sz w:val="21"/>
        </w:rPr>
        <w:t>应急处置预案命名、人工上报、救援方式与流程总览</w:t>
      </w:r>
    </w:p>
    <w:p>
      <w:pPr>
        <w:pStyle w:val="ListBullet"/>
        <w:spacing w:before="0" w:after="80" w:line="300" w:lineRule="auto"/>
      </w:pPr>
      <w:r>
        <w:rPr>
          <w:rFonts w:ascii="Microsoft YaHei" w:hAnsi="Microsoft YaHei" w:eastAsia="Microsoft YaHei"/>
          <w:b w:val="0"/>
          <w:color w:val="000000"/>
          <w:sz w:val="21"/>
        </w:rPr>
        <w:t>气体报警阈值、断线批次过期、多设备处理与优先设备回退</w:t>
      </w:r>
    </w:p>
    <w:p>
      <w:pPr>
        <w:pStyle w:val="ListBullet"/>
        <w:spacing w:before="0" w:after="80" w:line="300" w:lineRule="auto"/>
      </w:pPr>
      <w:r>
        <w:rPr>
          <w:rFonts w:ascii="Microsoft YaHei" w:hAnsi="Microsoft YaHei" w:eastAsia="Microsoft YaHei"/>
          <w:b w:val="0"/>
          <w:color w:val="000000"/>
          <w:sz w:val="21"/>
        </w:rPr>
        <w:t>受限空间作业票审批资料 AI 联动核验</w:t>
      </w:r>
    </w:p>
    <w:p>
      <w:pPr>
        <w:pStyle w:val="ListBullet"/>
        <w:spacing w:before="0" w:after="80" w:line="300" w:lineRule="auto"/>
      </w:pPr>
      <w:r>
        <w:rPr>
          <w:rFonts w:ascii="Microsoft YaHei" w:hAnsi="Microsoft YaHei" w:eastAsia="Microsoft YaHei"/>
          <w:b w:val="0"/>
          <w:color w:val="000000"/>
          <w:sz w:val="21"/>
        </w:rPr>
        <w:t>气体检测记录分析人选项与设备异常状态展示</w:t>
      </w:r>
    </w:p>
    <w:p>
      <w:pPr>
        <w:pStyle w:val="ListBullet"/>
        <w:spacing w:before="0" w:after="80" w:line="300" w:lineRule="auto"/>
      </w:pPr>
      <w:r>
        <w:rPr>
          <w:rFonts w:ascii="Microsoft YaHei" w:hAnsi="Microsoft YaHei" w:eastAsia="Microsoft YaHei"/>
          <w:b w:val="0"/>
          <w:color w:val="000000"/>
          <w:sz w:val="21"/>
        </w:rPr>
        <w:t>前端生产构建与关键接口服务契约回归</w:t>
      </w:r>
    </w:p>
    <w:p>
      <w:pPr>
        <w:pStyle w:val="Heading1"/>
        <w:keepNext/>
        <w:spacing w:before="200" w:after="120" w:line="300" w:lineRule="auto"/>
      </w:pPr>
      <w:r>
        <w:rPr>
          <w:rFonts w:ascii="Microsoft YaHei" w:hAnsi="Microsoft YaHei" w:eastAsia="Microsoft YaHei"/>
          <w:b/>
          <w:color w:val="000000"/>
          <w:sz w:val="34"/>
        </w:rPr>
        <w:t>四 测试环境</w:t>
      </w:r>
    </w:p>
    <w:tbl>
      <w:tblPr>
        <w:tblW w:type="auto" w:w="0"/>
        <w:jc w:val="center"/>
        <w:tblLayout w:type="fixed"/>
        <w:tblLook w:firstColumn="1" w:firstRow="1" w:lastColumn="0" w:lastRow="0" w:noHBand="0" w:noVBand="1" w:val="04A0"/>
      </w:tblPr>
      <w:tblGrid>
        <w:gridCol w:w="2880"/>
        <w:gridCol w:w="6912"/>
      </w:tblGrid>
      <w:tr>
        <w:tc>
          <w:tcPr>
            <w:tcW w:type="dxa" w:w="5083"/>
            <w:shd w:fill="173F7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FFFFFF"/>
                <w:sz w:val="21"/>
              </w:rPr>
              <w:t>项目</w:t>
            </w:r>
          </w:p>
        </w:tc>
        <w:tc>
          <w:tcPr>
            <w:tcW w:type="dxa" w:w="5083"/>
            <w:shd w:fill="173F7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FFFFFF"/>
                <w:sz w:val="21"/>
              </w:rPr>
              <w:t>测试配置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173F73"/>
                <w:sz w:val="21"/>
              </w:rPr>
              <w:t>测试日期</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val="0"/>
                <w:color w:val="000000"/>
                <w:sz w:val="21"/>
              </w:rPr>
              <w:t>2026年9月20日</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color w:val="173F73"/>
                <w:sz w:val="21"/>
              </w:rPr>
              <w:t>浏览器地址</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val="0"/>
                <w:color w:val="000000"/>
                <w:sz w:val="21"/>
              </w:rPr>
              <w:t>http://127.0.0.1:5173</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173F73"/>
                <w:sz w:val="21"/>
              </w:rPr>
              <w:t>服务端</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val="0"/>
                <w:color w:val="000000"/>
                <w:sz w:val="21"/>
              </w:rPr>
              <w:t>Express 4  SQLite  Node.js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color w:val="173F73"/>
                <w:sz w:val="21"/>
              </w:rPr>
              <w:t>客户端</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val="0"/>
                <w:color w:val="000000"/>
                <w:sz w:val="21"/>
              </w:rPr>
              <w:t>React 19  Vite 7</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173F73"/>
                <w:sz w:val="21"/>
              </w:rPr>
              <w:t>测试账号</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val="0"/>
                <w:color w:val="000000"/>
                <w:sz w:val="21"/>
              </w:rPr>
              <w:t>安全员角色  李四</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color w:val="173F73"/>
                <w:sz w:val="21"/>
              </w:rPr>
              <w:t>设备接口</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val="0"/>
                <w:color w:val="000000"/>
                <w:sz w:val="21"/>
              </w:rPr>
              <w:t>本地未配置比赛设备接口凭证</w:t>
            </w:r>
          </w:p>
        </w:tc>
      </w:tr>
    </w:tbl>
    <w:p>
      <w:r>
        <w:br w:type="page"/>
      </w:r>
    </w:p>
    <w:p>
      <w:pPr>
        <w:pStyle w:val="Heading1"/>
        <w:keepNext/>
        <w:spacing w:before="200" w:after="120" w:line="300" w:lineRule="auto"/>
      </w:pPr>
      <w:r>
        <w:rPr>
          <w:rFonts w:ascii="Microsoft YaHei" w:hAnsi="Microsoft YaHei" w:eastAsia="Microsoft YaHei"/>
          <w:b/>
          <w:color w:val="000000"/>
          <w:sz w:val="34"/>
        </w:rPr>
        <w:t>五 测试结果汇总</w:t>
      </w:r>
    </w:p>
    <w:tbl>
      <w:tblPr>
        <w:tblW w:type="auto" w:w="0"/>
        <w:jc w:val="center"/>
        <w:tblLayout w:type="fixed"/>
        <w:tblLook w:firstColumn="1" w:firstRow="1" w:lastColumn="0" w:lastRow="0" w:noHBand="0" w:noVBand="1" w:val="04A0"/>
      </w:tblPr>
      <w:tblGrid>
        <w:gridCol w:w="792"/>
        <w:gridCol w:w="2376"/>
        <w:gridCol w:w="1152"/>
        <w:gridCol w:w="5472"/>
      </w:tblGrid>
      <w:tr>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编号</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测试项</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结果</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验证说明</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安全员登录与权限</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登录后可进入驾驶舱、应急管理和作业票详情</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T02</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全国手表定位</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展示北京、上海、成都、深圳测试定位点及设备体征</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应急预案名称与推荐</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正确显示受限空间现场处置方案、中毒事故应急预案和综合应急预案</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T04</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120 上报门槛</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未确认上报时救援方式按钮保持禁用</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T05</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上报后开放救援方式</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确认已拨打120并上报后按钮启用</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T06</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非进入式救援指引</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显示禁止直接拉拽及绞盘滑轮组建议</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T07</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应急全流程总览</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已走路径高亮  未执行分支灰显</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T08</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审批资料 AI 核验</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B66A00"/>
                <w:sz w:val="18"/>
              </w:rPr>
              <w:t>条件通过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核验等待状态正常  含真实附件的成功标识需补充复测</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T09</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气体设备异常状态</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凭证缺失时明确显示连接中断  未误报实时数据</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T10</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气体检测分析人</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新增记录可选择1号、2号及票证相关人员</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T11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气体报警自动化回归</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16项测试全部通过</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T12</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前端生产构建</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Vite build 成功</w:t>
            </w:r>
          </w:p>
        </w:tc>
      </w:tr>
    </w:tbl>
    <w:p>
      <w:pPr>
        <w:spacing w:before="0" w:after="120" w:line="324" w:lineRule="auto"/>
      </w:pPr>
      <w:r>
        <w:rPr>
          <w:rFonts w:ascii="Microsoft YaHei" w:hAnsi="Microsoft YaHei" w:eastAsia="Microsoft YaHei"/>
          <w:b/>
          <w:color w:val="000000"/>
          <w:sz w:val="21"/>
        </w:rPr>
        <w:t>自动化测试统计：</w:t>
      </w:r>
      <w:r>
        <w:rPr>
          <w:rFonts w:ascii="Microsoft YaHei" w:hAnsi="Microsoft YaHei" w:eastAsia="Microsoft YaHei"/>
          <w:b w:val="0"/>
          <w:color w:val="000000"/>
          <w:sz w:val="21"/>
        </w:rPr>
        <w:t>16 项通过，0 项失败。界面与构建验证：10 项通过，1 项条件通过，1 项作为现场联调项单独管理。</w:t>
      </w:r>
    </w:p>
    <w:p>
      <w:r>
        <w:br w:type="page"/>
      </w:r>
    </w:p>
    <w:p>
      <w:pPr>
        <w:pStyle w:val="Heading1"/>
        <w:keepNext/>
        <w:spacing w:before="200" w:after="120" w:line="300" w:lineRule="auto"/>
      </w:pPr>
      <w:r>
        <w:rPr>
          <w:rFonts w:ascii="Microsoft YaHei" w:hAnsi="Microsoft YaHei" w:eastAsia="Microsoft YaHei"/>
          <w:b/>
          <w:color w:val="000000"/>
          <w:sz w:val="34"/>
        </w:rPr>
        <w:t>六 关键测试截图</w:t>
      </w:r>
    </w:p>
    <w:p>
      <w:pPr>
        <w:pStyle w:val="Heading2"/>
        <w:keepNext/>
        <w:spacing w:before="120" w:after="120" w:line="300" w:lineRule="auto"/>
      </w:pPr>
      <w:r>
        <w:rPr>
          <w:rFonts w:ascii="Microsoft YaHei" w:hAnsi="Microsoft YaHei" w:eastAsia="Microsoft YaHei"/>
          <w:b/>
          <w:color w:val="000000"/>
          <w:sz w:val="26"/>
        </w:rPr>
        <w:t>6.1 全国手表定位</w:t>
      </w:r>
    </w:p>
    <w:p>
      <w:pPr>
        <w:keepNext/>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01_数字驾驶舱_全国手表定位.png"/>
                    <pic:cNvPicPr/>
                  </pic:nvPicPr>
                  <pic:blipFill>
                    <a:blip r:embed="rId10"/>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1  数字驾驶舱全国手表定位与体征展示</w:t>
      </w:r>
    </w:p>
    <w:p>
      <w:pPr>
        <w:spacing w:before="0" w:after="120" w:line="324" w:lineRule="auto"/>
      </w:pPr>
      <w:r>
        <w:rPr>
          <w:rFonts w:ascii="Microsoft YaHei" w:hAnsi="Microsoft YaHei" w:eastAsia="Microsoft YaHei"/>
          <w:b w:val="0"/>
          <w:color w:val="000000"/>
          <w:sz w:val="21"/>
        </w:rPr>
        <w:t>地图可在全国范围展示测试定位点，设备选择与心率、血氧、体温等信息同步显示。</w:t>
      </w:r>
    </w:p>
    <w:p>
      <w:r>
        <w:br w:type="page"/>
      </w:r>
    </w:p>
    <w:p>
      <w:pPr>
        <w:pStyle w:val="Heading2"/>
        <w:keepNext/>
        <w:spacing w:before="120" w:after="120" w:line="300" w:lineRule="auto"/>
      </w:pPr>
      <w:r>
        <w:rPr>
          <w:rFonts w:ascii="Microsoft YaHei" w:hAnsi="Microsoft YaHei" w:eastAsia="Microsoft YaHei"/>
          <w:b/>
          <w:color w:val="000000"/>
          <w:sz w:val="26"/>
        </w:rPr>
        <w:t>6.2 应急预案研判与上报门槛</w:t>
      </w:r>
    </w:p>
    <w:p>
      <w:pPr>
        <w:keepNext/>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02_应急处置_AI预案研判.png"/>
                    <pic:cNvPicPr/>
                  </pic:nvPicPr>
                  <pic:blipFill>
                    <a:blip r:embed="rId11"/>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2  AI 研判与三类处置预案</w:t>
      </w:r>
    </w:p>
    <w:p>
      <w:pPr>
        <w:keepNext/>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03_应急处置_120上报与救援门槛.png"/>
                    <pic:cNvPicPr/>
                  </pic:nvPicPr>
                  <pic:blipFill>
                    <a:blip r:embed="rId12"/>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3  未完成上报时救援方式保持禁用</w:t>
      </w:r>
    </w:p>
    <w:p>
      <w:r>
        <w:br w:type="page"/>
      </w:r>
    </w:p>
    <w:p>
      <w:pPr>
        <w:pStyle w:val="Heading2"/>
        <w:keepNext/>
        <w:spacing w:before="120" w:after="120" w:line="300" w:lineRule="auto"/>
      </w:pPr>
      <w:r>
        <w:rPr>
          <w:rFonts w:ascii="Microsoft YaHei" w:hAnsi="Microsoft YaHei" w:eastAsia="Microsoft YaHei"/>
          <w:b/>
          <w:color w:val="000000"/>
          <w:sz w:val="26"/>
        </w:rPr>
        <w:t>6.3 救援方式联动与安全指引</w:t>
      </w:r>
    </w:p>
    <w:p>
      <w:pPr>
        <w:keepNext/>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04_应急处置_上报确认后开放救援选择.png"/>
                    <pic:cNvPicPr/>
                  </pic:nvPicPr>
                  <pic:blipFill>
                    <a:blip r:embed="rId13"/>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4  确认上报后开放救援方式</w:t>
      </w:r>
    </w:p>
    <w:p>
      <w:pPr>
        <w:keepNext/>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05_应急处置_非进入式救援指引.png"/>
                    <pic:cNvPicPr/>
                  </pic:nvPicPr>
                  <pic:blipFill>
                    <a:blip r:embed="rId14"/>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5  非进入式救援安全指引</w:t>
      </w:r>
    </w:p>
    <w:p>
      <w:r>
        <w:br w:type="page"/>
      </w:r>
    </w:p>
    <w:p>
      <w:pPr>
        <w:pStyle w:val="Heading2"/>
        <w:keepNext/>
        <w:spacing w:before="120" w:after="120" w:line="300" w:lineRule="auto"/>
      </w:pPr>
      <w:r>
        <w:rPr>
          <w:rFonts w:ascii="Microsoft YaHei" w:hAnsi="Microsoft YaHei" w:eastAsia="Microsoft YaHei"/>
          <w:b/>
          <w:color w:val="000000"/>
          <w:sz w:val="26"/>
        </w:rPr>
        <w:t>6.4 应急全流程</w:t>
      </w:r>
    </w:p>
    <w:p>
      <w:pPr>
        <w:keepNext/>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06_应急处置_全流程总览.png"/>
                    <pic:cNvPicPr/>
                  </pic:nvPicPr>
                  <pic:blipFill>
                    <a:blip r:embed="rId15"/>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6  应急处置全流程与路径状态</w:t>
      </w:r>
    </w:p>
    <w:p>
      <w:pPr>
        <w:spacing w:before="0" w:after="120" w:line="324" w:lineRule="auto"/>
      </w:pPr>
      <w:r>
        <w:rPr>
          <w:rFonts w:ascii="Microsoft YaHei" w:hAnsi="Microsoft YaHei" w:eastAsia="Microsoft YaHei"/>
          <w:b w:val="0"/>
          <w:color w:val="000000"/>
          <w:sz w:val="21"/>
        </w:rPr>
        <w:t>已选择和已执行路径使用高亮显示，未执行分支保持灰显，便于客户在演示和复盘时快速识别实际处置路线。</w:t>
      </w:r>
    </w:p>
    <w:p>
      <w:r>
        <w:br w:type="page"/>
      </w:r>
    </w:p>
    <w:p>
      <w:pPr>
        <w:pStyle w:val="Heading2"/>
        <w:keepNext/>
        <w:spacing w:before="120" w:after="120" w:line="300" w:lineRule="auto"/>
      </w:pPr>
      <w:r>
        <w:rPr>
          <w:rFonts w:ascii="Microsoft YaHei" w:hAnsi="Microsoft YaHei" w:eastAsia="Microsoft YaHei"/>
          <w:b/>
          <w:color w:val="000000"/>
          <w:sz w:val="26"/>
        </w:rPr>
        <w:t>6.5 作业票审批与气体检测</w:t>
      </w:r>
    </w:p>
    <w:p>
      <w:pPr>
        <w:keepNext/>
        <w:jc w:val="center"/>
      </w:pPr>
      <w:r>
        <w:drawing>
          <wp:inline xmlns:a="http://schemas.openxmlformats.org/drawingml/2006/main" xmlns:pic="http://schemas.openxmlformats.org/drawingml/2006/picture">
            <wp:extent cx="5989320" cy="3368992"/>
            <wp:docPr id="7" name="Picture 7"/>
            <wp:cNvGraphicFramePr>
              <a:graphicFrameLocks noChangeAspect="1"/>
            </wp:cNvGraphicFramePr>
            <a:graphic>
              <a:graphicData uri="http://schemas.openxmlformats.org/drawingml/2006/picture">
                <pic:pic>
                  <pic:nvPicPr>
                    <pic:cNvPr id="0" name="07_作业票审批资料_AI联动核验.png"/>
                    <pic:cNvPicPr/>
                  </pic:nvPicPr>
                  <pic:blipFill>
                    <a:blip r:embed="rId16"/>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7  待审批票证的 AI 联动核验等待状态</w:t>
      </w:r>
    </w:p>
    <w:p>
      <w:pPr>
        <w:keepNext/>
        <w:jc w:val="center"/>
      </w:pPr>
      <w:r>
        <w:drawing>
          <wp:inline xmlns:a="http://schemas.openxmlformats.org/drawingml/2006/main" xmlns:pic="http://schemas.openxmlformats.org/drawingml/2006/picture">
            <wp:extent cx="5989320" cy="3368992"/>
            <wp:docPr id="8" name="Picture 8"/>
            <wp:cNvGraphicFramePr>
              <a:graphicFrameLocks noChangeAspect="1"/>
            </wp:cNvGraphicFramePr>
            <a:graphic>
              <a:graphicData uri="http://schemas.openxmlformats.org/drawingml/2006/picture">
                <pic:pic>
                  <pic:nvPicPr>
                    <pic:cNvPr id="0" name="09_气体检测记录_分析人选项.png"/>
                    <pic:cNvPicPr/>
                  </pic:nvPicPr>
                  <pic:blipFill>
                    <a:blip r:embed="rId17"/>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8  气体检测记录分析人选项</w:t>
      </w:r>
    </w:p>
    <w:p>
      <w:r>
        <w:br w:type="page"/>
      </w:r>
    </w:p>
    <w:p>
      <w:pPr>
        <w:pStyle w:val="Heading1"/>
        <w:keepNext/>
        <w:spacing w:before="200" w:after="120" w:line="300" w:lineRule="auto"/>
      </w:pPr>
      <w:r>
        <w:rPr>
          <w:rFonts w:ascii="Microsoft YaHei" w:hAnsi="Microsoft YaHei" w:eastAsia="Microsoft YaHei"/>
          <w:b/>
          <w:color w:val="000000"/>
          <w:sz w:val="34"/>
        </w:rPr>
        <w:t>七 待现场联调事项</w:t>
      </w:r>
    </w:p>
    <w:tbl>
      <w:tblPr>
        <w:tblW w:type="auto" w:w="0"/>
        <w:jc w:val="left"/>
        <w:tblLayout w:type="fixed"/>
        <w:tblLook w:firstColumn="1" w:firstRow="1" w:lastColumn="0" w:lastRow="0" w:noHBand="0" w:noVBand="1" w:val="04A0"/>
      </w:tblPr>
      <w:tblGrid>
        <w:gridCol w:w="1656"/>
        <w:gridCol w:w="7488"/>
      </w:tblGrid>
      <w:tr>
        <w:tc>
          <w:tcPr>
            <w:tcW w:type="dxa" w:w="1656"/>
            <w:shd w:fill="173F7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FFFFFF"/>
                <w:sz w:val="21"/>
              </w:rPr>
              <w:t>联调项</w:t>
            </w:r>
          </w:p>
        </w:tc>
        <w:tc>
          <w:tcPr>
            <w:tcW w:type="dxa" w:w="7488"/>
            <w:shd w:fill="173F7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FFFFFF"/>
                <w:sz w:val="21"/>
              </w:rPr>
              <w:t>建议验证内容</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实时视频</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配置比赛设备凭证后验证 HTTP FLV 实时画面、延迟与断线重连</w:t>
            </w:r>
          </w:p>
        </w:tc>
      </w:tr>
      <w:tr>
        <w:tc>
          <w:tcPr>
            <w:tcW w:type="dxa" w:w="1656"/>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气体检测仪</w:t>
            </w:r>
          </w:p>
        </w:tc>
        <w:tc>
          <w:tcPr>
            <w:tcW w:type="dxa" w:w="7488"/>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接入真实设备后验证 CH4、CO2、O2、CO 实时读数与采集留痕</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报警联动</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用真实设备完成正常、超限、恢复、断线重连和多设备并发场景</w:t>
            </w:r>
          </w:p>
        </w:tc>
      </w:tr>
      <w:tr>
        <w:tc>
          <w:tcPr>
            <w:tcW w:type="dxa" w:w="1656"/>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审批附件</w:t>
            </w:r>
          </w:p>
        </w:tc>
        <w:tc>
          <w:tcPr>
            <w:tcW w:type="dxa" w:w="7488"/>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选择包含 JSA 和作业方案真实附件的待审批票证，复核核验成功标识</w:t>
            </w:r>
          </w:p>
        </w:tc>
      </w:tr>
    </w:tbl>
    <w:p>
      <w:pPr>
        <w:pStyle w:val="Heading1"/>
        <w:keepNext/>
        <w:spacing w:before="200" w:after="120" w:line="300" w:lineRule="auto"/>
      </w:pPr>
      <w:r>
        <w:rPr>
          <w:rFonts w:ascii="Microsoft YaHei" w:hAnsi="Microsoft YaHei" w:eastAsia="Microsoft YaHei"/>
          <w:b/>
          <w:color w:val="000000"/>
          <w:sz w:val="34"/>
        </w:rPr>
        <w:t>八 最终结论</w:t>
      </w:r>
    </w:p>
    <w:p>
      <w:pPr>
        <w:spacing w:before="0" w:after="120" w:line="324" w:lineRule="auto"/>
      </w:pPr>
      <w:r>
        <w:rPr>
          <w:rFonts w:ascii="Microsoft YaHei" w:hAnsi="Microsoft YaHei" w:eastAsia="Microsoft YaHei"/>
          <w:b w:val="0"/>
          <w:color w:val="000000"/>
          <w:sz w:val="21"/>
        </w:rPr>
        <w:t>本次升级已完成本地功能验证、自动化回归和前端构建验证，核心升级功能具备客户演示与阶段验收条件。实时视频、真实气体设备和含真实附件的审批票证仍需要在现场环境完成联调复测，复测通过后再进入最终生产验收。</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67085"/>
        <w:sz w:val="18"/>
      </w:rPr>
      <w:t xml:space="preserve">第 </w:t>
    </w:r>
    <w:fldSimple w:instr="PAGE"/>
    <w:r>
      <w:rPr>
        <w:rFonts w:ascii="Microsoft YaHei" w:hAnsi="Microsoft YaHei" w:eastAsia="Microsoft YaHei"/>
        <w:b w:val="0"/>
        <w:color w:val="667085"/>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