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二维与一维空间变换及点积几何意义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二维与一维空间变换及点积几何意义文档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一、问题1：二维空间与一维的变换矩阵关系——嵌入与投影的对偶性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问题描述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“一个二维空间与一维具有变换矩阵关系，一维单位向量在二维上的坐标，恰好是二维单位向量在一维上的投影。” 请解释该关系的原理。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详细解答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该关系的本质是</w:t>
      </w:r>
      <w:r>
        <w:rPr>
          <w:rFonts w:eastAsia="等线" w:ascii="Arial" w:cs="Arial" w:hAnsi="Arial"/>
          <w:b w:val="true"/>
          <w:sz w:val="22"/>
        </w:rPr>
        <w:t>二维空间与一维子空间（过原点的直线）之间“升维嵌入”与“降维投影”的对偶性</w:t>
      </w:r>
      <w:r>
        <w:rPr>
          <w:rFonts w:eastAsia="等线" w:ascii="Arial" w:cs="Arial" w:hAnsi="Arial"/>
          <w:sz w:val="22"/>
        </w:rPr>
        <w:t>——核心是“一维单位向量的二维嵌入坐标”与“二维单位向量的一维投影结果”在“投影方向”上完全对应，可通过“基础定义→矩阵表示→实例验证→推广”四步拆解：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基础前提：明确“一维子空间”的投影方向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讨论的“一维空间”是二维空间的</w:t>
      </w:r>
      <w:r>
        <w:rPr>
          <w:rFonts w:eastAsia="等线" w:ascii="Arial" w:cs="Arial" w:hAnsi="Arial"/>
          <w:b w:val="true"/>
          <w:sz w:val="22"/>
        </w:rPr>
        <w:t>一维子空间</w:t>
      </w:r>
      <w:r>
        <w:rPr>
          <w:rFonts w:eastAsia="等线" w:ascii="Arial" w:cs="Arial" w:hAnsi="Arial"/>
          <w:sz w:val="22"/>
        </w:rPr>
        <w:t>（过原点的直线，如x轴、y轴或与坐标轴成θ角的直线），其核心特征是存在一个“方向单位向量”(\mathbf{u})（如x轴的方向单位向量为(\mathbf{u} = \begin{bmatrix}1\\0\end{bmatrix})），所有投影/嵌入操作均围绕该方向展开。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核心操作1：二维→一维（降维投影）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“二维单位向量在一维上的投影”是将二维向量“压缩”到一维子空间，保留方向分量、丢弃垂直分量，可通过</w:t>
      </w:r>
      <w:r>
        <w:rPr>
          <w:rFonts w:eastAsia="等线" w:ascii="Arial" w:cs="Arial" w:hAnsi="Arial"/>
          <w:b w:val="true"/>
          <w:sz w:val="22"/>
        </w:rPr>
        <w:t>投影矩阵</w:t>
      </w:r>
      <w:r>
        <w:rPr>
          <w:rFonts w:eastAsia="等线" w:ascii="Arial" w:cs="Arial" w:hAnsi="Arial"/>
          <w:sz w:val="22"/>
        </w:rPr>
        <w:t>实现。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数学定义</w:t>
      </w:r>
      <w:r>
        <w:rPr>
          <w:rFonts w:eastAsia="等线" w:ascii="Arial" w:cs="Arial" w:hAnsi="Arial"/>
          <w:sz w:val="22"/>
        </w:rPr>
        <w:t>（以x轴为例，方向单位向量(\mathbf{u} = \begin{bmatrix}1\\0\end{bmatrix})）：对任意二维向量(\mathbf{v} = \begin{bmatrix}v_1\\v_2\end{bmatrix})，其在x轴上的投影结果为“x分量”（y分量垂直于x轴，投影后为0），即：[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\text{proj}_{\text{x轴}}(\mathbf{v}) = v_1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矩阵表示</w:t>
      </w:r>
      <w:r>
        <w:rPr>
          <w:rFonts w:eastAsia="等线" w:ascii="Arial" w:cs="Arial" w:hAnsi="Arial"/>
          <w:sz w:val="22"/>
        </w:rPr>
        <w:t>：投影是线性变换，对应</w:t>
      </w:r>
      <w:r>
        <w:rPr>
          <w:rFonts w:eastAsia="等线" w:ascii="Arial" w:cs="Arial" w:hAnsi="Arial"/>
          <w:b w:val="true"/>
          <w:sz w:val="22"/>
        </w:rPr>
        <w:t>1×2的投影矩阵</w:t>
      </w:r>
      <w:r>
        <w:rPr>
          <w:rFonts w:eastAsia="等线" w:ascii="Arial" w:cs="Arial" w:hAnsi="Arial"/>
          <w:sz w:val="22"/>
        </w:rPr>
        <w:t>（行数=目标维度，列数=原维度）。x轴投影矩阵为(P = \begin{bmatrix}1 &amp; 0\end{bmatrix})，投影计算为矩阵乘法：[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 \cdot \mathbf{v} = \begin{bmatrix}1 &amp; 0\end{bmatrix} \cdot \begin{bmatrix}v_1\\v_2\end{bmatrix} = v_1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实例验证</w:t>
      </w:r>
      <w:r>
        <w:rPr>
          <w:rFonts w:eastAsia="等线" w:ascii="Arial" w:cs="Arial" w:hAnsi="Arial"/>
          <w:sz w:val="22"/>
        </w:rPr>
        <w:t xml:space="preserve">（二维单位向量的投影）：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沿投影方向的二维单位向量(\mathbf{e}_1 = \begin{bmatrix}1\\0\end{bmatrix})：投影结果(P \cdot \mathbf{e}_1 = 1)（即一维单位向量）；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垂直投影方向的二维单位向量(\mathbf{e}_2 = \begin{bmatrix}0\\1\end{bmatrix})：投影结果(P \cdot \mathbf{e}_2 = 0)（一维零向量）；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与投影方向成45°的二维单位向量(\mathbf{v} = \begin{bmatrix}\frac{\sqrt{2}}{2}\\\frac{\sqrt{2}}{2}\end{bmatrix})：投影结果(P \cdot \mathbf{v} = \frac{\sqrt{2}}{2})（一维向量，大小为投影分量）。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核心操作2：一维→二维（升维嵌入）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“一维单位向量在二维上的坐标”是将一维向量“扩展”到二维空间，仅保留投影方向分量、垂直方向分量为0，是投影的逆操作，可通过</w:t>
      </w:r>
      <w:r>
        <w:rPr>
          <w:rFonts w:eastAsia="等线" w:ascii="Arial" w:cs="Arial" w:hAnsi="Arial"/>
          <w:b w:val="true"/>
          <w:sz w:val="22"/>
        </w:rPr>
        <w:t>嵌入矩阵</w:t>
      </w:r>
      <w:r>
        <w:rPr>
          <w:rFonts w:eastAsia="等线" w:ascii="Arial" w:cs="Arial" w:hAnsi="Arial"/>
          <w:sz w:val="22"/>
        </w:rPr>
        <w:t>实现。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数学定义</w:t>
      </w:r>
      <w:r>
        <w:rPr>
          <w:rFonts w:eastAsia="等线" w:ascii="Arial" w:cs="Arial" w:hAnsi="Arial"/>
          <w:sz w:val="22"/>
        </w:rPr>
        <w:t>（以x轴为例）：对任意一维向量(a)，其在二维空间的嵌入结果为“x分量为(a)、y分量为0”的向量，即：[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\text{embed}_{\text{x轴}}(a) = \begin{bmatrix}a\\0\end{bmatrix}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矩阵表示</w:t>
      </w:r>
      <w:r>
        <w:rPr>
          <w:rFonts w:eastAsia="等线" w:ascii="Arial" w:cs="Arial" w:hAnsi="Arial"/>
          <w:sz w:val="22"/>
        </w:rPr>
        <w:t>：嵌入是线性变换，对应</w:t>
      </w:r>
      <w:r>
        <w:rPr>
          <w:rFonts w:eastAsia="等线" w:ascii="Arial" w:cs="Arial" w:hAnsi="Arial"/>
          <w:b w:val="true"/>
          <w:sz w:val="22"/>
        </w:rPr>
        <w:t>2×1的嵌入矩阵</w:t>
      </w:r>
      <w:r>
        <w:rPr>
          <w:rFonts w:eastAsia="等线" w:ascii="Arial" w:cs="Arial" w:hAnsi="Arial"/>
          <w:sz w:val="22"/>
        </w:rPr>
        <w:t>（行数=目标维度，列数=原维度）。x轴嵌入矩阵为(E = \begin{bmatrix}1\\0\end{bmatrix})，嵌入计算为矩阵乘法：[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\cdot a = \begin{bmatrix}1\\0\end{bmatrix} \cdot a = \begin{bmatrix}a\\0\end{bmatrix}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实例验证</w:t>
      </w:r>
      <w:r>
        <w:rPr>
          <w:rFonts w:eastAsia="等线" w:ascii="Arial" w:cs="Arial" w:hAnsi="Arial"/>
          <w:sz w:val="22"/>
        </w:rPr>
        <w:t xml:space="preserve">（一维单位向量的嵌入）：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一维单位向量(a=1)：嵌入结果(E \cdot 1 = \begin{bmatrix}1\\0\end{bmatrix})（即二维空间中x轴的单位向量）；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一维零向量(a=0)：嵌入结果(E \cdot 0 = \begin{bmatrix}0\\0\end{bmatrix})（二维零向量）。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 对偶关系验证：嵌入与投影的闭环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结合两个操作，可验证“一维单位向量的二维嵌入坐标 = 二维单位向量的一维投影基准”：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一维单位向量(1)嵌入二维：(E \cdot 1 = \begin{bmatrix}1\\0\end{bmatrix})（二维沿x轴的单位向量）；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该二维单位向量投影到一维：(P \cdot \begin{bmatrix}1\\0\end{bmatrix} = 1)（回到一维单位向量）。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形成闭环：(\text{proj}</w:t>
      </w:r>
      <w:r>
        <w:rPr>
          <w:rFonts w:eastAsia="等线" w:ascii="Arial" w:cs="Arial" w:hAnsi="Arial"/>
          <w:i w:val="true"/>
          <w:sz w:val="22"/>
        </w:rPr>
        <w:t>{\text{x轴}} \left( \text{embed}</w:t>
      </w:r>
      <w:r>
        <w:rPr>
          <w:rFonts w:eastAsia="等线" w:ascii="Arial" w:cs="Arial" w:hAnsi="Arial"/>
          <w:sz w:val="22"/>
        </w:rPr>
        <w:t>{\text{x轴}} (1) \right) = 1)，即“嵌入结果是投影的基准，投影结果还原嵌入的原向量”。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5. 推广：任意一维子空间（非坐标轴）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若一维子空间方向单位向量为(\mathbf{u} = \begin{bmatrix}\cos\theta\\\sin\theta\end{bmatrix})（与x轴成θ角），对偶关系仍成立：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投影矩阵(P = \begin{bmatrix}\cos\theta &amp; \sin\theta\end{bmatrix})（1×2）；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嵌入矩阵(E = \begin{bmatrix}\cos\theta\\\sin\theta\end{bmatrix})（2×1）；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验证：(\text{proj}</w:t>
      </w:r>
      <w:r>
        <w:rPr>
          <w:rFonts w:eastAsia="等线" w:ascii="Arial" w:cs="Arial" w:hAnsi="Arial"/>
          <w:i w:val="true"/>
          <w:sz w:val="22"/>
        </w:rPr>
        <w:t>{\mathbf{u}} \left( \text{embed}</w:t>
      </w:r>
      <w:r>
        <w:rPr>
          <w:rFonts w:eastAsia="等线" w:ascii="Arial" w:cs="Arial" w:hAnsi="Arial"/>
          <w:sz w:val="22"/>
        </w:rPr>
        <w:t>{\mathbf{u}} (1) \right) = P \cdot E = \cos^2\theta + \sin^2\theta = 1)。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二、问题2：嵌入-投影对偶关系与点积的几何意义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问题描述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“二维与一维的变换矩阵关系（嵌入-投影对偶性），是否恰好是点积对于几何空间的解释？” 请分析两者的关联。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详细解答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是的！嵌入-投影对偶关系的底层逻辑，正是</w:t>
      </w:r>
      <w:r>
        <w:rPr>
          <w:rFonts w:eastAsia="等线" w:ascii="Arial" w:cs="Arial" w:hAnsi="Arial"/>
          <w:b w:val="true"/>
          <w:sz w:val="22"/>
        </w:rPr>
        <w:t>点积（Dot Product）的核心几何意义</w:t>
      </w:r>
      <w:r>
        <w:rPr>
          <w:rFonts w:eastAsia="等线" w:ascii="Arial" w:cs="Arial" w:hAnsi="Arial"/>
          <w:sz w:val="22"/>
        </w:rPr>
        <w:t>——点积的“投影视角”（单位向量与另一向量的点积 = 该向量在单位向量方向的投影长度），直接串联起“投影”与“嵌入”操作，是两者对偶性的数学本质。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1. 回顾：点积的两个核心几何意义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对二维向量(\mathbf{a} = \begin{bmatrix}a_1\\a_2\end{bmatrix})和(\mathbf{b} = \begin{bmatrix}b_1\\b_2\end{bmatrix})，点积的代数定义为(\mathbf{a} \cdot \mathbf{b} = a_1b_1 + a_2b_2)，几何意义有两个关键表述：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投影视角</w:t>
      </w:r>
      <w:r>
        <w:rPr>
          <w:rFonts w:eastAsia="等线" w:ascii="Arial" w:cs="Arial" w:hAnsi="Arial"/>
          <w:sz w:val="22"/>
        </w:rPr>
        <w:t xml:space="preserve">（核心）：若(\mathbf{a})是单位向量（(|\mathbf{a}|=1)），则(\mathbf{a} \cdot \mathbf{b} = \text{proj}_{\mathbf{a}}(\mathbf{b}))——即“单位向量与另一向量的点积，等于另一向量在该单位向量方向的投影长度”。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夹角视角</w:t>
      </w:r>
      <w:r>
        <w:rPr>
          <w:rFonts w:eastAsia="等线" w:ascii="Arial" w:cs="Arial" w:hAnsi="Arial"/>
          <w:sz w:val="22"/>
        </w:rPr>
        <w:t>：(\mathbf{a} \cdot \mathbf{b} = |\mathbf{a}| \cdot |\mathbf{b}| \cdot \cos\theta)（(\theta)为两向量夹角），本质是投影视角的延伸（(\text{proj}_{\mathbf{a}}(\mathbf{b}) = |\mathbf{b}| \cos\theta)）。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 投影操作 = 点积（单位向量版）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“二维单位向量在一维上的投影”，本质是</w:t>
      </w:r>
      <w:r>
        <w:rPr>
          <w:rFonts w:eastAsia="等线" w:ascii="Arial" w:cs="Arial" w:hAnsi="Arial"/>
          <w:b w:val="true"/>
          <w:sz w:val="22"/>
        </w:rPr>
        <w:t>二维向量与“一维子空间方向单位向量”的点积</w:t>
      </w:r>
      <w:r>
        <w:rPr>
          <w:rFonts w:eastAsia="等线" w:ascii="Arial" w:cs="Arial" w:hAnsi="Arial"/>
          <w:sz w:val="22"/>
        </w:rPr>
        <w:t>——直接体现点积的投影视角。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示例（x轴方向单位向量(\mathbf{u} = \begin{bmatrix}1\\0\end{bmatrix})）：二维向量(\mathbf{v} = \begin{bmatrix}v_1\\v_2\end{bmatrix})的投影长度 = (\mathbf{u} \cdot \mathbf{v} = 1 \cdot v_1 + 0 \cdot v_2 = v_1)，与投影矩阵计算结果完全一致（(P \cdot \mathbf{v} = v_1)）。结论：投影矩阵的本质是“方向单位向量的转置”（(P = \mathbf{u}^T)），投影计算即(\mathbf{u}^T \cdot \mathbf{v} = \mathbf{u} \cdot \mathbf{v})（点积）。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 嵌入操作 = 点积的“基准载体”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“一维单位向量在二维上的嵌入”，本质是将“一维单位向量”转化为“二维方向单位向量”——该向量正是点积计算中“投影方向的基准”，确保投影操作可反向还原。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示例（x轴方向）：一维单位向量(1)的嵌入结果 = (\mathbf{u} = \begin{bmatrix}1\\0\end{bmatrix})（二维方向单位向量）；该向量与自身的点积 = (\mathbf{u} \cdot \mathbf{u} = |\mathbf{u}|^2 = 1)，即“嵌入后的二维单位向量投影回一维，仍为原一维单位向量”——这是点积“单位向量自点积为1”的必然结果，也是对偶关系的闭环核心。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4. 推广：任意一维子空间的点积通用性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对方向单位向量为(\mathbf{u} = \begin{bmatrix}\cos\theta\\\sin\theta\end{bmatrix})的一维子空间：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投影操作：二维向量(\mathbf{v})的投影长度 = (\mathbf{u} \cdot \mathbf{v})；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嵌入操作：一维单位向量(1)的嵌入结果 = (\mathbf{u})；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闭环验证：(\mathbf{u} \cdot \mathbf{u} = 1)，对偶关系始终成立。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三、核心知识点总结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嵌入与投影的对偶性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二维→一维：通过1×2投影矩阵(P = \mathbf{u}^T)（(\mathbf{u})为方向单位向量）实现投影，结果为向量在(\mathbf{u})方向的分量；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一维→二维：通过2×1嵌入矩阵(E = \mathbf{u})实现升维，结果为二维空间的方向单位向量；  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闭环关系：(P \cdot E = \mathbf{u}^T \cdot \mathbf{u} = 1)，嵌入后投影可还原原一维单位向量。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点积的核心几何意义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点积是“投影长度”的计算工具：单位向量与另一向量的点积 = 该向量在单位向量方向的投影长度；  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点积是“嵌入-投影对偶性”的底层逻辑：嵌入的基准（二维单位向量）、投影的结果（一维分量）均通过点积关联，确保关系闭环。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矩阵与点积的关联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投影矩阵(P = \mathbf{u}^T)，投影计算 = (\mathbf{u}^T \cdot \mathbf{v} = \mathbf{u} \cdot \mathbf{v})（点积）；  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嵌入矩阵(E = \mathbf{u})，嵌入结果是点积的“基准向量”，确保投影可还原。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实际应用</w:t>
      </w:r>
      <w:r>
        <w:rPr>
          <w:rFonts w:eastAsia="等线" w:ascii="Arial" w:cs="Arial" w:hAnsi="Arial"/>
          <w:sz w:val="22"/>
        </w:rPr>
        <w:t>该关系是数据降维（如PCA）、图像压缩、坐标变换的基础——例如PCA的“主成分”本质是一维子空间的方向单位向量，数据投影到主成分即点积计算，嵌入则是将主成分扩展到原空间进行重构。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472">
    <w:lvl>
      <w:numFmt w:val="bullet"/>
      <w:suff w:val="tab"/>
      <w:lvlText w:val="•"/>
      <w:rPr>
        <w:color w:val="3370ff"/>
      </w:rPr>
    </w:lvl>
  </w:abstractNum>
  <w:abstractNum w:abstractNumId="148473">
    <w:lvl>
      <w:numFmt w:val="bullet"/>
      <w:suff w:val="tab"/>
      <w:lvlText w:val="•"/>
      <w:rPr>
        <w:color w:val="3370ff"/>
      </w:rPr>
    </w:lvl>
  </w:abstractNum>
  <w:abstractNum w:abstractNumId="148474">
    <w:lvl>
      <w:numFmt w:val="bullet"/>
      <w:suff w:val="tab"/>
      <w:lvlText w:val="•"/>
      <w:rPr>
        <w:color w:val="3370ff"/>
      </w:rPr>
    </w:lvl>
  </w:abstractNum>
  <w:abstractNum w:abstractNumId="148475">
    <w:lvl>
      <w:numFmt w:val="bullet"/>
      <w:suff w:val="tab"/>
      <w:lvlText w:val="￮"/>
      <w:rPr>
        <w:color w:val="3370ff"/>
      </w:rPr>
    </w:lvl>
  </w:abstractNum>
  <w:abstractNum w:abstractNumId="148476">
    <w:lvl>
      <w:numFmt w:val="bullet"/>
      <w:suff w:val="tab"/>
      <w:lvlText w:val="￮"/>
      <w:rPr>
        <w:color w:val="3370ff"/>
      </w:rPr>
    </w:lvl>
  </w:abstractNum>
  <w:abstractNum w:abstractNumId="148477">
    <w:lvl>
      <w:numFmt w:val="bullet"/>
      <w:suff w:val="tab"/>
      <w:lvlText w:val="￮"/>
      <w:rPr>
        <w:color w:val="3370ff"/>
      </w:rPr>
    </w:lvl>
  </w:abstractNum>
  <w:abstractNum w:abstractNumId="148478">
    <w:lvl>
      <w:numFmt w:val="bullet"/>
      <w:suff w:val="tab"/>
      <w:lvlText w:val="•"/>
      <w:rPr>
        <w:color w:val="3370ff"/>
      </w:rPr>
    </w:lvl>
  </w:abstractNum>
  <w:abstractNum w:abstractNumId="148479">
    <w:lvl>
      <w:numFmt w:val="bullet"/>
      <w:suff w:val="tab"/>
      <w:lvlText w:val="•"/>
      <w:rPr>
        <w:color w:val="3370ff"/>
      </w:rPr>
    </w:lvl>
  </w:abstractNum>
  <w:abstractNum w:abstractNumId="148480">
    <w:lvl>
      <w:numFmt w:val="bullet"/>
      <w:suff w:val="tab"/>
      <w:lvlText w:val="•"/>
      <w:rPr>
        <w:color w:val="3370ff"/>
      </w:rPr>
    </w:lvl>
  </w:abstractNum>
  <w:abstractNum w:abstractNumId="148481">
    <w:lvl>
      <w:numFmt w:val="bullet"/>
      <w:suff w:val="tab"/>
      <w:lvlText w:val="￮"/>
      <w:rPr>
        <w:color w:val="3370ff"/>
      </w:rPr>
    </w:lvl>
  </w:abstractNum>
  <w:abstractNum w:abstractNumId="148482">
    <w:lvl>
      <w:numFmt w:val="bullet"/>
      <w:suff w:val="tab"/>
      <w:lvlText w:val="￮"/>
      <w:rPr>
        <w:color w:val="3370ff"/>
      </w:rPr>
    </w:lvl>
  </w:abstractNum>
  <w:abstractNum w:abstractNumId="148483">
    <w:lvl>
      <w:start w:val="1"/>
      <w:numFmt w:val="decimal"/>
      <w:suff w:val="tab"/>
      <w:lvlText w:val="%1."/>
      <w:rPr>
        <w:color w:val="3370ff"/>
      </w:rPr>
    </w:lvl>
  </w:abstractNum>
  <w:abstractNum w:abstractNumId="148484">
    <w:lvl>
      <w:start w:val="2"/>
      <w:numFmt w:val="decimal"/>
      <w:suff w:val="tab"/>
      <w:lvlText w:val="%1."/>
      <w:rPr>
        <w:color w:val="3370ff"/>
      </w:rPr>
    </w:lvl>
  </w:abstractNum>
  <w:abstractNum w:abstractNumId="148485">
    <w:lvl>
      <w:numFmt w:val="bullet"/>
      <w:suff w:val="tab"/>
      <w:lvlText w:val="•"/>
      <w:rPr>
        <w:color w:val="3370ff"/>
      </w:rPr>
    </w:lvl>
  </w:abstractNum>
  <w:abstractNum w:abstractNumId="148486">
    <w:lvl>
      <w:numFmt w:val="bullet"/>
      <w:suff w:val="tab"/>
      <w:lvlText w:val="•"/>
      <w:rPr>
        <w:color w:val="3370ff"/>
      </w:rPr>
    </w:lvl>
  </w:abstractNum>
  <w:abstractNum w:abstractNumId="148487">
    <w:lvl>
      <w:numFmt w:val="bullet"/>
      <w:suff w:val="tab"/>
      <w:lvlText w:val="•"/>
      <w:rPr>
        <w:color w:val="3370ff"/>
      </w:rPr>
    </w:lvl>
  </w:abstractNum>
  <w:abstractNum w:abstractNumId="148488">
    <w:lvl>
      <w:numFmt w:val="bullet"/>
      <w:suff w:val="tab"/>
      <w:lvlText w:val="•"/>
      <w:rPr>
        <w:color w:val="3370ff"/>
      </w:rPr>
    </w:lvl>
  </w:abstractNum>
  <w:abstractNum w:abstractNumId="148489">
    <w:lvl>
      <w:numFmt w:val="bullet"/>
      <w:suff w:val="tab"/>
      <w:lvlText w:val="•"/>
      <w:rPr>
        <w:color w:val="3370ff"/>
      </w:rPr>
    </w:lvl>
  </w:abstractNum>
  <w:abstractNum w:abstractNumId="148490">
    <w:lvl>
      <w:numFmt w:val="bullet"/>
      <w:suff w:val="tab"/>
      <w:lvlText w:val="•"/>
      <w:rPr>
        <w:color w:val="3370ff"/>
      </w:rPr>
    </w:lvl>
  </w:abstractNum>
  <w:abstractNum w:abstractNumId="148491">
    <w:lvl>
      <w:numFmt w:val="bullet"/>
      <w:suff w:val="tab"/>
      <w:lvlText w:val="•"/>
      <w:rPr>
        <w:color w:val="3370ff"/>
      </w:rPr>
    </w:lvl>
  </w:abstractNum>
  <w:abstractNum w:abstractNumId="148492">
    <w:lvl>
      <w:numFmt w:val="bullet"/>
      <w:suff w:val="tab"/>
      <w:lvlText w:val="•"/>
      <w:rPr>
        <w:color w:val="3370ff"/>
      </w:rPr>
    </w:lvl>
  </w:abstractNum>
  <w:abstractNum w:abstractNumId="148493">
    <w:lvl>
      <w:numFmt w:val="bullet"/>
      <w:suff w:val="tab"/>
      <w:lvlText w:val="•"/>
      <w:rPr>
        <w:color w:val="3370ff"/>
      </w:rPr>
    </w:lvl>
  </w:abstractNum>
  <w:abstractNum w:abstractNumId="148494">
    <w:lvl>
      <w:numFmt w:val="bullet"/>
      <w:suff w:val="tab"/>
      <w:lvlText w:val="•"/>
      <w:rPr>
        <w:color w:val="3370ff"/>
      </w:rPr>
    </w:lvl>
  </w:abstractNum>
  <w:abstractNum w:abstractNumId="148495">
    <w:lvl>
      <w:start w:val="1"/>
      <w:numFmt w:val="decimal"/>
      <w:suff w:val="tab"/>
      <w:lvlText w:val="%1."/>
      <w:rPr>
        <w:color w:val="3370ff"/>
      </w:rPr>
    </w:lvl>
  </w:abstractNum>
  <w:abstractNum w:abstractNumId="148496">
    <w:lvl>
      <w:numFmt w:val="bullet"/>
      <w:suff w:val="tab"/>
      <w:lvlText w:val="￮"/>
      <w:rPr>
        <w:color w:val="3370ff"/>
      </w:rPr>
    </w:lvl>
  </w:abstractNum>
  <w:abstractNum w:abstractNumId="148497">
    <w:lvl>
      <w:numFmt w:val="bullet"/>
      <w:suff w:val="tab"/>
      <w:lvlText w:val="￮"/>
      <w:rPr>
        <w:color w:val="3370ff"/>
      </w:rPr>
    </w:lvl>
  </w:abstractNum>
  <w:abstractNum w:abstractNumId="148498">
    <w:lvl>
      <w:numFmt w:val="bullet"/>
      <w:suff w:val="tab"/>
      <w:lvlText w:val="￮"/>
      <w:rPr>
        <w:color w:val="3370ff"/>
      </w:rPr>
    </w:lvl>
  </w:abstractNum>
  <w:abstractNum w:abstractNumId="148499">
    <w:lvl>
      <w:start w:val="2"/>
      <w:numFmt w:val="decimal"/>
      <w:suff w:val="tab"/>
      <w:lvlText w:val="%1."/>
      <w:rPr>
        <w:color w:val="3370ff"/>
      </w:rPr>
    </w:lvl>
  </w:abstractNum>
  <w:abstractNum w:abstractNumId="148500">
    <w:lvl>
      <w:numFmt w:val="bullet"/>
      <w:suff w:val="tab"/>
      <w:lvlText w:val="￮"/>
      <w:rPr>
        <w:color w:val="3370ff"/>
      </w:rPr>
    </w:lvl>
  </w:abstractNum>
  <w:abstractNum w:abstractNumId="148501">
    <w:lvl>
      <w:numFmt w:val="bullet"/>
      <w:suff w:val="tab"/>
      <w:lvlText w:val="￮"/>
      <w:rPr>
        <w:color w:val="3370ff"/>
      </w:rPr>
    </w:lvl>
  </w:abstractNum>
  <w:abstractNum w:abstractNumId="148502">
    <w:lvl>
      <w:start w:val="3"/>
      <w:numFmt w:val="decimal"/>
      <w:suff w:val="tab"/>
      <w:lvlText w:val="%1."/>
      <w:rPr>
        <w:color w:val="3370ff"/>
      </w:rPr>
    </w:lvl>
  </w:abstractNum>
  <w:abstractNum w:abstractNumId="148503">
    <w:lvl>
      <w:numFmt w:val="bullet"/>
      <w:suff w:val="tab"/>
      <w:lvlText w:val="￮"/>
      <w:rPr>
        <w:color w:val="3370ff"/>
      </w:rPr>
    </w:lvl>
  </w:abstractNum>
  <w:abstractNum w:abstractNumId="148504">
    <w:lvl>
      <w:numFmt w:val="bullet"/>
      <w:suff w:val="tab"/>
      <w:lvlText w:val="￮"/>
      <w:rPr>
        <w:color w:val="3370ff"/>
      </w:rPr>
    </w:lvl>
  </w:abstractNum>
  <w:abstractNum w:abstractNumId="14850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48472"/>
  </w:num>
  <w:num w:numId="2">
    <w:abstractNumId w:val="148473"/>
  </w:num>
  <w:num w:numId="3">
    <w:abstractNumId w:val="148474"/>
  </w:num>
  <w:num w:numId="4">
    <w:abstractNumId w:val="148475"/>
  </w:num>
  <w:num w:numId="5">
    <w:abstractNumId w:val="148476"/>
  </w:num>
  <w:num w:numId="6">
    <w:abstractNumId w:val="148477"/>
  </w:num>
  <w:num w:numId="7">
    <w:abstractNumId w:val="148478"/>
  </w:num>
  <w:num w:numId="8">
    <w:abstractNumId w:val="148479"/>
  </w:num>
  <w:num w:numId="9">
    <w:abstractNumId w:val="148480"/>
  </w:num>
  <w:num w:numId="10">
    <w:abstractNumId w:val="148481"/>
  </w:num>
  <w:num w:numId="11">
    <w:abstractNumId w:val="148482"/>
  </w:num>
  <w:num w:numId="12">
    <w:abstractNumId w:val="148483"/>
  </w:num>
  <w:num w:numId="13">
    <w:abstractNumId w:val="148484"/>
  </w:num>
  <w:num w:numId="14">
    <w:abstractNumId w:val="148485"/>
  </w:num>
  <w:num w:numId="15">
    <w:abstractNumId w:val="148486"/>
  </w:num>
  <w:num w:numId="16">
    <w:abstractNumId w:val="148487"/>
  </w:num>
  <w:num w:numId="17">
    <w:abstractNumId w:val="148488"/>
  </w:num>
  <w:num w:numId="18">
    <w:abstractNumId w:val="148489"/>
  </w:num>
  <w:num w:numId="19">
    <w:abstractNumId w:val="148490"/>
  </w:num>
  <w:num w:numId="20">
    <w:abstractNumId w:val="148491"/>
  </w:num>
  <w:num w:numId="21">
    <w:abstractNumId w:val="148492"/>
  </w:num>
  <w:num w:numId="22">
    <w:abstractNumId w:val="148493"/>
  </w:num>
  <w:num w:numId="23">
    <w:abstractNumId w:val="148494"/>
  </w:num>
  <w:num w:numId="24">
    <w:abstractNumId w:val="148495"/>
  </w:num>
  <w:num w:numId="25">
    <w:abstractNumId w:val="148496"/>
  </w:num>
  <w:num w:numId="26">
    <w:abstractNumId w:val="148497"/>
  </w:num>
  <w:num w:numId="27">
    <w:abstractNumId w:val="148498"/>
  </w:num>
  <w:num w:numId="28">
    <w:abstractNumId w:val="148499"/>
  </w:num>
  <w:num w:numId="29">
    <w:abstractNumId w:val="148500"/>
  </w:num>
  <w:num w:numId="30">
    <w:abstractNumId w:val="148501"/>
  </w:num>
  <w:num w:numId="31">
    <w:abstractNumId w:val="148502"/>
  </w:num>
  <w:num w:numId="32">
    <w:abstractNumId w:val="148503"/>
  </w:num>
  <w:num w:numId="33">
    <w:abstractNumId w:val="148504"/>
  </w:num>
  <w:num w:numId="34">
    <w:abstractNumId w:val="148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2025-10-04T14:23:26Z</dcterms:created>
  <dc:creator>Apache POI</dc:creator>
</cp:coreProperties>
</file>