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叉积的二维与三维特性对比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叉积（Cross Product）知识点系统总结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一、叉积的基础认知：运算对象与核心定位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叉积是</w:t>
      </w:r>
      <w:r>
        <w:rPr>
          <w:rFonts w:eastAsia="等线" w:ascii="Arial" w:cs="Arial" w:hAnsi="Arial"/>
          <w:b w:val="true"/>
          <w:sz w:val="22"/>
        </w:rPr>
        <w:t>向量与向量的二元线性运算</w:t>
      </w:r>
      <w:r>
        <w:rPr>
          <w:rFonts w:eastAsia="等线" w:ascii="Arial" w:cs="Arial" w:hAnsi="Arial"/>
          <w:sz w:val="22"/>
        </w:rPr>
        <w:t>，核心作用是描述向量间的“垂直关联特性”，而非矩阵运算——对话中提及的“1×2”“1×3”本质是对向量维度的简化表述，实际对应：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二维向量：含2个分量（如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d>
          <m:dPr>
            <m:begChr m:val="["/>
            <m:sepChr m:val=","/>
            <m:endChr m:val="]"/>
          </m:dPr>
          <m:e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三维向量：含3个分量（如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</m:t>
        </m:r>
        <m:d>
          <m:dPr>
            <m:begChr m:val="["/>
            <m:sepChr m:val=","/>
            <m:endChr m:val="]"/>
          </m:dPr>
          <m:e>
            <m:sSub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叉积的核心功能是量化向量的垂直关系，具体包括平行四边形面积计算、空间定向判断、平面法向量求解等，其运算规则和结果形态随空间维度（二维/三维）显著不同。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二、二维向量的叉积：标量叉积（有向面积）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二维空间无垂直于平面的第三维，叉积结果为</w:t>
      </w:r>
      <w:r>
        <w:rPr>
          <w:rFonts w:eastAsia="等线" w:ascii="Arial" w:cs="Arial" w:hAnsi="Arial"/>
          <w:b w:val="true"/>
          <w:sz w:val="22"/>
        </w:rPr>
        <w:t>标量</w:t>
      </w:r>
      <w:r>
        <w:rPr>
          <w:rFonts w:eastAsia="等线" w:ascii="Arial" w:cs="Arial" w:hAnsi="Arial"/>
          <w:sz w:val="22"/>
        </w:rPr>
        <w:t>，仅能通过“绝对值+符号”间接传递垂直关联信息，又称“有向面积”。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运算公式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对二维向量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d>
          <m:dPr>
            <m:begChr m:val="["/>
            <m:sepChr m:val=","/>
            <m:endChr m:val="]"/>
          </m:dPr>
          <m:e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</m:t>
        </m:r>
        <m:d>
          <m:dPr>
            <m:begChr m:val="["/>
            <m:sepChr m:val=","/>
            <m:endChr m:val="]"/>
          </m:dPr>
          <m:e>
            <m:sSub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rPr>
          <w:rFonts w:eastAsia="等线" w:ascii="Arial" w:cs="Arial" w:hAnsi="Arial"/>
          <w:sz w:val="22"/>
        </w:rPr>
        <w:t xml:space="preserve">，叉积定义为： 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几何意义：面积与定向的双重表达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绝对值：平行四边形面积</w:t>
      </w:r>
      <w:r>
        <w:rPr>
          <w:rFonts w:eastAsia="等线" w:ascii="Arial" w:cs="Arial" w:hAnsi="Arial"/>
          <w:sz w:val="22"/>
        </w:rPr>
        <w:t xml:space="preserve">叉积结果的绝对值等于两向量构成的平行四边形面积，数学本质是“底×高”：  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|=|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|⋅|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|⋅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其中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θ</m:t>
        </m:r>
      </m:oMath>
      <w:r>
        <w:rPr>
          <w:rFonts w:eastAsia="等线" w:ascii="Arial" w:cs="Arial" w:hAnsi="Arial"/>
          <w:sz w:val="22"/>
        </w:rPr>
        <w:t xml:space="preserve"> 是两向量的夹角（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0≤θ≤</m:t>
        </m:r>
        <m:sSup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>
        <w:rPr>
          <w:rFonts w:eastAsia="等线" w:ascii="Arial" w:cs="Arial" w:hAnsi="Arial"/>
          <w:sz w:val="22"/>
        </w:rPr>
        <w:t>），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|</m:t>
        </m:r>
      </m:oMath>
      <w:r>
        <w:rPr>
          <w:rFonts w:eastAsia="等线" w:ascii="Arial" w:cs="Arial" w:hAnsi="Arial"/>
          <w:sz w:val="22"/>
        </w:rPr>
        <w:t xml:space="preserve"> 为“底边长”，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|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  <w:r>
        <w:rPr>
          <w:rFonts w:eastAsia="等线" w:ascii="Arial" w:cs="Arial" w:hAnsi="Arial"/>
          <w:sz w:val="22"/>
        </w:rPr>
        <w:t xml:space="preserve"> 为“高”。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符号：空间定向</w:t>
      </w:r>
      <w:r>
        <w:rPr>
          <w:rFonts w:eastAsia="等线" w:ascii="Arial" w:cs="Arial" w:hAnsi="Arial"/>
          <w:sz w:val="22"/>
        </w:rPr>
        <w:t>符号用于判断两向量的相对旋转方向，是二维空间“定向性”的量化：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&gt;0</m:t>
        </m:r>
      </m:oMath>
      <w:r>
        <w:rPr>
          <w:rFonts w:eastAsia="等线" w:ascii="Arial" w:cs="Arial" w:hAnsi="Arial"/>
          <w:sz w:val="22"/>
        </w:rPr>
        <w:t xml:space="preserve">：从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 xml:space="preserve"> 逆时针旋转至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</m:oMath>
      <w:r>
        <w:rPr>
          <w:rFonts w:eastAsia="等线" w:ascii="Arial" w:cs="Arial" w:hAnsi="Arial"/>
          <w:sz w:val="22"/>
        </w:rPr>
        <w:t>（符合右手定则）；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&lt;0</m:t>
        </m:r>
      </m:oMath>
      <w:r>
        <w:rPr>
          <w:rFonts w:eastAsia="等线" w:ascii="Arial" w:cs="Arial" w:hAnsi="Arial"/>
          <w:sz w:val="22"/>
        </w:rPr>
        <w:t xml:space="preserve">：从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 xml:space="preserve"> 顺时针旋转至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=0</m:t>
        </m:r>
      </m:oMath>
      <w:r>
        <w:rPr>
          <w:rFonts w:eastAsia="等线" w:ascii="Arial" w:cs="Arial" w:hAnsi="Arial"/>
          <w:sz w:val="22"/>
        </w:rPr>
        <w:t>：两向量共线（平行或反向），平行四边形退化为线段，面积为0。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 关键特性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二维叉积是标量，因无第三维支撑，无法生成“垂直于原向量的新向量”，只能通过“符号+绝对值”拆分定向与面积信息。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三、三维向量的叉积：向量叉积（法向面积向量）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三维空间存在垂直于任意平面的第三维，叉积结果为</w:t>
      </w:r>
      <w:r>
        <w:rPr>
          <w:rFonts w:eastAsia="等线" w:ascii="Arial" w:cs="Arial" w:hAnsi="Arial"/>
          <w:b w:val="true"/>
          <w:sz w:val="22"/>
        </w:rPr>
        <w:t>向量</w:t>
      </w:r>
      <w:r>
        <w:rPr>
          <w:rFonts w:eastAsia="等线" w:ascii="Arial" w:cs="Arial" w:hAnsi="Arial"/>
          <w:sz w:val="22"/>
        </w:rPr>
        <w:t>，可同时集成“面积、法向、定向”三重信息，是三维几何的核心工具。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 运算公式（行列式形式）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对三维向量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d>
          <m:dPr>
            <m:begChr m:val="["/>
            <m:sepChr m:val=","/>
            <m:endChr m:val="]"/>
          </m:dPr>
          <m:e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</m:t>
        </m:r>
        <m:d>
          <m:dPr>
            <m:begChr m:val="["/>
            <m:sepChr m:val=","/>
            <m:endChr m:val="]"/>
          </m:dPr>
          <m:e>
            <m:sSub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rPr>
          <w:rFonts w:eastAsia="等线" w:ascii="Arial" w:cs="Arial" w:hAnsi="Arial"/>
          <w:sz w:val="22"/>
        </w:rPr>
        <w:t xml:space="preserve">，叉积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rPr>
          <w:rFonts w:eastAsia="等线" w:ascii="Arial" w:cs="Arial" w:hAnsi="Arial"/>
          <w:sz w:val="22"/>
        </w:rPr>
        <w:t xml:space="preserve"> 以三阶行列式计算： 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=</m:t>
        </m:r>
        <m:d>
          <m:dPr>
            <m:begChr m:val="|"/>
            <m:sepChr m:val=","/>
            <m:endChr m:val="|"/>
          </m:dPr>
          <m:e>
            <m:m>
              <m:mPr>
                <m:baseJc m:val="center"/>
                <m:plcHide m:val="on"/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mr>
              <m:m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sSub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j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sSub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其中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=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=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eastAsia="等线" w:ascii="Arial" w:cs="Arial" w:hAnsi="Arial"/>
          <w:sz w:val="22"/>
        </w:rPr>
        <w:t xml:space="preserve"> 是三维标准基向量。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 几何意义：三重信息的统一表达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长度：平行四边形面积</w:t>
      </w:r>
      <w:r>
        <w:rPr>
          <w:rFonts w:eastAsia="等线" w:ascii="Arial" w:cs="Arial" w:hAnsi="Arial"/>
          <w:sz w:val="22"/>
        </w:rPr>
        <w:t xml:space="preserve">叉积向量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</m:t>
        </m:r>
      </m:oMath>
      <w:r>
        <w:rPr>
          <w:rFonts w:eastAsia="等线" w:ascii="Arial" w:cs="Arial" w:hAnsi="Arial"/>
          <w:sz w:val="22"/>
        </w:rPr>
        <w:t xml:space="preserve"> 的模长与二维叉积面积定义一致：  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|=|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|=|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|⋅|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|⋅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直接对应两向量构成的平行四边形面积。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方向：平面法向量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</m:t>
        </m:r>
      </m:oMath>
      <w:r>
        <w:rPr>
          <w:rFonts w:eastAsia="等线" w:ascii="Arial" w:cs="Arial" w:hAnsi="Arial"/>
          <w:sz w:val="22"/>
        </w:rPr>
        <w:t xml:space="preserve"> 垂直于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</m:oMath>
      <w:r>
        <w:rPr>
          <w:rFonts w:eastAsia="等线" w:ascii="Arial" w:cs="Arial" w:hAnsi="Arial"/>
          <w:sz w:val="22"/>
        </w:rPr>
        <w:t xml:space="preserve"> 所在的平面（满足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=0</m:t>
        </m:r>
      </m:oMath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=0</m:t>
        </m:r>
      </m:oMath>
      <w:r>
        <w:rPr>
          <w:rFonts w:eastAsia="等线" w:ascii="Arial" w:cs="Arial" w:hAnsi="Arial"/>
          <w:sz w:val="22"/>
        </w:rPr>
        <w:t>），是该平面的“法向量”——这是三维叉积区别于二维的核心特征，实现了“垂直方向的具象化”。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定向：右手定则</w:t>
      </w:r>
      <w:r>
        <w:rPr>
          <w:rFonts w:eastAsia="等线" w:ascii="Arial" w:cs="Arial" w:hAnsi="Arial"/>
          <w:sz w:val="22"/>
        </w:rPr>
        <w:t xml:space="preserve">法向量的方向由右手定则唯一确定：右手四指从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 xml:space="preserve"> 沿小于 </w:t>
      </w:r>
      <w:r>
        <w:rPr>
          <w:rFonts w:eastAsia="等线" w:ascii="Arial" w:cs="Arial" w:hAnsi="Arial"/>
          <w:sz w:val="22"/>
        </w:rPr>
      </w:r>
      <m:oMath xmlns:mml="http://www.w3.org/1998/Math/MathML">
        <m:sSup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>
        <w:rPr>
          <w:rFonts w:eastAsia="等线" w:ascii="Arial" w:cs="Arial" w:hAnsi="Arial"/>
          <w:sz w:val="22"/>
        </w:rPr>
        <w:t xml:space="preserve"> 的角弯曲向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</m:oMath>
      <w:r>
        <w:rPr>
          <w:rFonts w:eastAsia="等线" w:ascii="Arial" w:cs="Arial" w:hAnsi="Arial"/>
          <w:sz w:val="22"/>
        </w:rPr>
        <w:t xml:space="preserve">，拇指指向即为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</m:t>
        </m:r>
      </m:oMath>
      <w:r>
        <w:rPr>
          <w:rFonts w:eastAsia="等线" w:ascii="Arial" w:cs="Arial" w:hAnsi="Arial"/>
          <w:sz w:val="22"/>
        </w:rPr>
        <w:t xml:space="preserve"> 的方向，可消除“一个平面有两个相反法向量”的歧义。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 常见误区澄清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对话中提及的“三维叉积引入单位向量”是误解：三维叉积结果是“法向面积向量”，其模长等于平行四边形面积，仅当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</m:oMath>
      <w:r>
        <w:rPr>
          <w:rFonts w:eastAsia="等线" w:ascii="Arial" w:cs="Arial" w:hAnsi="Arial"/>
          <w:sz w:val="22"/>
        </w:rPr>
        <w:t xml:space="preserve"> 是“单位向量且垂直”时（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θ=1</m:t>
        </m:r>
      </m:oMath>
      <w:r>
        <w:rPr>
          <w:rFonts w:eastAsia="等线" w:ascii="Arial" w:cs="Arial" w:hAnsi="Arial"/>
          <w:sz w:val="22"/>
        </w:rPr>
        <w:t>），叉积向量才是单位法向量。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四、叉积与点积的关联：标量三重积（面积→体积的桥梁）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三维空间中，叉积与点积通过</w:t>
      </w:r>
      <w:r>
        <w:rPr>
          <w:rFonts w:eastAsia="等线" w:ascii="Arial" w:cs="Arial" w:hAnsi="Arial"/>
          <w:b w:val="true"/>
          <w:sz w:val="22"/>
        </w:rPr>
        <w:t>标量三重积</w:t>
      </w:r>
      <w:r>
        <w:rPr>
          <w:rFonts w:eastAsia="等线" w:ascii="Arial" w:cs="Arial" w:hAnsi="Arial"/>
          <w:sz w:val="22"/>
        </w:rPr>
        <w:t>协同，实现“平面面积”到“空间体积”的几何尺度升级，是叉积应用的关键延伸。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1. 定义与运算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对三个三维向量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rPr>
          <w:rFonts w:eastAsia="等线" w:ascii="Arial" w:cs="Arial" w:hAnsi="Arial"/>
          <w:sz w:val="22"/>
        </w:rPr>
        <w:t xml:space="preserve">，标量三重积是“先叉积后点积”的组合运算： 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⋅</m:t>
        </m:r>
        <m:d>
          <m:dPr>
            <m:sepChr m:val=","/>
          </m:dPr>
          <m:e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c</m:t>
            </m:r>
          </m:e>
        </m:d>
      </m:oMath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结果为标量，也可直接通过三阶行列式计算： 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</m:t>
        </m:r>
        <m:d>
          <m:dPr>
            <m:begChr m:val="|"/>
            <m:sepChr m:val=","/>
            <m:endChr m:val="|"/>
          </m:dPr>
          <m:e>
            <m:m>
              <m:mPr>
                <m:baseJc m:val="center"/>
                <m:plcHide m:val="on"/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mr>
            </m:m>
          </m:e>
        </m:d>
      </m:oMath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 几何意义：平行六面体体积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标量三重积的绝对值等于</w:t>
      </w:r>
      <w:r>
        <w:rPr>
          <w:rFonts w:eastAsia="等线" w:ascii="Arial" w:cs="Arial" w:hAnsi="Arial"/>
          <w:b w:val="true"/>
          <w:sz w:val="22"/>
        </w:rPr>
        <w:t>三个向量构成的平行六面体体积</w:t>
      </w:r>
      <w:r>
        <w:rPr>
          <w:rFonts w:eastAsia="等线" w:ascii="Arial" w:cs="Arial" w:hAnsi="Arial"/>
          <w:sz w:val="22"/>
        </w:rPr>
        <w:t>，符号反映三向量的“空间定向”（是否符合右手螺旋规则）：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底层逻辑：叉积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c</m:t>
        </m:r>
      </m:oMath>
      <w:r>
        <w:rPr>
          <w:rFonts w:eastAsia="等线" w:ascii="Arial" w:cs="Arial" w:hAnsi="Arial"/>
          <w:sz w:val="22"/>
        </w:rPr>
        <w:t xml:space="preserve"> 提供“底面平行四边形的面积（模长）”和“底面法向（方向）”；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点积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⋅</m:t>
        </m:r>
        <m:d>
          <m:dPr>
            <m:sepChr m:val=","/>
          </m:dPr>
          <m:e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c</m:t>
            </m:r>
          </m:e>
        </m:d>
      </m:oMath>
      <w:r>
        <w:rPr>
          <w:rFonts w:eastAsia="等线" w:ascii="Arial" w:cs="Arial" w:hAnsi="Arial"/>
          <w:sz w:val="22"/>
        </w:rPr>
        <w:t xml:space="preserve"> 提供“平行六面体的高”（即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 xml:space="preserve"> 在底面法向的投影长度）；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体积公式：体积 = 底面积 × 高 =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|⋅|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|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φ</m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φ</m:t>
        </m:r>
      </m:oMath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 xml:space="preserve"> 与法向量的夹角），即标量三重积的绝对值。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五、叉积的对偶性：三维与低维的信息闭环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对偶性的核心是“高维信息通过线性操作降维后，低维信息可反向关联高维关键特征”，叉积的对偶性体现在三维→一维和三维→二维两个场景。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1. 三维→一维对偶性（基于标量三重积）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正向降维</w:t>
      </w:r>
      <w:r>
        <w:rPr>
          <w:rFonts w:eastAsia="等线" w:ascii="Arial" w:cs="Arial" w:hAnsi="Arial"/>
          <w:sz w:val="22"/>
        </w:rPr>
        <w:t>：三个三维向量通过标量三重积映射为一维体积标量，将“三维空间特征”转化为“一维量化指标”；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反向关联</w:t>
      </w:r>
      <w:r>
        <w:rPr>
          <w:rFonts w:eastAsia="等线" w:ascii="Arial" w:cs="Arial" w:hAnsi="Arial"/>
          <w:sz w:val="22"/>
        </w:rPr>
        <w:t xml:space="preserve">：已知体积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V=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</m:e>
        </m:d>
      </m:oMath>
      <w:r>
        <w:rPr>
          <w:rFonts w:eastAsia="等线" w:ascii="Arial" w:cs="Arial" w:hAnsi="Arial"/>
          <w:sz w:val="22"/>
        </w:rPr>
        <w:t xml:space="preserve"> 和向量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rPr>
          <w:rFonts w:eastAsia="等线" w:ascii="Arial" w:cs="Arial" w:hAnsi="Arial"/>
          <w:sz w:val="22"/>
        </w:rPr>
        <w:t xml:space="preserve">，可反推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 xml:space="preserve"> 在“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c</m:t>
        </m:r>
      </m:oMath>
      <w:r>
        <w:rPr>
          <w:rFonts w:eastAsia="等线" w:ascii="Arial" w:cs="Arial" w:hAnsi="Arial"/>
          <w:sz w:val="22"/>
        </w:rPr>
        <w:t xml:space="preserve"> 法向”的投影分量：  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\text{proj}_{\mathbf{b} \times \mathbf{c}}(\mathbf{a}) = \frac{V}{|\mathbf{b} \times \mathbf{c}|}
</w:t>
        </m:r>
      </m:oMath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即通过一维体积标量，还原三维向量在关键方向（法向）的核心信息，形成“三维→一维→三维”的闭环。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 三维→二维对偶性（基于子空间投影）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正向降维</w:t>
      </w:r>
      <w:r>
        <w:rPr>
          <w:rFonts w:eastAsia="等线" w:ascii="Arial" w:cs="Arial" w:hAnsi="Arial"/>
          <w:sz w:val="22"/>
        </w:rPr>
        <w:t xml:space="preserve">：将三维向量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rPr>
          <w:rFonts w:eastAsia="等线" w:ascii="Arial" w:cs="Arial" w:hAnsi="Arial"/>
          <w:sz w:val="22"/>
        </w:rPr>
        <w:t xml:space="preserve"> 投影到某二维平面（如x-y平面），得到二维投影向量 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∥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sepChr m:val=","/>
            <m:endChr m:val="]"/>
          </m:dPr>
          <m:e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∥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sepChr m:val=","/>
            <m:endChr m:val="]"/>
          </m:dPr>
          <m:e>
            <m:sSub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rPr>
          <w:rFonts w:eastAsia="等线" w:ascii="Arial" w:cs="Arial" w:hAnsi="Arial"/>
          <w:sz w:val="22"/>
        </w:rPr>
        <w:t xml:space="preserve">，其二维标量叉积等于三维叉积在该平面法向的分量（如z分量）：  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b</m:t>
                </m:r>
              </m:e>
            </m:d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∥</m:t>
            </m:r>
          </m:sub>
        </m:sSub>
        <m:r>
          <w:rPr>
            <w:rFonts w:ascii="Cambria Math" w:hAnsi="Cambria Math"/>
          </w:rPr>
          <m:t>×</m:t>
        </m:r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∥</m:t>
            </m:r>
          </m:sub>
        </m:sSub>
      </m:oMath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反向关联</w:t>
      </w:r>
      <w:r>
        <w:rPr>
          <w:rFonts w:eastAsia="等线" w:ascii="Arial" w:cs="Arial" w:hAnsi="Arial"/>
          <w:sz w:val="22"/>
        </w:rPr>
        <w:t>：通过二维投影叉积的结果，可直接获取三维叉积在对应法向的分量值，实现“二维投影特征→三维叉积信息”的还原，完成“三维→二维→三维”的闭环。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六、核心总结：二维与三维叉积的关键差异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核心信息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空间约束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典型应用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平行四边形面积+旋转方向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无第三维，无法生成法向量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向量共线判断、多边形面积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面积+法向+右手定则定向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有第三维，可生成法向量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法向量求解、力矩/角动量计算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七、关键结论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叉积的本质是“向量垂直关联的量化”，“平行四边形面积”是贯穿二维与三维的核心几何锚点；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空间维度决定叉积形态：二维因无第三维→标量（拆分面积与定向），三维因有第三维→向量（统一面积、法向、定向）；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标量三重积是叉积与点积的协同纽带，实现“平面特征→空间特征”的升级；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对偶性体现了叉积的“高维-低维信息可逆性”，是数据降维、特征还原的理论基础。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4681">
    <w:lvl>
      <w:numFmt w:val="bullet"/>
      <w:suff w:val="tab"/>
      <w:lvlText w:val="•"/>
      <w:rPr>
        <w:color w:val="3370ff"/>
      </w:rPr>
    </w:lvl>
  </w:abstractNum>
  <w:abstractNum w:abstractNumId="194682">
    <w:lvl>
      <w:numFmt w:val="bullet"/>
      <w:suff w:val="tab"/>
      <w:lvlText w:val="•"/>
      <w:rPr>
        <w:color w:val="3370ff"/>
      </w:rPr>
    </w:lvl>
  </w:abstractNum>
  <w:abstractNum w:abstractNumId="194683">
    <w:lvl>
      <w:numFmt w:val="bullet"/>
      <w:suff w:val="tab"/>
      <w:lvlText w:val="•"/>
      <w:rPr>
        <w:color w:val="3370ff"/>
      </w:rPr>
    </w:lvl>
  </w:abstractNum>
  <w:abstractNum w:abstractNumId="194684">
    <w:lvl>
      <w:numFmt w:val="bullet"/>
      <w:suff w:val="tab"/>
      <w:lvlText w:val="•"/>
      <w:rPr>
        <w:color w:val="3370ff"/>
      </w:rPr>
    </w:lvl>
  </w:abstractNum>
  <w:abstractNum w:abstractNumId="194685">
    <w:lvl>
      <w:numFmt w:val="bullet"/>
      <w:suff w:val="tab"/>
      <w:lvlText w:val="￮"/>
      <w:rPr>
        <w:color w:val="3370ff"/>
      </w:rPr>
    </w:lvl>
  </w:abstractNum>
  <w:abstractNum w:abstractNumId="194686">
    <w:lvl>
      <w:numFmt w:val="bullet"/>
      <w:suff w:val="tab"/>
      <w:lvlText w:val="￮"/>
      <w:rPr>
        <w:color w:val="3370ff"/>
      </w:rPr>
    </w:lvl>
  </w:abstractNum>
  <w:abstractNum w:abstractNumId="194687">
    <w:lvl>
      <w:numFmt w:val="bullet"/>
      <w:suff w:val="tab"/>
      <w:lvlText w:val="￮"/>
      <w:rPr>
        <w:color w:val="3370ff"/>
      </w:rPr>
    </w:lvl>
  </w:abstractNum>
  <w:abstractNum w:abstractNumId="194688">
    <w:lvl>
      <w:numFmt w:val="bullet"/>
      <w:suff w:val="tab"/>
      <w:lvlText w:val="•"/>
      <w:rPr>
        <w:color w:val="3370ff"/>
      </w:rPr>
    </w:lvl>
  </w:abstractNum>
  <w:abstractNum w:abstractNumId="194689">
    <w:lvl>
      <w:numFmt w:val="bullet"/>
      <w:suff w:val="tab"/>
      <w:lvlText w:val="•"/>
      <w:rPr>
        <w:color w:val="3370ff"/>
      </w:rPr>
    </w:lvl>
  </w:abstractNum>
  <w:abstractNum w:abstractNumId="194690">
    <w:lvl>
      <w:numFmt w:val="bullet"/>
      <w:suff w:val="tab"/>
      <w:lvlText w:val="•"/>
      <w:rPr>
        <w:color w:val="3370ff"/>
      </w:rPr>
    </w:lvl>
  </w:abstractNum>
  <w:abstractNum w:abstractNumId="194691">
    <w:lvl>
      <w:numFmt w:val="bullet"/>
      <w:suff w:val="tab"/>
      <w:lvlText w:val="•"/>
      <w:rPr>
        <w:color w:val="3370ff"/>
      </w:rPr>
    </w:lvl>
  </w:abstractNum>
  <w:abstractNum w:abstractNumId="194692">
    <w:lvl>
      <w:numFmt w:val="bullet"/>
      <w:suff w:val="tab"/>
      <w:lvlText w:val="•"/>
      <w:rPr>
        <w:color w:val="3370ff"/>
      </w:rPr>
    </w:lvl>
  </w:abstractNum>
  <w:abstractNum w:abstractNumId="194693">
    <w:lvl>
      <w:numFmt w:val="bullet"/>
      <w:suff w:val="tab"/>
      <w:lvlText w:val="•"/>
      <w:rPr>
        <w:color w:val="3370ff"/>
      </w:rPr>
    </w:lvl>
  </w:abstractNum>
  <w:abstractNum w:abstractNumId="194694">
    <w:lvl>
      <w:numFmt w:val="bullet"/>
      <w:suff w:val="tab"/>
      <w:lvlText w:val="•"/>
      <w:rPr>
        <w:color w:val="3370ff"/>
      </w:rPr>
    </w:lvl>
  </w:abstractNum>
  <w:abstractNum w:abstractNumId="194695">
    <w:lvl>
      <w:numFmt w:val="bullet"/>
      <w:suff w:val="tab"/>
      <w:lvlText w:val="•"/>
      <w:rPr>
        <w:color w:val="3370ff"/>
      </w:rPr>
    </w:lvl>
  </w:abstractNum>
  <w:abstractNum w:abstractNumId="194696">
    <w:lvl>
      <w:numFmt w:val="bullet"/>
      <w:suff w:val="tab"/>
      <w:lvlText w:val="•"/>
      <w:rPr>
        <w:color w:val="3370ff"/>
      </w:rPr>
    </w:lvl>
  </w:abstractNum>
  <w:abstractNum w:abstractNumId="194697">
    <w:lvl>
      <w:numFmt w:val="bullet"/>
      <w:suff w:val="tab"/>
      <w:lvlText w:val="•"/>
      <w:rPr>
        <w:color w:val="3370ff"/>
      </w:rPr>
    </w:lvl>
  </w:abstractNum>
  <w:abstractNum w:abstractNumId="194698">
    <w:lvl>
      <w:start w:val="1"/>
      <w:numFmt w:val="decimal"/>
      <w:suff w:val="tab"/>
      <w:lvlText w:val="%1."/>
      <w:rPr>
        <w:color w:val="3370ff"/>
      </w:rPr>
    </w:lvl>
  </w:abstractNum>
  <w:abstractNum w:abstractNumId="194699">
    <w:lvl>
      <w:start w:val="2"/>
      <w:numFmt w:val="decimal"/>
      <w:suff w:val="tab"/>
      <w:lvlText w:val="%1."/>
      <w:rPr>
        <w:color w:val="3370ff"/>
      </w:rPr>
    </w:lvl>
  </w:abstractNum>
  <w:abstractNum w:abstractNumId="194700">
    <w:lvl>
      <w:start w:val="3"/>
      <w:numFmt w:val="decimal"/>
      <w:suff w:val="tab"/>
      <w:lvlText w:val="%1."/>
      <w:rPr>
        <w:color w:val="3370ff"/>
      </w:rPr>
    </w:lvl>
  </w:abstractNum>
  <w:abstractNum w:abstractNumId="194701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94681"/>
  </w:num>
  <w:num w:numId="2">
    <w:abstractNumId w:val="194682"/>
  </w:num>
  <w:num w:numId="3">
    <w:abstractNumId w:val="194683"/>
  </w:num>
  <w:num w:numId="4">
    <w:abstractNumId w:val="194684"/>
  </w:num>
  <w:num w:numId="5">
    <w:abstractNumId w:val="194685"/>
  </w:num>
  <w:num w:numId="6">
    <w:abstractNumId w:val="194686"/>
  </w:num>
  <w:num w:numId="7">
    <w:abstractNumId w:val="194687"/>
  </w:num>
  <w:num w:numId="8">
    <w:abstractNumId w:val="194688"/>
  </w:num>
  <w:num w:numId="9">
    <w:abstractNumId w:val="194689"/>
  </w:num>
  <w:num w:numId="10">
    <w:abstractNumId w:val="194690"/>
  </w:num>
  <w:num w:numId="11">
    <w:abstractNumId w:val="194691"/>
  </w:num>
  <w:num w:numId="12">
    <w:abstractNumId w:val="194692"/>
  </w:num>
  <w:num w:numId="13">
    <w:abstractNumId w:val="194693"/>
  </w:num>
  <w:num w:numId="14">
    <w:abstractNumId w:val="194694"/>
  </w:num>
  <w:num w:numId="15">
    <w:abstractNumId w:val="194695"/>
  </w:num>
  <w:num w:numId="16">
    <w:abstractNumId w:val="194696"/>
  </w:num>
  <w:num w:numId="17">
    <w:abstractNumId w:val="194697"/>
  </w:num>
  <w:num w:numId="18">
    <w:abstractNumId w:val="194698"/>
  </w:num>
  <w:num w:numId="19">
    <w:abstractNumId w:val="194699"/>
  </w:num>
  <w:num w:numId="20">
    <w:abstractNumId w:val="194700"/>
  </w:num>
  <w:num w:numId="21">
    <w:abstractNumId w:val="19470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2025-10-05T04:12:14Z</dcterms:created>
  <dc:creator>Apache POI</dc:creator>
</cp:coreProperties>
</file>