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逻辑回归：从基础到扩展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逻辑回归核心知识点总结文档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一、逻辑回归的定位与本质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逻辑回归是机器学习中</w:t>
      </w:r>
      <w:r>
        <w:rPr>
          <w:rFonts w:eastAsia="等线" w:ascii="Arial" w:cs="Arial" w:hAnsi="Arial"/>
          <w:b w:val="true"/>
          <w:sz w:val="22"/>
        </w:rPr>
        <w:t>基础且常用的分类算法</w:t>
      </w:r>
      <w:r>
        <w:rPr>
          <w:rFonts w:eastAsia="等线" w:ascii="Arial" w:cs="Arial" w:hAnsi="Arial"/>
          <w:sz w:val="22"/>
        </w:rPr>
        <w:t>，虽名称含“回归”，但核心用于</w:t>
      </w:r>
      <w:r>
        <w:rPr>
          <w:rFonts w:eastAsia="等线" w:ascii="Arial" w:cs="Arial" w:hAnsi="Arial"/>
          <w:b w:val="true"/>
          <w:sz w:val="22"/>
        </w:rPr>
        <w:t>二分类任务</w:t>
      </w:r>
      <w:r>
        <w:rPr>
          <w:rFonts w:eastAsia="等线" w:ascii="Arial" w:cs="Arial" w:hAnsi="Arial"/>
          <w:sz w:val="22"/>
        </w:rPr>
        <w:t>（也可通过扩展支持多分类）。与线性回归的核心区别：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线性回归输出</w:t>
      </w:r>
      <w:r>
        <w:rPr>
          <w:rFonts w:eastAsia="等线" w:ascii="Arial" w:cs="Arial" w:hAnsi="Arial"/>
          <w:b w:val="true"/>
          <w:sz w:val="22"/>
        </w:rPr>
        <w:t>连续值</w:t>
      </w:r>
      <w:r>
        <w:rPr>
          <w:rFonts w:eastAsia="等线" w:ascii="Arial" w:cs="Arial" w:hAnsi="Arial"/>
          <w:sz w:val="22"/>
        </w:rPr>
        <w:t>（如预测房价、销售额）；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逻辑回归输出</w:t>
      </w:r>
      <w:r>
        <w:rPr>
          <w:rFonts w:eastAsia="等线" w:ascii="Arial" w:cs="Arial" w:hAnsi="Arial"/>
          <w:b w:val="true"/>
          <w:sz w:val="22"/>
        </w:rPr>
        <w:t>离散类别或类别概率</w:t>
      </w:r>
      <w:r>
        <w:rPr>
          <w:rFonts w:eastAsia="等线" w:ascii="Arial" w:cs="Arial" w:hAnsi="Arial"/>
          <w:sz w:val="22"/>
        </w:rPr>
        <w:t>（如“用户购买的概率为80%”）。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二、数学原理：从线性关系到概率映射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逻辑回归通过“</w:t>
      </w:r>
      <w:r>
        <w:rPr>
          <w:rFonts w:eastAsia="等线" w:ascii="Arial" w:cs="Arial" w:hAnsi="Arial"/>
          <w:b w:val="true"/>
          <w:sz w:val="22"/>
        </w:rPr>
        <w:t>对数几率的线性假设</w:t>
      </w:r>
      <w:r>
        <w:rPr>
          <w:rFonts w:eastAsia="等线" w:ascii="Arial" w:cs="Arial" w:hAnsi="Arial"/>
          <w:sz w:val="22"/>
        </w:rPr>
        <w:t>”，将特征与“正类概率”关联，核心步骤如下：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线性得分计算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先对输入特征做线性组合，得到“线性得分”( z )（形式与线性回归一致）：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z = g(x) = \theta_0 + \theta_1 x_1 + \theta_2 x_2 + \dots + \theta_n x_n 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其中，( x_1, x_2, \dots, x_n ) 为输入特征，( \theta_0, \theta_1, \dots, \theta_n ) 为待学习的参数（权重与偏置）。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Sigmoid函数：概率的映射工具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线性得分 ( z ) 的取值范围是 ( (-\infty, +\infty) )，无法直接表示“概率”（概率需满足 ( 0 \leq P \leq 1 )）。因此引入</w:t>
      </w:r>
      <w:r>
        <w:rPr>
          <w:rFonts w:eastAsia="等线" w:ascii="Arial" w:cs="Arial" w:hAnsi="Arial"/>
          <w:b w:val="true"/>
          <w:sz w:val="22"/>
        </w:rPr>
        <w:t>Sigmoid函数</w:t>
      </w:r>
      <w:r>
        <w:rPr>
          <w:rFonts w:eastAsia="等线" w:ascii="Arial" w:cs="Arial" w:hAnsi="Arial"/>
          <w:sz w:val="22"/>
        </w:rPr>
        <w:t>，将 ( z ) 映射到 ( (0,1) ) 区间，得到“样本属于正类（( y=1 )）的概率”( P(y=1 \mid x) 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P(y=1 \mid x) = \frac{1}{1 + e^{-z}} 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Sigmoid函数的关键特性：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( z \to +\infty ) 时，( P(y=1 \mid x) \to 1 )（大概率为正类）；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( z \to -\infty ) 时，( P(y=1 \mid x) \to 0 )（大概率为负类）；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( z = 0 ) 时，( P(y=1 \mid x) = 0.5 )（分类阈值点）。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对数几率的线性假设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逻辑回归的核心假设是：</w:t>
      </w:r>
      <w:r>
        <w:rPr>
          <w:rFonts w:eastAsia="等线" w:ascii="Arial" w:cs="Arial" w:hAnsi="Arial"/>
          <w:b w:val="true"/>
          <w:sz w:val="22"/>
        </w:rPr>
        <w:t>正类的“对数几率（Log Odds）”与特征呈线性关系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「几率（Odds）」：正类概率与负类概率的比值，即 ( \text{Odds} = \frac{P(y=1 \mid x)}{1 - P(y=1 \mid x)} )；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「对数几率」：对“几率”取自然对数，即 ( \ln\left( \frac{P(y=1 \mid x)}{1 - P(y=1 \mid x)} \right) 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结合线性得分 ( z = g(x) )，假设可表示为：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\ln\left( \frac{P(y=1 \mid x)}{1 - P(y=1 \mid x)} \right) = g(x) 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通过数学推导（两边取指数后解方程），可反向得到Sigmoid函数形式的概率表达式，这也解释了“为何用Sigmoid映射概率”。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三、损失函数与优化：最小化预测偏差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对数损失（Log Loss）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由于均方误差（MSE）会导致损失函数“非凸”（存在多个局部最小值，无法用梯度下降找全局最优），逻辑回归使用</w:t>
      </w:r>
      <w:r>
        <w:rPr>
          <w:rFonts w:eastAsia="等线" w:ascii="Arial" w:cs="Arial" w:hAnsi="Arial"/>
          <w:b w:val="true"/>
          <w:sz w:val="22"/>
        </w:rPr>
        <w:t>对数损失</w:t>
      </w:r>
      <w:r>
        <w:rPr>
          <w:rFonts w:eastAsia="等线" w:ascii="Arial" w:cs="Arial" w:hAnsi="Arial"/>
          <w:sz w:val="22"/>
        </w:rPr>
        <w:t>衡量“预测概率”与“真实标签”的差距。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对于单个样本，若真实标签为 ( y_i )（( y_i=1 ) 为正类，( y_i=0 ) 为负类），预测概率为 ( P(x_i) )，则单个样本的损失为：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J_i = \begin{cases}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-\log(P(x_i)), &amp; \text{若 } y_i = 1 \\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-\log(1 - P(x_i)), &amp; \text{若 } y_i = 0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\end{cases} 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对所有 ( m ) 个样本，总损失（取平均后）为：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J = -\frac{1}{m} \sum_{i=1}^m \left[ y_i \log(P(x_i)) + (1 - y_i) \log(1 - P(x_i)) \right] 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梯度下降法：优化参数的核心工具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逻辑回归通过</w:t>
      </w:r>
      <w:r>
        <w:rPr>
          <w:rFonts w:eastAsia="等线" w:ascii="Arial" w:cs="Arial" w:hAnsi="Arial"/>
          <w:b w:val="true"/>
          <w:sz w:val="22"/>
        </w:rPr>
        <w:t>梯度下降法</w:t>
      </w:r>
      <w:r>
        <w:rPr>
          <w:rFonts w:eastAsia="等线" w:ascii="Arial" w:cs="Arial" w:hAnsi="Arial"/>
          <w:sz w:val="22"/>
        </w:rPr>
        <w:t>最小化总损失 ( J )，求解最优参数 ( \theta )。梯度下降的核心逻辑是：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计算损失函数对每个参数 ( \theta_j ) 的</w:t>
      </w:r>
      <w:r>
        <w:rPr>
          <w:rFonts w:eastAsia="等线" w:ascii="Arial" w:cs="Arial" w:hAnsi="Arial"/>
          <w:b w:val="true"/>
          <w:sz w:val="22"/>
        </w:rPr>
        <w:t>梯度</w:t>
      </w:r>
      <w:r>
        <w:rPr>
          <w:rFonts w:eastAsia="等线" w:ascii="Arial" w:cs="Arial" w:hAnsi="Arial"/>
          <w:sz w:val="22"/>
        </w:rPr>
        <w:t>（即偏导数 ( \frac{\partial J}{\partial \theta_j} )，表示损失上升最快的方向）；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沿着梯度的</w:t>
      </w:r>
      <w:r>
        <w:rPr>
          <w:rFonts w:eastAsia="等线" w:ascii="Arial" w:cs="Arial" w:hAnsi="Arial"/>
          <w:b w:val="true"/>
          <w:sz w:val="22"/>
        </w:rPr>
        <w:t>反方向</w:t>
      </w:r>
      <w:r>
        <w:rPr>
          <w:rFonts w:eastAsia="等线" w:ascii="Arial" w:cs="Arial" w:hAnsi="Arial"/>
          <w:sz w:val="22"/>
        </w:rPr>
        <w:t>调整参数（目的是让损失下降），参数更新公式为：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\theta_j = \theta_j - \alpha \cdot \frac{\partial J}{\partial \theta_j} 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其中，( \alpha ) 是“学习率”，控制每一步调整的“步长”（步长过大易跳过最优解，过小则训练过慢）。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重复上述更新过程，直到参数变化极小（“收敛”），此时损失接近最小值，模型参数也达到最优。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四、扩展与优化：正则化与多分类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正则化：解决过拟合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当模型过于复杂（如特征数远大于样本数），易出现“过拟合”（训练集表现好、测试集表现差）。逻辑回归常用**L1正则化（Lasso）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L2正则化（Ridge）**限制参数大小：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L1正则化</w:t>
      </w:r>
      <w:r>
        <w:rPr>
          <w:rFonts w:eastAsia="等线" w:ascii="Arial" w:cs="Arial" w:hAnsi="Arial"/>
          <w:sz w:val="22"/>
        </w:rPr>
        <w:t>：在损失函数中加入“参数绝对值之和”，会让部分参数变为0（实现“特征筛选”）：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J_{\text{L1}} = J + \lambda \sum_{j=1}^n |\theta_j| 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L2正则化</w:t>
      </w:r>
      <w:r>
        <w:rPr>
          <w:rFonts w:eastAsia="等线" w:ascii="Arial" w:cs="Arial" w:hAnsi="Arial"/>
          <w:sz w:val="22"/>
        </w:rPr>
        <w:t>：在损失函数中加入“参数平方和”，使参数整体变小（不剔除特征，仅削弱特征影响）：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J_{\text{L2}} = J + \frac{\lambda}{2} \sum_{j=1}^n \theta_j^2 ]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（( \lambda ) 为“正则化强度”，越大则参数约束越强）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多分类扩展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逻辑回归默认是二分类，但可通过以下方式扩展到多分类：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一对多（One-vs-Rest）</w:t>
      </w:r>
      <w:r>
        <w:rPr>
          <w:rFonts w:eastAsia="等线" w:ascii="Arial" w:cs="Arial" w:hAnsi="Arial"/>
          <w:sz w:val="22"/>
        </w:rPr>
        <w:t>：对每个类别，训练“该类别 vs 其他所有类别”的二分类器，最终取概率最大的类别；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Softmax回归</w:t>
      </w:r>
      <w:r>
        <w:rPr>
          <w:rFonts w:eastAsia="等线" w:ascii="Arial" w:cs="Arial" w:hAnsi="Arial"/>
          <w:sz w:val="22"/>
        </w:rPr>
        <w:t>：直接建模多类别概率分布，输出每个类别对应的概率（是逻辑回归在多分类场景的推广）。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五、优缺点与应用场景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优点</w:t>
      </w:r>
      <w:bookmarkEnd w:id="1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简单高效</w:t>
      </w:r>
      <w:r>
        <w:rPr>
          <w:rFonts w:eastAsia="等线" w:ascii="Arial" w:cs="Arial" w:hAnsi="Arial"/>
          <w:sz w:val="22"/>
        </w:rPr>
        <w:t>：模型参数少，训练速度快，适合大规模数据；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可解释性强</w:t>
      </w:r>
      <w:r>
        <w:rPr>
          <w:rFonts w:eastAsia="等线" w:ascii="Arial" w:cs="Arial" w:hAnsi="Arial"/>
          <w:sz w:val="22"/>
        </w:rPr>
        <w:t>：参数 ( \theta_j ) 的正负和大小，能直观解释“特征对正类的影响方向与程度”；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输出概率明确</w:t>
      </w:r>
      <w:r>
        <w:rPr>
          <w:rFonts w:eastAsia="等线" w:ascii="Arial" w:cs="Arial" w:hAnsi="Arial"/>
          <w:sz w:val="22"/>
        </w:rPr>
        <w:t>：直接输出类别概率，便于业务决策（如“用户购买概率70%”）；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鲁棒性较好</w:t>
      </w:r>
      <w:r>
        <w:rPr>
          <w:rFonts w:eastAsia="等线" w:ascii="Arial" w:cs="Arial" w:hAnsi="Arial"/>
          <w:sz w:val="22"/>
        </w:rPr>
        <w:t>：对噪声不敏感，无需严格假设特征线性相关（可通过特征工程弥补）。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缺点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非线性处理能力弱</w:t>
      </w:r>
      <w:r>
        <w:rPr>
          <w:rFonts w:eastAsia="等线" w:ascii="Arial" w:cs="Arial" w:hAnsi="Arial"/>
          <w:sz w:val="22"/>
        </w:rPr>
        <w:t>：本质是线性模型，若特征与标签呈非线性关系，需手动做“特征工程”（如添加多项式、交互特征）；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对异常值敏感</w:t>
      </w:r>
      <w:r>
        <w:rPr>
          <w:rFonts w:eastAsia="等线" w:ascii="Arial" w:cs="Arial" w:hAnsi="Arial"/>
          <w:sz w:val="22"/>
        </w:rPr>
        <w:t>：异常值会干扰线性得分的计算，需提前处理；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多分类效果有限</w:t>
      </w:r>
      <w:r>
        <w:rPr>
          <w:rFonts w:eastAsia="等线" w:ascii="Arial" w:cs="Arial" w:hAnsi="Arial"/>
          <w:sz w:val="22"/>
        </w:rPr>
        <w:t>：相比专门的多分类算法（如随机森林），二分类外的表现一般。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典型应用场景</w:t>
      </w:r>
      <w:bookmarkEnd w:id="1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二分类任务：信用违约预测（判断用户是否违约）、医疗诊断（判断是否患病）、垃圾邮件过滤、营销响应预测（判断用户是否点击广告）；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多分类扩展：手写数字识别（如MNIST数据集）、文本分类（如新闻类别划分）。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六、总结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逻辑回归是“简单但强大”的分类算法，核心优势在于</w:t>
      </w:r>
      <w:r>
        <w:rPr>
          <w:rFonts w:eastAsia="等线" w:ascii="Arial" w:cs="Arial" w:hAnsi="Arial"/>
          <w:b w:val="true"/>
          <w:sz w:val="22"/>
        </w:rPr>
        <w:t>可解释性与高效性</w:t>
      </w:r>
      <w:r>
        <w:rPr>
          <w:rFonts w:eastAsia="等线" w:ascii="Arial" w:cs="Arial" w:hAnsi="Arial"/>
          <w:sz w:val="22"/>
        </w:rPr>
        <w:t>，适合作为机器学习入门或工业界“基线模型”（先验证问题可行性，再用复杂模型优化）。其局限性可通过特征工程、正则化或与其他算法结合来弥补，是分类任务中不可或缺的工具。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538">
    <w:lvl>
      <w:numFmt w:val="bullet"/>
      <w:suff w:val="tab"/>
      <w:lvlText w:val="•"/>
      <w:rPr>
        <w:color w:val="3370ff"/>
      </w:rPr>
    </w:lvl>
  </w:abstractNum>
  <w:abstractNum w:abstractNumId="59539">
    <w:lvl>
      <w:numFmt w:val="bullet"/>
      <w:suff w:val="tab"/>
      <w:lvlText w:val="•"/>
      <w:rPr>
        <w:color w:val="3370ff"/>
      </w:rPr>
    </w:lvl>
  </w:abstractNum>
  <w:abstractNum w:abstractNumId="59540">
    <w:lvl>
      <w:numFmt w:val="bullet"/>
      <w:suff w:val="tab"/>
      <w:lvlText w:val="•"/>
      <w:rPr>
        <w:color w:val="3370ff"/>
      </w:rPr>
    </w:lvl>
  </w:abstractNum>
  <w:abstractNum w:abstractNumId="59541">
    <w:lvl>
      <w:numFmt w:val="bullet"/>
      <w:suff w:val="tab"/>
      <w:lvlText w:val="•"/>
      <w:rPr>
        <w:color w:val="3370ff"/>
      </w:rPr>
    </w:lvl>
  </w:abstractNum>
  <w:abstractNum w:abstractNumId="59542">
    <w:lvl>
      <w:numFmt w:val="bullet"/>
      <w:suff w:val="tab"/>
      <w:lvlText w:val="•"/>
      <w:rPr>
        <w:color w:val="3370ff"/>
      </w:rPr>
    </w:lvl>
  </w:abstractNum>
  <w:abstractNum w:abstractNumId="59543">
    <w:lvl>
      <w:numFmt w:val="bullet"/>
      <w:suff w:val="tab"/>
      <w:lvlText w:val="•"/>
      <w:rPr>
        <w:color w:val="3370ff"/>
      </w:rPr>
    </w:lvl>
  </w:abstractNum>
  <w:abstractNum w:abstractNumId="59544">
    <w:lvl>
      <w:numFmt w:val="bullet"/>
      <w:suff w:val="tab"/>
      <w:lvlText w:val="•"/>
      <w:rPr>
        <w:color w:val="3370ff"/>
      </w:rPr>
    </w:lvl>
  </w:abstractNum>
  <w:abstractNum w:abstractNumId="59545">
    <w:lvl>
      <w:numFmt w:val="bullet"/>
      <w:suff w:val="tab"/>
      <w:lvlText w:val="•"/>
      <w:rPr>
        <w:color w:val="3370ff"/>
      </w:rPr>
    </w:lvl>
  </w:abstractNum>
  <w:abstractNum w:abstractNumId="59546">
    <w:lvl>
      <w:numFmt w:val="bullet"/>
      <w:suff w:val="tab"/>
      <w:lvlText w:val="•"/>
      <w:rPr>
        <w:color w:val="3370ff"/>
      </w:rPr>
    </w:lvl>
  </w:abstractNum>
  <w:abstractNum w:abstractNumId="59547">
    <w:lvl>
      <w:numFmt w:val="bullet"/>
      <w:suff w:val="tab"/>
      <w:lvlText w:val="•"/>
      <w:rPr>
        <w:color w:val="3370ff"/>
      </w:rPr>
    </w:lvl>
  </w:abstractNum>
  <w:abstractNum w:abstractNumId="59548">
    <w:lvl>
      <w:numFmt w:val="bullet"/>
      <w:suff w:val="tab"/>
      <w:lvlText w:val="•"/>
      <w:rPr>
        <w:color w:val="3370ff"/>
      </w:rPr>
    </w:lvl>
  </w:abstractNum>
  <w:abstractNum w:abstractNumId="59549">
    <w:lvl>
      <w:numFmt w:val="bullet"/>
      <w:suff w:val="tab"/>
      <w:lvlText w:val="•"/>
      <w:rPr>
        <w:color w:val="3370ff"/>
      </w:rPr>
    </w:lvl>
  </w:abstractNum>
  <w:abstractNum w:abstractNumId="59550">
    <w:lvl>
      <w:numFmt w:val="bullet"/>
      <w:suff w:val="tab"/>
      <w:lvlText w:val="•"/>
      <w:rPr>
        <w:color w:val="3370ff"/>
      </w:rPr>
    </w:lvl>
  </w:abstractNum>
  <w:abstractNum w:abstractNumId="59551">
    <w:lvl>
      <w:numFmt w:val="bullet"/>
      <w:suff w:val="tab"/>
      <w:lvlText w:val="•"/>
      <w:rPr>
        <w:color w:val="3370ff"/>
      </w:rPr>
    </w:lvl>
  </w:abstractNum>
  <w:abstractNum w:abstractNumId="59552">
    <w:lvl>
      <w:numFmt w:val="bullet"/>
      <w:suff w:val="tab"/>
      <w:lvlText w:val="•"/>
      <w:rPr>
        <w:color w:val="3370ff"/>
      </w:rPr>
    </w:lvl>
  </w:abstractNum>
  <w:abstractNum w:abstractNumId="59553">
    <w:lvl>
      <w:numFmt w:val="bullet"/>
      <w:suff w:val="tab"/>
      <w:lvlText w:val="•"/>
      <w:rPr>
        <w:color w:val="3370ff"/>
      </w:rPr>
    </w:lvl>
  </w:abstractNum>
  <w:abstractNum w:abstractNumId="59554">
    <w:lvl>
      <w:numFmt w:val="bullet"/>
      <w:suff w:val="tab"/>
      <w:lvlText w:val="•"/>
      <w:rPr>
        <w:color w:val="3370ff"/>
      </w:rPr>
    </w:lvl>
  </w:abstractNum>
  <w:abstractNum w:abstractNumId="59555">
    <w:lvl>
      <w:numFmt w:val="bullet"/>
      <w:suff w:val="tab"/>
      <w:lvlText w:val="•"/>
      <w:rPr>
        <w:color w:val="3370ff"/>
      </w:rPr>
    </w:lvl>
  </w:abstractNum>
  <w:abstractNum w:abstractNumId="59556">
    <w:lvl>
      <w:numFmt w:val="bullet"/>
      <w:suff w:val="tab"/>
      <w:lvlText w:val="•"/>
      <w:rPr>
        <w:color w:val="3370ff"/>
      </w:rPr>
    </w:lvl>
  </w:abstractNum>
  <w:abstractNum w:abstractNumId="59557">
    <w:lvl>
      <w:numFmt w:val="bullet"/>
      <w:suff w:val="tab"/>
      <w:lvlText w:val="•"/>
      <w:rPr>
        <w:color w:val="3370ff"/>
      </w:rPr>
    </w:lvl>
  </w:abstractNum>
  <w:abstractNum w:abstractNumId="59558">
    <w:lvl>
      <w:numFmt w:val="bullet"/>
      <w:suff w:val="tab"/>
      <w:lvlText w:val="•"/>
      <w:rPr>
        <w:color w:val="3370ff"/>
      </w:rPr>
    </w:lvl>
  </w:abstractNum>
  <w:abstractNum w:abstractNumId="59559">
    <w:lvl>
      <w:numFmt w:val="bullet"/>
      <w:suff w:val="tab"/>
      <w:lvlText w:val="•"/>
      <w:rPr>
        <w:color w:val="3370ff"/>
      </w:rPr>
    </w:lvl>
  </w:abstractNum>
  <w:num w:numId="1">
    <w:abstractNumId w:val="59538"/>
  </w:num>
  <w:num w:numId="2">
    <w:abstractNumId w:val="59539"/>
  </w:num>
  <w:num w:numId="3">
    <w:abstractNumId w:val="59540"/>
  </w:num>
  <w:num w:numId="4">
    <w:abstractNumId w:val="59541"/>
  </w:num>
  <w:num w:numId="5">
    <w:abstractNumId w:val="59542"/>
  </w:num>
  <w:num w:numId="6">
    <w:abstractNumId w:val="59543"/>
  </w:num>
  <w:num w:numId="7">
    <w:abstractNumId w:val="59544"/>
  </w:num>
  <w:num w:numId="8">
    <w:abstractNumId w:val="59545"/>
  </w:num>
  <w:num w:numId="9">
    <w:abstractNumId w:val="59546"/>
  </w:num>
  <w:num w:numId="10">
    <w:abstractNumId w:val="59547"/>
  </w:num>
  <w:num w:numId="11">
    <w:abstractNumId w:val="59548"/>
  </w:num>
  <w:num w:numId="12">
    <w:abstractNumId w:val="59549"/>
  </w:num>
  <w:num w:numId="13">
    <w:abstractNumId w:val="59550"/>
  </w:num>
  <w:num w:numId="14">
    <w:abstractNumId w:val="59551"/>
  </w:num>
  <w:num w:numId="15">
    <w:abstractNumId w:val="59552"/>
  </w:num>
  <w:num w:numId="16">
    <w:abstractNumId w:val="59553"/>
  </w:num>
  <w:num w:numId="17">
    <w:abstractNumId w:val="59554"/>
  </w:num>
  <w:num w:numId="18">
    <w:abstractNumId w:val="59555"/>
  </w:num>
  <w:num w:numId="19">
    <w:abstractNumId w:val="59556"/>
  </w:num>
  <w:num w:numId="20">
    <w:abstractNumId w:val="59557"/>
  </w:num>
  <w:num w:numId="21">
    <w:abstractNumId w:val="59558"/>
  </w:num>
  <w:num w:numId="22">
    <w:abstractNumId w:val="595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2025-09-27T13:30:43Z</dcterms:created>
  <dc:creator>Apache POI</dc:creator>
</cp:coreProperties>
</file>