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逻辑回归与数据处理核心知识点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逻辑回归与数据处理核心知识点文档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引言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本文档整理了逻辑回归模型应用过程中的核心知识点，涵盖模型原理、特征工程、数据处理、可视化及训练评估等内容，旨在为逻辑回归实践提供清晰指引。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一、逻辑回归模型原理与参数解析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模型数学基础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逻辑回归是基于</w:t>
      </w:r>
      <w:r>
        <w:rPr>
          <w:rFonts w:eastAsia="等线" w:ascii="Arial" w:cs="Arial" w:hAnsi="Arial"/>
          <w:b w:val="true"/>
          <w:sz w:val="22"/>
        </w:rPr>
        <w:t>sigmoid函数</w:t>
      </w:r>
      <w:r>
        <w:rPr>
          <w:rFonts w:eastAsia="等线" w:ascii="Arial" w:cs="Arial" w:hAnsi="Arial"/>
          <w:sz w:val="22"/>
        </w:rPr>
        <w:t xml:space="preserve">的二分类模型，通过将线性组合结果映射到[0,1]区间表示分类概率：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h_\theta(x) = \frac{1}{1 + e^{-(\theta_0 + \theta_1x_1 + \theta_2x_2 + ... + \theta_nx_n)}} ]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( h_\theta(x) \geq 0.5 ) 时，预测为类别1（如“通过”）；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( h_\theta(x) &lt; 0.5 ) 时，预测为类别0（如“未通过”）。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核心参数含义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coef_</w:t>
      </w:r>
      <w:r>
        <w:rPr>
          <w:rFonts w:eastAsia="等线" w:ascii="Arial" w:cs="Arial" w:hAnsi="Arial"/>
          <w:sz w:val="22"/>
        </w:rPr>
        <w:t xml:space="preserve">：特征系数数组，形状为 </w:t>
      </w:r>
      <w:r>
        <w:rPr>
          <w:rFonts w:eastAsia="Consolas" w:ascii="Consolas" w:cs="Consolas" w:hAnsi="Consolas"/>
          <w:sz w:val="22"/>
          <w:shd w:fill="EFF0F1"/>
        </w:rPr>
        <w:t>(n_classes, n_features)</w:t>
      </w:r>
      <w:r>
        <w:rPr>
          <w:rFonts w:eastAsia="等线" w:ascii="Arial" w:cs="Arial" w:hAnsi="Arial"/>
          <w:sz w:val="22"/>
        </w:rPr>
        <w:t xml:space="preserve">（二分类时为 </w:t>
      </w:r>
      <w:r>
        <w:rPr>
          <w:rFonts w:eastAsia="Consolas" w:ascii="Consolas" w:cs="Consolas" w:hAnsi="Consolas"/>
          <w:sz w:val="22"/>
          <w:shd w:fill="EFF0F1"/>
        </w:rPr>
        <w:t>(1, n_features)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例：</w:t>
      </w:r>
      <w:r>
        <w:rPr>
          <w:rFonts w:eastAsia="Consolas" w:ascii="Consolas" w:cs="Consolas" w:hAnsi="Consolas"/>
          <w:sz w:val="22"/>
          <w:shd w:fill="EFF0F1"/>
        </w:rPr>
        <w:t>coef_[0][0]</w:t>
      </w:r>
      <w:r>
        <w:rPr>
          <w:rFonts w:eastAsia="等线" w:ascii="Arial" w:cs="Arial" w:hAnsi="Arial"/>
          <w:sz w:val="22"/>
        </w:rPr>
        <w:t xml:space="preserve"> 对应第一个特征（如</w:t>
      </w:r>
      <w:r>
        <w:rPr>
          <w:rFonts w:eastAsia="Consolas" w:ascii="Consolas" w:cs="Consolas" w:hAnsi="Consolas"/>
          <w:sz w:val="22"/>
          <w:shd w:fill="EFF0F1"/>
        </w:rPr>
        <w:t>Exam1</w:t>
      </w:r>
      <w:r>
        <w:rPr>
          <w:rFonts w:eastAsia="等线" w:ascii="Arial" w:cs="Arial" w:hAnsi="Arial"/>
          <w:sz w:val="22"/>
        </w:rPr>
        <w:t>）的系数 ( \theta_1 )，</w:t>
      </w:r>
      <w:r>
        <w:rPr>
          <w:rFonts w:eastAsia="Consolas" w:ascii="Consolas" w:cs="Consolas" w:hAnsi="Consolas"/>
          <w:sz w:val="22"/>
          <w:shd w:fill="EFF0F1"/>
        </w:rPr>
        <w:t>coef_[0][1]</w:t>
      </w:r>
      <w:r>
        <w:rPr>
          <w:rFonts w:eastAsia="等线" w:ascii="Arial" w:cs="Arial" w:hAnsi="Arial"/>
          <w:sz w:val="22"/>
        </w:rPr>
        <w:t xml:space="preserve"> 对应第二个特征（如</w:t>
      </w:r>
      <w:r>
        <w:rPr>
          <w:rFonts w:eastAsia="Consolas" w:ascii="Consolas" w:cs="Consolas" w:hAnsi="Consolas"/>
          <w:sz w:val="22"/>
          <w:shd w:fill="EFF0F1"/>
        </w:rPr>
        <w:t>Exam2</w:t>
      </w:r>
      <w:r>
        <w:rPr>
          <w:rFonts w:eastAsia="等线" w:ascii="Arial" w:cs="Arial" w:hAnsi="Arial"/>
          <w:sz w:val="22"/>
        </w:rPr>
        <w:t xml:space="preserve">）的系数 ( \theta_2 )；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系数正负表示特征对分类的影响方向（正系数：特征值越大，越可能属于类别1）。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intercept_</w:t>
      </w:r>
      <w:r>
        <w:rPr>
          <w:rFonts w:eastAsia="等线" w:ascii="Arial" w:cs="Arial" w:hAnsi="Arial"/>
          <w:sz w:val="22"/>
        </w:rPr>
        <w:t xml:space="preserve">：截距项（偏置项），对应公式中的 ( \theta_0 )，二分类时为标量。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预测方法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predict(X)</w:t>
      </w:r>
      <w:r>
        <w:rPr>
          <w:rFonts w:eastAsia="等线" w:ascii="Arial" w:cs="Arial" w:hAnsi="Arial"/>
          <w:sz w:val="22"/>
        </w:rPr>
        <w:t>：输出类别标签（0/1），基于</w:t>
      </w:r>
      <w:r>
        <w:rPr>
          <w:rFonts w:eastAsia="Consolas" w:ascii="Consolas" w:cs="Consolas" w:hAnsi="Consolas"/>
          <w:sz w:val="22"/>
          <w:shd w:fill="EFF0F1"/>
        </w:rPr>
        <w:t>sigmoid</w:t>
      </w:r>
      <w:r>
        <w:rPr>
          <w:rFonts w:eastAsia="等线" w:ascii="Arial" w:cs="Arial" w:hAnsi="Arial"/>
          <w:sz w:val="22"/>
        </w:rPr>
        <w:t xml:space="preserve">概率的0.5阈值判断；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predict_proba(X)</w:t>
      </w:r>
      <w:r>
        <w:rPr>
          <w:rFonts w:eastAsia="等线" w:ascii="Arial" w:cs="Arial" w:hAnsi="Arial"/>
          <w:sz w:val="22"/>
        </w:rPr>
        <w:t xml:space="preserve">：输出样本属于各类别的概率（二分类时为两列，分别对应0和1的概率），支持自定义阈值调整分类策略。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二、特征工程：从线性到非线性拟合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线性模型的局限性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逻辑回归是线性模型，默认决策边界为线性函数（如二维特征时为直线 ( \theta_0 + \theta_1x_1 + \theta_2x_2 = 0 )），无法拟合非线性分布数据（如曲线分隔的样本）。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非线性特征的构造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通过创建高次项或交叉项，可将线性模型转化为“非线性组合的线性拟合”，从而拟合非线性边界：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常见非线性特征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平方项：( x_1^2 = x_1 \times x_1 )、( x_2^2 = x_2 \times x_2 )；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交叉项：( x_1x_2 = x_1 \times x_2 )。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手动构造示例</w:t>
      </w:r>
      <w:r>
        <w:rPr>
          <w:rFonts w:eastAsia="等线" w:ascii="Arial" w:cs="Arial" w:hAnsi="Arial"/>
          <w:sz w:val="22"/>
        </w:rPr>
        <w:t xml:space="preserve">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 自动生成非线性特征（</w:t>
      </w:r>
      <w:r>
        <w:rPr>
          <w:rFonts w:eastAsia="Consolas" w:ascii="Consolas" w:cs="Consolas" w:hAnsi="Consolas"/>
          <w:b w:val="true"/>
          <w:sz w:val="30"/>
          <w:shd w:fill="EFF0F1"/>
        </w:rPr>
        <w:t>PolynomialFeatures</w:t>
      </w:r>
      <w:r>
        <w:rPr>
          <w:rFonts w:eastAsia="等线" w:ascii="Arial" w:cs="Arial" w:hAnsi="Arial"/>
          <w:b w:val="true"/>
          <w:sz w:val="30"/>
        </w:rPr>
        <w:t>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sklearn的</w:t>
      </w:r>
      <w:r>
        <w:rPr>
          <w:rFonts w:eastAsia="Consolas" w:ascii="Consolas" w:cs="Consolas" w:hAnsi="Consolas"/>
          <w:sz w:val="22"/>
          <w:shd w:fill="EFF0F1"/>
        </w:rPr>
        <w:t>PolynomialFeatures</w:t>
      </w:r>
      <w:r>
        <w:rPr>
          <w:rFonts w:eastAsia="等线" w:ascii="Arial" w:cs="Arial" w:hAnsi="Arial"/>
          <w:sz w:val="22"/>
        </w:rPr>
        <w:t xml:space="preserve">可自动生成指定次数的多项式特征，简化流程： 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三、数据处理工具：pandas核心操作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1. </w:t>
      </w:r>
      <w:r>
        <w:rPr>
          <w:rFonts w:eastAsia="Consolas" w:ascii="Consolas" w:cs="Consolas" w:hAnsi="Consolas"/>
          <w:b w:val="true"/>
          <w:sz w:val="30"/>
          <w:shd w:fill="EFF0F1"/>
        </w:rPr>
        <w:t>pd.DataFrame</w:t>
      </w:r>
      <w:r>
        <w:rPr>
          <w:rFonts w:eastAsia="等线" w:ascii="Arial" w:cs="Arial" w:hAnsi="Arial"/>
          <w:b w:val="true"/>
          <w:sz w:val="30"/>
        </w:rPr>
        <w:t xml:space="preserve"> 详解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pd.DataFrame</w:t>
      </w:r>
      <w:r>
        <w:rPr>
          <w:rFonts w:eastAsia="等线" w:ascii="Arial" w:cs="Arial" w:hAnsi="Arial"/>
          <w:sz w:val="22"/>
        </w:rPr>
        <w:t xml:space="preserve">是二维表格数据结构，由行索引、列索引和数据值组成，用于存储结构化数据。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创建方式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从字典创建：键为列名，值为同长度列表/数组（需保证列长一致）：  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从列表创建：需通过</w:t>
      </w:r>
      <w:r>
        <w:rPr>
          <w:rFonts w:eastAsia="Consolas" w:ascii="Consolas" w:cs="Consolas" w:hAnsi="Consolas"/>
          <w:sz w:val="22"/>
          <w:shd w:fill="EFF0F1"/>
        </w:rPr>
        <w:t>columns</w:t>
      </w:r>
      <w:r>
        <w:rPr>
          <w:rFonts w:eastAsia="等线" w:ascii="Arial" w:cs="Arial" w:hAnsi="Arial"/>
          <w:sz w:val="22"/>
        </w:rPr>
        <w:t xml:space="preserve">指定列名：  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  <w:r>
        <w:rPr>
          <w:rFonts w:eastAsia="等线" w:ascii="Arial" w:cs="Arial" w:hAnsi="Arial"/>
          <w:sz w:val="22"/>
        </w:rPr>
        <w:t>：输入数据需为二维结构（单样本用</w:t>
      </w:r>
      <w:r>
        <w:rPr>
          <w:rFonts w:eastAsia="Consolas" w:ascii="Consolas" w:cs="Consolas" w:hAnsi="Consolas"/>
          <w:sz w:val="22"/>
          <w:shd w:fill="EFF0F1"/>
        </w:rPr>
        <w:t>[[x1, x2]]</w:t>
      </w:r>
      <w:r>
        <w:rPr>
          <w:rFonts w:eastAsia="等线" w:ascii="Arial" w:cs="Arial" w:hAnsi="Arial"/>
          <w:sz w:val="22"/>
        </w:rPr>
        <w:t xml:space="preserve">），否则因维度不匹配报错。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数据筛选与</w:t>
      </w:r>
      <w:r>
        <w:rPr>
          <w:rFonts w:eastAsia="Consolas" w:ascii="Consolas" w:cs="Consolas" w:hAnsi="Consolas"/>
          <w:b w:val="true"/>
          <w:sz w:val="30"/>
          <w:shd w:fill="EFF0F1"/>
        </w:rPr>
        <w:t>mask</w:t>
      </w:r>
      <w:r>
        <w:rPr>
          <w:rFonts w:eastAsia="等线" w:ascii="Arial" w:cs="Arial" w:hAnsi="Arial"/>
          <w:b w:val="true"/>
          <w:sz w:val="30"/>
        </w:rPr>
        <w:t>的使用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loc</w:t>
      </w:r>
      <w:r>
        <w:rPr>
          <w:rFonts w:eastAsia="等线" w:ascii="Arial" w:cs="Arial" w:hAnsi="Arial"/>
          <w:b w:val="true"/>
          <w:sz w:val="22"/>
        </w:rPr>
        <w:t>标签索引</w:t>
      </w:r>
      <w:r>
        <w:rPr>
          <w:rFonts w:eastAsia="等线" w:ascii="Arial" w:cs="Arial" w:hAnsi="Arial"/>
          <w:sz w:val="22"/>
        </w:rPr>
        <w:t xml:space="preserve">：通过列名筛选数据（如 </w:t>
      </w:r>
      <w:r>
        <w:rPr>
          <w:rFonts w:eastAsia="Consolas" w:ascii="Consolas" w:cs="Consolas" w:hAnsi="Consolas"/>
          <w:sz w:val="22"/>
          <w:shd w:fill="EFF0F1"/>
        </w:rPr>
        <w:t>data.loc[:, 'Exam1']</w:t>
      </w:r>
      <w:r>
        <w:rPr>
          <w:rFonts w:eastAsia="等线" w:ascii="Arial" w:cs="Arial" w:hAnsi="Arial"/>
          <w:sz w:val="22"/>
        </w:rPr>
        <w:t xml:space="preserve"> 取所有行的</w:t>
      </w:r>
      <w:r>
        <w:rPr>
          <w:rFonts w:eastAsia="Consolas" w:ascii="Consolas" w:cs="Consolas" w:hAnsi="Consolas"/>
          <w:sz w:val="22"/>
          <w:shd w:fill="EFF0F1"/>
        </w:rPr>
        <w:t>Exam1</w:t>
      </w:r>
      <w:r>
        <w:rPr>
          <w:rFonts w:eastAsia="等线" w:ascii="Arial" w:cs="Arial" w:hAnsi="Arial"/>
          <w:sz w:val="22"/>
        </w:rPr>
        <w:t xml:space="preserve">列）。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mask</w:t>
      </w:r>
      <w:r>
        <w:rPr>
          <w:rFonts w:eastAsia="等线" w:ascii="Arial" w:cs="Arial" w:hAnsi="Arial"/>
          <w:b w:val="true"/>
          <w:sz w:val="22"/>
        </w:rPr>
        <w:t>的作用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mask</w:t>
      </w:r>
      <w:r>
        <w:rPr>
          <w:rFonts w:eastAsia="等线" w:ascii="Arial" w:cs="Arial" w:hAnsi="Arial"/>
          <w:sz w:val="22"/>
        </w:rPr>
        <w:t xml:space="preserve">是自定义布尔数组，用于标记符合条件的样本：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排序操作：</w:t>
      </w:r>
      <w:r>
        <w:rPr>
          <w:rFonts w:eastAsia="Consolas" w:ascii="Consolas" w:cs="Consolas" w:hAnsi="Consolas"/>
          <w:b w:val="true"/>
          <w:sz w:val="30"/>
          <w:shd w:fill="EFF0F1"/>
        </w:rPr>
        <w:t>sort_values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 xml:space="preserve">：按指定列值排序（默认升序），确保可视化时x轴特征从左到右递增，避免决策边界曲线错乱。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 xml:space="preserve">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四、可视化：matplotlib绘图与决策边界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基础绘图流程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决策边界绘制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（1）线性边界（原始特征）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( \theta_0 + \theta_1x_1 + \theta_2x_2 = 0 ) 推导：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x_2 = -(\theta_0 + \theta_1x_1) / \theta_2 ]  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（2）非线性边界（含高次特征）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基于二次项特征的边界公式为二次曲线，需通过解方程计算边界点，最终绘制平滑曲线（如用户案例中的蓝色曲线）。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五、模型训练与评估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1. 训练流程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 常见问题与解决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收敛警告（</w:t>
      </w:r>
      <w:r>
        <w:rPr>
          <w:rFonts w:eastAsia="Consolas" w:ascii="Consolas" w:cs="Consolas" w:hAnsi="Consolas"/>
          <w:b w:val="true"/>
          <w:sz w:val="22"/>
          <w:shd w:fill="EFF0F1"/>
        </w:rPr>
        <w:t>ConvergenceWarning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原因：优化器（如</w:t>
      </w:r>
      <w:r>
        <w:rPr>
          <w:rFonts w:eastAsia="Consolas" w:ascii="Consolas" w:cs="Consolas" w:hAnsi="Consolas"/>
          <w:sz w:val="22"/>
          <w:shd w:fill="EFF0F1"/>
        </w:rPr>
        <w:t>lbfgs</w:t>
      </w:r>
      <w:r>
        <w:rPr>
          <w:rFonts w:eastAsia="等线" w:ascii="Arial" w:cs="Arial" w:hAnsi="Arial"/>
          <w:sz w:val="22"/>
        </w:rPr>
        <w:t xml:space="preserve">）迭代次数不足或特征尺度差异大；  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解决：增加</w:t>
      </w:r>
      <w:r>
        <w:rPr>
          <w:rFonts w:eastAsia="Consolas" w:ascii="Consolas" w:cs="Consolas" w:hAnsi="Consolas"/>
          <w:sz w:val="22"/>
          <w:shd w:fill="EFF0F1"/>
        </w:rPr>
        <w:t>max_iter</w:t>
      </w:r>
      <w:r>
        <w:rPr>
          <w:rFonts w:eastAsia="等线" w:ascii="Arial" w:cs="Arial" w:hAnsi="Arial"/>
          <w:sz w:val="22"/>
        </w:rPr>
        <w:t>（如</w:t>
      </w:r>
      <w:r>
        <w:rPr>
          <w:rFonts w:eastAsia="Consolas" w:ascii="Consolas" w:cs="Consolas" w:hAnsi="Consolas"/>
          <w:sz w:val="22"/>
          <w:shd w:fill="EFF0F1"/>
        </w:rPr>
        <w:t>max_iter=1000</w:t>
      </w:r>
      <w:r>
        <w:rPr>
          <w:rFonts w:eastAsia="等线" w:ascii="Arial" w:cs="Arial" w:hAnsi="Arial"/>
          <w:sz w:val="22"/>
        </w:rPr>
        <w:t>）或标准化特征（</w:t>
      </w:r>
      <w:r>
        <w:rPr>
          <w:rFonts w:eastAsia="Consolas" w:ascii="Consolas" w:cs="Consolas" w:hAnsi="Consolas"/>
          <w:sz w:val="22"/>
          <w:shd w:fill="EFF0F1"/>
        </w:rPr>
        <w:t>StandardScaler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特征名称不匹配警告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原因：训练用带列名的DataFrame，预测输入为纯数组；  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解决：预测时用同列名的DataFrame输入（如 </w:t>
      </w:r>
      <w:r>
        <w:rPr>
          <w:rFonts w:eastAsia="Consolas" w:ascii="Consolas" w:cs="Consolas" w:hAnsi="Consolas"/>
          <w:sz w:val="22"/>
          <w:shd w:fill="EFF0F1"/>
        </w:rPr>
        <w:t>pd.DataFrame([[70,65]], columns=['Exam1','Exam2'])</w:t>
      </w:r>
      <w:r>
        <w:rPr>
          <w:rFonts w:eastAsia="等线" w:ascii="Arial" w:cs="Arial" w:hAnsi="Arial"/>
          <w:sz w:val="22"/>
        </w:rPr>
        <w:t xml:space="preserve">）。  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六、常见错误与解决方案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AttributeError: 'matplotlib.pyplot' has no attribute 'titile'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plt.titile</w:t>
            </w:r>
            <w:r>
              <w:rPr>
                <w:rFonts w:eastAsia="等线" w:ascii="Arial" w:cs="Arial" w:hAnsi="Arial"/>
                <w:sz w:val="22"/>
              </w:rPr>
              <w:t>拼写错误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plt.title()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ValueError</w:t>
            </w:r>
            <w:r>
              <w:rPr>
                <w:rFonts w:eastAsia="等线" w:ascii="Arial" w:cs="Arial" w:hAnsi="Arial"/>
                <w:sz w:val="22"/>
              </w:rPr>
              <w:t>（DataFrame创建失败）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输入数据为一维（如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[70,65]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改为二维结构（如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[[70,65]]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收敛警告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迭代次数不足或特征尺度差异大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max_iter</w:t>
            </w:r>
            <w:r>
              <w:rPr>
                <w:rFonts w:eastAsia="等线" w:ascii="Arial" w:cs="Arial" w:hAnsi="Arial"/>
                <w:sz w:val="22"/>
              </w:rPr>
              <w:t>或标准化特征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总结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本文档覆盖逻辑回归模型从原理到实践的核心知识点，包括模型参数解析、非线性特征构造、pandas数据处理、matplotlib可视化及训练评估技巧，可作为逻辑回归实践的参考指南。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650">
    <w:lvl>
      <w:numFmt w:val="bullet"/>
      <w:suff w:val="tab"/>
      <w:lvlText w:val="•"/>
      <w:rPr>
        <w:color w:val="3370ff"/>
      </w:rPr>
    </w:lvl>
  </w:abstractNum>
  <w:abstractNum w:abstractNumId="147651">
    <w:lvl>
      <w:numFmt w:val="bullet"/>
      <w:suff w:val="tab"/>
      <w:lvlText w:val="•"/>
      <w:rPr>
        <w:color w:val="3370ff"/>
      </w:rPr>
    </w:lvl>
  </w:abstractNum>
  <w:abstractNum w:abstractNumId="147652">
    <w:lvl>
      <w:numFmt w:val="bullet"/>
      <w:suff w:val="tab"/>
      <w:lvlText w:val="•"/>
      <w:rPr>
        <w:color w:val="3370ff"/>
      </w:rPr>
    </w:lvl>
  </w:abstractNum>
  <w:abstractNum w:abstractNumId="147653">
    <w:lvl>
      <w:numFmt w:val="bullet"/>
      <w:suff w:val="tab"/>
      <w:lvlText w:val="￮"/>
      <w:rPr>
        <w:color w:val="3370ff"/>
      </w:rPr>
    </w:lvl>
  </w:abstractNum>
  <w:abstractNum w:abstractNumId="147654">
    <w:lvl>
      <w:numFmt w:val="bullet"/>
      <w:suff w:val="tab"/>
      <w:lvlText w:val="￮"/>
      <w:rPr>
        <w:color w:val="3370ff"/>
      </w:rPr>
    </w:lvl>
  </w:abstractNum>
  <w:abstractNum w:abstractNumId="147655">
    <w:lvl>
      <w:numFmt w:val="bullet"/>
      <w:suff w:val="tab"/>
      <w:lvlText w:val="•"/>
      <w:rPr>
        <w:color w:val="3370ff"/>
      </w:rPr>
    </w:lvl>
  </w:abstractNum>
  <w:abstractNum w:abstractNumId="147656">
    <w:lvl>
      <w:numFmt w:val="bullet"/>
      <w:suff w:val="tab"/>
      <w:lvlText w:val="•"/>
      <w:rPr>
        <w:color w:val="3370ff"/>
      </w:rPr>
    </w:lvl>
  </w:abstractNum>
  <w:abstractNum w:abstractNumId="147657">
    <w:lvl>
      <w:numFmt w:val="bullet"/>
      <w:suff w:val="tab"/>
      <w:lvlText w:val="•"/>
      <w:rPr>
        <w:color w:val="3370ff"/>
      </w:rPr>
    </w:lvl>
  </w:abstractNum>
  <w:abstractNum w:abstractNumId="147658">
    <w:lvl>
      <w:numFmt w:val="bullet"/>
      <w:suff w:val="tab"/>
      <w:lvlText w:val="•"/>
      <w:rPr>
        <w:color w:val="3370ff"/>
      </w:rPr>
    </w:lvl>
  </w:abstractNum>
  <w:abstractNum w:abstractNumId="147659">
    <w:lvl>
      <w:numFmt w:val="bullet"/>
      <w:suff w:val="tab"/>
      <w:lvlText w:val="￮"/>
      <w:rPr>
        <w:color w:val="3370ff"/>
      </w:rPr>
    </w:lvl>
  </w:abstractNum>
  <w:abstractNum w:abstractNumId="147660">
    <w:lvl>
      <w:numFmt w:val="bullet"/>
      <w:suff w:val="tab"/>
      <w:lvlText w:val="￮"/>
      <w:rPr>
        <w:color w:val="3370ff"/>
      </w:rPr>
    </w:lvl>
  </w:abstractNum>
  <w:abstractNum w:abstractNumId="147661">
    <w:lvl>
      <w:numFmt w:val="bullet"/>
      <w:suff w:val="tab"/>
      <w:lvlText w:val="•"/>
      <w:rPr>
        <w:color w:val="3370ff"/>
      </w:rPr>
    </w:lvl>
  </w:abstractNum>
  <w:abstractNum w:abstractNumId="147662">
    <w:lvl>
      <w:numFmt w:val="bullet"/>
      <w:suff w:val="tab"/>
      <w:lvlText w:val="•"/>
      <w:rPr>
        <w:color w:val="3370ff"/>
      </w:rPr>
    </w:lvl>
  </w:abstractNum>
  <w:abstractNum w:abstractNumId="147663">
    <w:lvl>
      <w:numFmt w:val="bullet"/>
      <w:suff w:val="tab"/>
      <w:lvlText w:val="￮"/>
      <w:rPr>
        <w:color w:val="3370ff"/>
      </w:rPr>
    </w:lvl>
  </w:abstractNum>
  <w:abstractNum w:abstractNumId="147664">
    <w:lvl>
      <w:numFmt w:val="bullet"/>
      <w:suff w:val="tab"/>
      <w:lvlText w:val="￮"/>
      <w:rPr>
        <w:color w:val="3370ff"/>
      </w:rPr>
    </w:lvl>
  </w:abstractNum>
  <w:abstractNum w:abstractNumId="147665">
    <w:lvl>
      <w:numFmt w:val="bullet"/>
      <w:suff w:val="tab"/>
      <w:lvlText w:val="•"/>
      <w:rPr>
        <w:color w:val="3370ff"/>
      </w:rPr>
    </w:lvl>
  </w:abstractNum>
  <w:abstractNum w:abstractNumId="147666">
    <w:lvl>
      <w:numFmt w:val="bullet"/>
      <w:suff w:val="tab"/>
      <w:lvlText w:val="•"/>
      <w:rPr>
        <w:color w:val="3370ff"/>
      </w:rPr>
    </w:lvl>
  </w:abstractNum>
  <w:abstractNum w:abstractNumId="147667">
    <w:lvl>
      <w:numFmt w:val="bullet"/>
      <w:suff w:val="tab"/>
      <w:lvlText w:val="•"/>
      <w:rPr>
        <w:color w:val="3370ff"/>
      </w:rPr>
    </w:lvl>
  </w:abstractNum>
  <w:abstractNum w:abstractNumId="147668">
    <w:lvl>
      <w:numFmt w:val="bullet"/>
      <w:suff w:val="tab"/>
      <w:lvlText w:val="•"/>
      <w:rPr>
        <w:color w:val="3370ff"/>
      </w:rPr>
    </w:lvl>
  </w:abstractNum>
  <w:abstractNum w:abstractNumId="147669">
    <w:lvl>
      <w:numFmt w:val="bullet"/>
      <w:suff w:val="tab"/>
      <w:lvlText w:val="•"/>
      <w:rPr>
        <w:color w:val="3370ff"/>
      </w:rPr>
    </w:lvl>
  </w:abstractNum>
  <w:abstractNum w:abstractNumId="147670">
    <w:lvl>
      <w:numFmt w:val="bullet"/>
      <w:suff w:val="tab"/>
      <w:lvlText w:val="•"/>
      <w:rPr>
        <w:color w:val="3370ff"/>
      </w:rPr>
    </w:lvl>
  </w:abstractNum>
  <w:abstractNum w:abstractNumId="147671">
    <w:lvl>
      <w:numFmt w:val="bullet"/>
      <w:suff w:val="tab"/>
      <w:lvlText w:val="￮"/>
      <w:rPr>
        <w:color w:val="3370ff"/>
      </w:rPr>
    </w:lvl>
  </w:abstractNum>
  <w:abstractNum w:abstractNumId="147672">
    <w:lvl>
      <w:numFmt w:val="bullet"/>
      <w:suff w:val="tab"/>
      <w:lvlText w:val="￮"/>
      <w:rPr>
        <w:color w:val="3370ff"/>
      </w:rPr>
    </w:lvl>
  </w:abstractNum>
  <w:abstractNum w:abstractNumId="147673">
    <w:lvl>
      <w:numFmt w:val="bullet"/>
      <w:suff w:val="tab"/>
      <w:lvlText w:val="•"/>
      <w:rPr>
        <w:color w:val="3370ff"/>
      </w:rPr>
    </w:lvl>
  </w:abstractNum>
  <w:abstractNum w:abstractNumId="147674">
    <w:lvl>
      <w:numFmt w:val="bullet"/>
      <w:suff w:val="tab"/>
      <w:lvlText w:val="￮"/>
      <w:rPr>
        <w:color w:val="3370ff"/>
      </w:rPr>
    </w:lvl>
  </w:abstractNum>
  <w:abstractNum w:abstractNumId="147675">
    <w:lvl>
      <w:numFmt w:val="bullet"/>
      <w:suff w:val="tab"/>
      <w:lvlText w:val="￮"/>
      <w:rPr>
        <w:color w:val="3370ff"/>
      </w:rPr>
    </w:lvl>
  </w:abstractNum>
  <w:num w:numId="1">
    <w:abstractNumId w:val="147650"/>
  </w:num>
  <w:num w:numId="2">
    <w:abstractNumId w:val="147651"/>
  </w:num>
  <w:num w:numId="3">
    <w:abstractNumId w:val="147652"/>
  </w:num>
  <w:num w:numId="4">
    <w:abstractNumId w:val="147653"/>
  </w:num>
  <w:num w:numId="5">
    <w:abstractNumId w:val="147654"/>
  </w:num>
  <w:num w:numId="6">
    <w:abstractNumId w:val="147655"/>
  </w:num>
  <w:num w:numId="7">
    <w:abstractNumId w:val="147656"/>
  </w:num>
  <w:num w:numId="8">
    <w:abstractNumId w:val="147657"/>
  </w:num>
  <w:num w:numId="9">
    <w:abstractNumId w:val="147658"/>
  </w:num>
  <w:num w:numId="10">
    <w:abstractNumId w:val="147659"/>
  </w:num>
  <w:num w:numId="11">
    <w:abstractNumId w:val="147660"/>
  </w:num>
  <w:num w:numId="12">
    <w:abstractNumId w:val="147661"/>
  </w:num>
  <w:num w:numId="13">
    <w:abstractNumId w:val="147662"/>
  </w:num>
  <w:num w:numId="14">
    <w:abstractNumId w:val="147663"/>
  </w:num>
  <w:num w:numId="15">
    <w:abstractNumId w:val="147664"/>
  </w:num>
  <w:num w:numId="16">
    <w:abstractNumId w:val="147665"/>
  </w:num>
  <w:num w:numId="17">
    <w:abstractNumId w:val="147666"/>
  </w:num>
  <w:num w:numId="18">
    <w:abstractNumId w:val="147667"/>
  </w:num>
  <w:num w:numId="19">
    <w:abstractNumId w:val="147668"/>
  </w:num>
  <w:num w:numId="20">
    <w:abstractNumId w:val="147669"/>
  </w:num>
  <w:num w:numId="21">
    <w:abstractNumId w:val="147670"/>
  </w:num>
  <w:num w:numId="22">
    <w:abstractNumId w:val="147671"/>
  </w:num>
  <w:num w:numId="23">
    <w:abstractNumId w:val="147672"/>
  </w:num>
  <w:num w:numId="24">
    <w:abstractNumId w:val="147673"/>
  </w:num>
  <w:num w:numId="25">
    <w:abstractNumId w:val="147674"/>
  </w:num>
  <w:num w:numId="26">
    <w:abstractNumId w:val="1476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2025-09-29T14:02:27Z</dcterms:created>
  <dc:creator>Apache POI</dc:creator>
</cp:coreProperties>
</file>