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Python 数据分析与机器学习核心知识点总结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Python数据分析与机器学习核心知识点总结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一、数据预处理与工具库基础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pandas：</w:t>
      </w:r>
      <w:r>
        <w:rPr>
          <w:rFonts w:eastAsia="Consolas" w:ascii="Consolas" w:cs="Consolas" w:hAnsi="Consolas"/>
          <w:b w:val="true"/>
          <w:sz w:val="30"/>
          <w:shd w:fill="EFF0F1"/>
        </w:rPr>
        <w:t>value_counts</w:t>
      </w:r>
      <w:r>
        <w:rPr>
          <w:rFonts w:eastAsia="等线" w:ascii="Arial" w:cs="Arial" w:hAnsi="Arial"/>
          <w:b w:val="true"/>
          <w:sz w:val="30"/>
        </w:rPr>
        <w:t>方法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作用：统计序列中各唯一值的出现次数。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注意事项：</w:t>
      </w:r>
      <w:r>
        <w:rPr>
          <w:rFonts w:eastAsia="Consolas" w:ascii="Consolas" w:cs="Consolas" w:hAnsi="Consolas"/>
          <w:sz w:val="22"/>
          <w:shd w:fill="EFF0F1"/>
        </w:rPr>
        <w:t>pd.value_counts(y)</w:t>
      </w:r>
      <w:r>
        <w:rPr>
          <w:rFonts w:eastAsia="等线" w:ascii="Arial" w:cs="Arial" w:hAnsi="Arial"/>
          <w:sz w:val="22"/>
        </w:rPr>
        <w:t xml:space="preserve"> 已被弃用，推荐使用 </w:t>
      </w:r>
      <w:r>
        <w:rPr>
          <w:rFonts w:eastAsia="Consolas" w:ascii="Consolas" w:cs="Consolas" w:hAnsi="Consolas"/>
          <w:sz w:val="22"/>
          <w:shd w:fill="EFF0F1"/>
        </w:rPr>
        <w:t>pd.Series(y).value_counts()</w:t>
      </w:r>
      <w:r>
        <w:rPr>
          <w:rFonts w:eastAsia="等线" w:ascii="Arial" w:cs="Arial" w:hAnsi="Arial"/>
          <w:sz w:val="22"/>
        </w:rPr>
        <w:t xml:space="preserve"> 避免 </w:t>
      </w:r>
      <w:r>
        <w:rPr>
          <w:rFonts w:eastAsia="Consolas" w:ascii="Consolas" w:cs="Consolas" w:hAnsi="Consolas"/>
          <w:sz w:val="22"/>
          <w:shd w:fill="EFF0F1"/>
        </w:rPr>
        <w:t>FutureWarning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Matplotlib：</w:t>
      </w:r>
      <w:r>
        <w:rPr>
          <w:rFonts w:eastAsia="Consolas" w:ascii="Consolas" w:cs="Consolas" w:hAnsi="Consolas"/>
          <w:b w:val="true"/>
          <w:sz w:val="30"/>
          <w:shd w:fill="EFF0F1"/>
        </w:rPr>
        <w:t>legend</w:t>
      </w:r>
      <w:r>
        <w:rPr>
          <w:rFonts w:eastAsia="等线" w:ascii="Arial" w:cs="Arial" w:hAnsi="Arial"/>
          <w:b w:val="true"/>
          <w:sz w:val="30"/>
        </w:rPr>
        <w:t>图例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作用：为图表添加图例，标识不同数据系列的含义。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用法：绘制图形时通过 </w:t>
      </w:r>
      <w:r>
        <w:rPr>
          <w:rFonts w:eastAsia="Consolas" w:ascii="Consolas" w:cs="Consolas" w:hAnsi="Consolas"/>
          <w:sz w:val="22"/>
          <w:shd w:fill="EFF0F1"/>
        </w:rPr>
        <w:t>label</w:t>
      </w:r>
      <w:r>
        <w:rPr>
          <w:rFonts w:eastAsia="等线" w:ascii="Arial" w:cs="Arial" w:hAnsi="Arial"/>
          <w:sz w:val="22"/>
        </w:rPr>
        <w:t xml:space="preserve"> 参数指定系列名称，再调用 </w:t>
      </w:r>
      <w:r>
        <w:rPr>
          <w:rFonts w:eastAsia="Consolas" w:ascii="Consolas" w:cs="Consolas" w:hAnsi="Consolas"/>
          <w:sz w:val="22"/>
          <w:shd w:fill="EFF0F1"/>
        </w:rPr>
        <w:t>plt.legend()</w:t>
      </w:r>
      <w:r>
        <w:rPr>
          <w:rFonts w:eastAsia="等线" w:ascii="Arial" w:cs="Arial" w:hAnsi="Arial"/>
          <w:sz w:val="22"/>
        </w:rPr>
        <w:t xml:space="preserve"> 生成图例；也可手动传入图形句柄和标签，如 </w:t>
      </w:r>
      <w:r>
        <w:rPr>
          <w:rFonts w:eastAsia="Consolas" w:ascii="Consolas" w:cs="Consolas" w:hAnsi="Consolas"/>
          <w:sz w:val="22"/>
          <w:shd w:fill="EFF0F1"/>
        </w:rPr>
        <w:t>plt.legend([handle1, handle2], ["label1", "label2"])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常用参数：</w:t>
      </w:r>
      <w:r>
        <w:rPr>
          <w:rFonts w:eastAsia="Consolas" w:ascii="Consolas" w:cs="Consolas" w:hAnsi="Consolas"/>
          <w:sz w:val="22"/>
          <w:shd w:fill="EFF0F1"/>
        </w:rPr>
        <w:t>loc</w:t>
      </w:r>
      <w:r>
        <w:rPr>
          <w:rFonts w:eastAsia="等线" w:ascii="Arial" w:cs="Arial" w:hAnsi="Arial"/>
          <w:sz w:val="22"/>
        </w:rPr>
        <w:t xml:space="preserve">（指定图例位置，如 </w:t>
      </w:r>
      <w:r>
        <w:rPr>
          <w:rFonts w:eastAsia="Consolas" w:ascii="Consolas" w:cs="Consolas" w:hAnsi="Consolas"/>
          <w:sz w:val="22"/>
          <w:shd w:fill="EFF0F1"/>
        </w:rPr>
        <w:t>'upper right'</w:t>
      </w:r>
      <w:r>
        <w:rPr>
          <w:rFonts w:eastAsia="等线" w:ascii="Arial" w:cs="Arial" w:hAnsi="Arial"/>
          <w:sz w:val="22"/>
        </w:rPr>
        <w:t>）、</w:t>
      </w:r>
      <w:r>
        <w:rPr>
          <w:rFonts w:eastAsia="Consolas" w:ascii="Consolas" w:cs="Consolas" w:hAnsi="Consolas"/>
          <w:sz w:val="22"/>
          <w:shd w:fill="EFF0F1"/>
        </w:rPr>
        <w:t>title</w:t>
      </w:r>
      <w:r>
        <w:rPr>
          <w:rFonts w:eastAsia="等线" w:ascii="Arial" w:cs="Arial" w:hAnsi="Arial"/>
          <w:sz w:val="22"/>
        </w:rPr>
        <w:t>（设置图例标题）等。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 数据标准化与归一化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背景：KMeans等依赖“距离”的算法对特征“尺度”敏感（如一个特征范围 </w:t>
      </w:r>
      <w:r>
        <w:rPr>
          <w:rFonts w:eastAsia="Consolas" w:ascii="Consolas" w:cs="Consolas" w:hAnsi="Consolas"/>
          <w:sz w:val="22"/>
          <w:shd w:fill="EFF0F1"/>
        </w:rPr>
        <w:t>0-1000</w:t>
      </w:r>
      <w:r>
        <w:rPr>
          <w:rFonts w:eastAsia="等线" w:ascii="Arial" w:cs="Arial" w:hAnsi="Arial"/>
          <w:sz w:val="22"/>
        </w:rPr>
        <w:t xml:space="preserve">、另一个 </w:t>
      </w:r>
      <w:r>
        <w:rPr>
          <w:rFonts w:eastAsia="Consolas" w:ascii="Consolas" w:cs="Consolas" w:hAnsi="Consolas"/>
          <w:sz w:val="22"/>
          <w:shd w:fill="EFF0F1"/>
        </w:rPr>
        <w:t>0-1</w:t>
      </w:r>
      <w:r>
        <w:rPr>
          <w:rFonts w:eastAsia="等线" w:ascii="Arial" w:cs="Arial" w:hAnsi="Arial"/>
          <w:sz w:val="22"/>
        </w:rPr>
        <w:t xml:space="preserve"> 时，距离计算会被大尺度特征主导）。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方法选择：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标准化（</w:t>
      </w:r>
      <w:r>
        <w:rPr>
          <w:rFonts w:eastAsia="Consolas" w:ascii="Consolas" w:cs="Consolas" w:hAnsi="Consolas"/>
          <w:b w:val="true"/>
          <w:sz w:val="22"/>
          <w:shd w:fill="EFF0F1"/>
        </w:rPr>
        <w:t>StandardScaler</w:t>
      </w:r>
      <w:r>
        <w:rPr>
          <w:rFonts w:eastAsia="等线" w:ascii="Arial" w:cs="Arial" w:hAnsi="Arial"/>
          <w:b w:val="true"/>
          <w:sz w:val="22"/>
        </w:rPr>
        <w:t>）</w:t>
      </w:r>
      <w:r>
        <w:rPr>
          <w:rFonts w:eastAsia="等线" w:ascii="Arial" w:cs="Arial" w:hAnsi="Arial"/>
          <w:sz w:val="22"/>
        </w:rPr>
        <w:t>：将特征转换为“均值=0，方差=1”的分布，公式为 ( x_{\text{新}} = \frac{x - \text{均值}}{\text{标准差}} )。适合数据存在异常值、分布接近正态的场景。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归一化（</w:t>
      </w:r>
      <w:r>
        <w:rPr>
          <w:rFonts w:eastAsia="Consolas" w:ascii="Consolas" w:cs="Consolas" w:hAnsi="Consolas"/>
          <w:b w:val="true"/>
          <w:sz w:val="22"/>
          <w:shd w:fill="EFF0F1"/>
        </w:rPr>
        <w:t>MinMaxScaler</w:t>
      </w:r>
      <w:r>
        <w:rPr>
          <w:rFonts w:eastAsia="等线" w:ascii="Arial" w:cs="Arial" w:hAnsi="Arial"/>
          <w:b w:val="true"/>
          <w:sz w:val="22"/>
        </w:rPr>
        <w:t>）</w:t>
      </w:r>
      <w:r>
        <w:rPr>
          <w:rFonts w:eastAsia="等线" w:ascii="Arial" w:cs="Arial" w:hAnsi="Arial"/>
          <w:sz w:val="22"/>
        </w:rPr>
        <w:t xml:space="preserve">：将特征压缩到 </w:t>
      </w:r>
      <w:r>
        <w:rPr>
          <w:rFonts w:eastAsia="Consolas" w:ascii="Consolas" w:cs="Consolas" w:hAnsi="Consolas"/>
          <w:sz w:val="22"/>
          <w:shd w:fill="EFF0F1"/>
        </w:rPr>
        <w:t>[0,1]</w:t>
      </w:r>
      <w:r>
        <w:rPr>
          <w:rFonts w:eastAsia="等线" w:ascii="Arial" w:cs="Arial" w:hAnsi="Arial"/>
          <w:sz w:val="22"/>
        </w:rPr>
        <w:t xml:space="preserve"> 区间，公式为 ( x_{\text{新}} = \frac{x - \text{最小值}}{\text{最大值} - \text{最小值}} )。适合数据无异常值、需要固定范围（如输入到神经网络）的场景。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注意：只需选一种方法，无需同时使用；训练集用 </w:t>
      </w:r>
      <w:r>
        <w:rPr>
          <w:rFonts w:eastAsia="Consolas" w:ascii="Consolas" w:cs="Consolas" w:hAnsi="Consolas"/>
          <w:sz w:val="22"/>
          <w:shd w:fill="EFF0F1"/>
        </w:rPr>
        <w:t>fit_transform</w:t>
      </w:r>
      <w:r>
        <w:rPr>
          <w:rFonts w:eastAsia="等线" w:ascii="Arial" w:cs="Arial" w:hAnsi="Arial"/>
          <w:sz w:val="22"/>
        </w:rPr>
        <w:t xml:space="preserve">，测试集用 </w:t>
      </w:r>
      <w:r>
        <w:rPr>
          <w:rFonts w:eastAsia="Consolas" w:ascii="Consolas" w:cs="Consolas" w:hAnsi="Consolas"/>
          <w:sz w:val="22"/>
          <w:shd w:fill="EFF0F1"/>
        </w:rPr>
        <w:t>transform</w:t>
      </w:r>
      <w:r>
        <w:rPr>
          <w:rFonts w:eastAsia="等线" w:ascii="Arial" w:cs="Arial" w:hAnsi="Arial"/>
          <w:sz w:val="22"/>
        </w:rPr>
        <w:t>（避免“数据泄露”）。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二、聚类算法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 KMeans聚类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核心逻辑：通过“样本到聚类中心的距离”，将数据分为指定数量（</w:t>
      </w:r>
      <w:r>
        <w:rPr>
          <w:rFonts w:eastAsia="Consolas" w:ascii="Consolas" w:cs="Consolas" w:hAnsi="Consolas"/>
          <w:sz w:val="22"/>
          <w:shd w:fill="EFF0F1"/>
        </w:rPr>
        <w:t>n_clusters</w:t>
      </w:r>
      <w:r>
        <w:rPr>
          <w:rFonts w:eastAsia="等线" w:ascii="Arial" w:cs="Arial" w:hAnsi="Arial"/>
          <w:sz w:val="22"/>
        </w:rPr>
        <w:t>）的簇。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关键代码：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</w:p>
        </w:tc>
      </w:tr>
    </w:tbl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重要属性：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KM.labels_</w:t>
      </w:r>
      <w:r>
        <w:rPr>
          <w:rFonts w:eastAsia="等线" w:ascii="Arial" w:cs="Arial" w:hAnsi="Arial"/>
          <w:sz w:val="22"/>
        </w:rPr>
        <w:t>：每个样本的聚类标签。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KM.cluster_centers_</w:t>
      </w:r>
      <w:r>
        <w:rPr>
          <w:rFonts w:eastAsia="等线" w:ascii="Arial" w:cs="Arial" w:hAnsi="Arial"/>
          <w:sz w:val="22"/>
        </w:rPr>
        <w:t>：各簇的中心坐标。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注意事项：Windows+MKL环境下可能存在内存泄漏，需</w:t>
      </w:r>
      <w:r>
        <w:rPr>
          <w:rFonts w:eastAsia="等线" w:ascii="Arial" w:cs="Arial" w:hAnsi="Arial"/>
          <w:b w:val="true"/>
          <w:sz w:val="22"/>
        </w:rPr>
        <w:t>在Python进程启动前</w:t>
      </w:r>
      <w:r>
        <w:rPr>
          <w:rFonts w:eastAsia="等线" w:ascii="Arial" w:cs="Arial" w:hAnsi="Arial"/>
          <w:sz w:val="22"/>
        </w:rPr>
        <w:t xml:space="preserve">设置环境变量 </w:t>
      </w:r>
      <w:r>
        <w:rPr>
          <w:rFonts w:eastAsia="Consolas" w:ascii="Consolas" w:cs="Consolas" w:hAnsi="Consolas"/>
          <w:sz w:val="22"/>
          <w:shd w:fill="EFF0F1"/>
        </w:rPr>
        <w:t>OMP_NUM_THREADS=6</w:t>
      </w:r>
      <w:r>
        <w:rPr>
          <w:rFonts w:eastAsia="等线" w:ascii="Arial" w:cs="Arial" w:hAnsi="Arial"/>
          <w:sz w:val="22"/>
        </w:rPr>
        <w:t>（如通过命令行先设环境变量，再启动Python）。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 MeanShift聚类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核心逻辑：基于“密度”的聚类算法，样本向“密度更高的区域”漂移，自动收敛到聚类中心（无需提前指定簇数）。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关键代码：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</w:p>
        </w:tc>
      </w:tr>
    </w:tbl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获取簇数量：</w:t>
      </w:r>
      <w:r>
        <w:rPr>
          <w:rFonts w:eastAsia="Consolas" w:ascii="Consolas" w:cs="Consolas" w:hAnsi="Consolas"/>
          <w:sz w:val="22"/>
          <w:shd w:fill="EFF0F1"/>
        </w:rPr>
        <w:t>MeanShift</w:t>
      </w:r>
      <w:r>
        <w:rPr>
          <w:rFonts w:eastAsia="等线" w:ascii="Arial" w:cs="Arial" w:hAnsi="Arial"/>
          <w:sz w:val="22"/>
        </w:rPr>
        <w:t xml:space="preserve"> 无直接的 </w:t>
      </w:r>
      <w:r>
        <w:rPr>
          <w:rFonts w:eastAsia="Consolas" w:ascii="Consolas" w:cs="Consolas" w:hAnsi="Consolas"/>
          <w:sz w:val="22"/>
          <w:shd w:fill="EFF0F1"/>
        </w:rPr>
        <w:t>n_clusters</w:t>
      </w:r>
      <w:r>
        <w:rPr>
          <w:rFonts w:eastAsia="等线" w:ascii="Arial" w:cs="Arial" w:hAnsi="Arial"/>
          <w:sz w:val="22"/>
        </w:rPr>
        <w:t xml:space="preserve"> 属性，需通过 </w:t>
      </w:r>
      <w:r>
        <w:rPr>
          <w:rFonts w:eastAsia="Consolas" w:ascii="Consolas" w:cs="Consolas" w:hAnsi="Consolas"/>
          <w:sz w:val="22"/>
          <w:shd w:fill="EFF0F1"/>
        </w:rPr>
        <w:t>len(np.unique(ms.labels_))</w:t>
      </w:r>
      <w:r>
        <w:rPr>
          <w:rFonts w:eastAsia="等线" w:ascii="Arial" w:cs="Arial" w:hAnsi="Arial"/>
          <w:sz w:val="22"/>
        </w:rPr>
        <w:t xml:space="preserve"> 统计“唯一聚类标签”的数量。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三、分类算法：KNN（K近邻）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核心逻辑：“物以类聚”——新样本的类别由其“最近的 </w:t>
      </w:r>
      <w:r>
        <w:rPr>
          <w:rFonts w:eastAsia="Consolas" w:ascii="Consolas" w:cs="Consolas" w:hAnsi="Consolas"/>
          <w:sz w:val="22"/>
          <w:shd w:fill="EFF0F1"/>
        </w:rPr>
        <w:t>k</w:t>
      </w:r>
      <w:r>
        <w:rPr>
          <w:rFonts w:eastAsia="等线" w:ascii="Arial" w:cs="Arial" w:hAnsi="Arial"/>
          <w:sz w:val="22"/>
        </w:rPr>
        <w:t xml:space="preserve"> 个邻居”的多数类别决定。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关键代码：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</w:p>
        </w:tc>
      </w:tr>
    </w:tbl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特点：属于“惰性学习算法”，训练时不计算参数，仅存储数据；预测时才实时计算样本间距离。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四、其他关键概念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1. 内存泄漏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定义：程序申请内存后未正常释放，导致可用内存逐渐耗尽，最终使程序运行变慢甚至崩溃。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示例场景：KMeans在Windows+MKL环境下，因多线程与数据分块不匹配可能引发内存泄漏，需通过设置 </w:t>
      </w:r>
      <w:r>
        <w:rPr>
          <w:rFonts w:eastAsia="Consolas" w:ascii="Consolas" w:cs="Consolas" w:hAnsi="Consolas"/>
          <w:sz w:val="22"/>
          <w:shd w:fill="EFF0F1"/>
        </w:rPr>
        <w:t>OMP_NUM_THREADS</w:t>
      </w:r>
      <w:r>
        <w:rPr>
          <w:rFonts w:eastAsia="等线" w:ascii="Arial" w:cs="Arial" w:hAnsi="Arial"/>
          <w:sz w:val="22"/>
        </w:rPr>
        <w:t xml:space="preserve"> 规避。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 xml:space="preserve">2. </w:t>
      </w:r>
      <w:r>
        <w:rPr>
          <w:rFonts w:eastAsia="Consolas" w:ascii="Consolas" w:cs="Consolas" w:hAnsi="Consolas"/>
          <w:b w:val="true"/>
          <w:sz w:val="30"/>
          <w:shd w:fill="EFF0F1"/>
        </w:rPr>
        <w:t>fit</w:t>
      </w:r>
      <w:r>
        <w:rPr>
          <w:rFonts w:eastAsia="等线" w:ascii="Arial" w:cs="Arial" w:hAnsi="Arial"/>
          <w:b w:val="true"/>
          <w:sz w:val="30"/>
        </w:rPr>
        <w:t>、</w:t>
      </w:r>
      <w:r>
        <w:rPr>
          <w:rFonts w:eastAsia="Consolas" w:ascii="Consolas" w:cs="Consolas" w:hAnsi="Consolas"/>
          <w:b w:val="true"/>
          <w:sz w:val="30"/>
          <w:shd w:fill="EFF0F1"/>
        </w:rPr>
        <w:t>transform</w:t>
      </w:r>
      <w:r>
        <w:rPr>
          <w:rFonts w:eastAsia="等线" w:ascii="Arial" w:cs="Arial" w:hAnsi="Arial"/>
          <w:b w:val="true"/>
          <w:sz w:val="30"/>
        </w:rPr>
        <w:t>、</w:t>
      </w:r>
      <w:r>
        <w:rPr>
          <w:rFonts w:eastAsia="Consolas" w:ascii="Consolas" w:cs="Consolas" w:hAnsi="Consolas"/>
          <w:b w:val="true"/>
          <w:sz w:val="30"/>
          <w:shd w:fill="EFF0F1"/>
        </w:rPr>
        <w:t>fit_transform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fit</w:t>
      </w:r>
      <w:r>
        <w:rPr>
          <w:rFonts w:eastAsia="等线" w:ascii="Arial" w:cs="Arial" w:hAnsi="Arial"/>
          <w:sz w:val="22"/>
        </w:rPr>
        <w:t>：学习数据的统计规律（如标准化的“均值、标准差”，归一化的“最大/最小值”），</w:t>
      </w:r>
      <w:r>
        <w:rPr>
          <w:rFonts w:eastAsia="等线" w:ascii="Arial" w:cs="Arial" w:hAnsi="Arial"/>
          <w:b w:val="true"/>
          <w:sz w:val="22"/>
        </w:rPr>
        <w:t>仅学习、不改变数据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transform</w:t>
      </w:r>
      <w:r>
        <w:rPr>
          <w:rFonts w:eastAsia="等线" w:ascii="Arial" w:cs="Arial" w:hAnsi="Arial"/>
          <w:sz w:val="22"/>
        </w:rPr>
        <w:t xml:space="preserve">：用 </w:t>
      </w:r>
      <w:r>
        <w:rPr>
          <w:rFonts w:eastAsia="Consolas" w:ascii="Consolas" w:cs="Consolas" w:hAnsi="Consolas"/>
          <w:sz w:val="22"/>
          <w:shd w:fill="EFF0F1"/>
        </w:rPr>
        <w:t>fit</w:t>
      </w:r>
      <w:r>
        <w:rPr>
          <w:rFonts w:eastAsia="等线" w:ascii="Arial" w:cs="Arial" w:hAnsi="Arial"/>
          <w:sz w:val="22"/>
        </w:rPr>
        <w:t xml:space="preserve"> 学到的规律转换数据。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fit_transform</w:t>
      </w:r>
      <w:r>
        <w:rPr>
          <w:rFonts w:eastAsia="等线" w:ascii="Arial" w:cs="Arial" w:hAnsi="Arial"/>
          <w:sz w:val="22"/>
        </w:rPr>
        <w:t xml:space="preserve">：合并 </w:t>
      </w:r>
      <w:r>
        <w:rPr>
          <w:rFonts w:eastAsia="Consolas" w:ascii="Consolas" w:cs="Consolas" w:hAnsi="Consolas"/>
          <w:sz w:val="22"/>
          <w:shd w:fill="EFF0F1"/>
        </w:rPr>
        <w:t>fit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transform</w:t>
      </w:r>
      <w:r>
        <w:rPr>
          <w:rFonts w:eastAsia="等线" w:ascii="Arial" w:cs="Arial" w:hAnsi="Arial"/>
          <w:sz w:val="22"/>
        </w:rPr>
        <w:t>，一步完成“学习+转换”，适合</w:t>
      </w:r>
      <w:r>
        <w:rPr>
          <w:rFonts w:eastAsia="等线" w:ascii="Arial" w:cs="Arial" w:hAnsi="Arial"/>
          <w:b w:val="true"/>
          <w:sz w:val="22"/>
        </w:rPr>
        <w:t>训练集</w:t>
      </w:r>
      <w:r>
        <w:rPr>
          <w:rFonts w:eastAsia="等线" w:ascii="Arial" w:cs="Arial" w:hAnsi="Arial"/>
          <w:sz w:val="22"/>
        </w:rPr>
        <w:t xml:space="preserve">处理；测试集需用训练集的 </w:t>
      </w:r>
      <w:r>
        <w:rPr>
          <w:rFonts w:eastAsia="Consolas" w:ascii="Consolas" w:cs="Consolas" w:hAnsi="Consolas"/>
          <w:sz w:val="22"/>
          <w:shd w:fill="EFF0F1"/>
        </w:rPr>
        <w:t>fit</w:t>
      </w:r>
      <w:r>
        <w:rPr>
          <w:rFonts w:eastAsia="等线" w:ascii="Arial" w:cs="Arial" w:hAnsi="Arial"/>
          <w:sz w:val="22"/>
        </w:rPr>
        <w:t xml:space="preserve"> 结果做 </w:t>
      </w:r>
      <w:r>
        <w:rPr>
          <w:rFonts w:eastAsia="Consolas" w:ascii="Consolas" w:cs="Consolas" w:hAnsi="Consolas"/>
          <w:sz w:val="22"/>
          <w:shd w:fill="EFF0F1"/>
        </w:rPr>
        <w:t>transform</w:t>
      </w:r>
      <w:r>
        <w:rPr>
          <w:rFonts w:eastAsia="等线" w:ascii="Arial" w:cs="Arial" w:hAnsi="Arial"/>
          <w:sz w:val="22"/>
        </w:rPr>
        <w:t>（避免“数据泄露”）。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以上为本次内容的核心知识点总结，涵盖数据预处理、聚类、分类算法及工具使用细节，可作为Python数据分析与机器学习实践的参考。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0534">
    <w:lvl>
      <w:numFmt w:val="bullet"/>
      <w:suff w:val="tab"/>
      <w:lvlText w:val="•"/>
      <w:rPr>
        <w:color w:val="3370ff"/>
      </w:rPr>
    </w:lvl>
  </w:abstractNum>
  <w:abstractNum w:abstractNumId="50535">
    <w:lvl>
      <w:numFmt w:val="bullet"/>
      <w:suff w:val="tab"/>
      <w:lvlText w:val="•"/>
      <w:rPr>
        <w:color w:val="3370ff"/>
      </w:rPr>
    </w:lvl>
  </w:abstractNum>
  <w:abstractNum w:abstractNumId="50536">
    <w:lvl>
      <w:numFmt w:val="bullet"/>
      <w:suff w:val="tab"/>
      <w:lvlText w:val="•"/>
      <w:rPr>
        <w:color w:val="3370ff"/>
      </w:rPr>
    </w:lvl>
  </w:abstractNum>
  <w:abstractNum w:abstractNumId="50537">
    <w:lvl>
      <w:numFmt w:val="bullet"/>
      <w:suff w:val="tab"/>
      <w:lvlText w:val="•"/>
      <w:rPr>
        <w:color w:val="3370ff"/>
      </w:rPr>
    </w:lvl>
  </w:abstractNum>
  <w:abstractNum w:abstractNumId="50538">
    <w:lvl>
      <w:numFmt w:val="bullet"/>
      <w:suff w:val="tab"/>
      <w:lvlText w:val="•"/>
      <w:rPr>
        <w:color w:val="3370ff"/>
      </w:rPr>
    </w:lvl>
  </w:abstractNum>
  <w:abstractNum w:abstractNumId="50539">
    <w:lvl>
      <w:numFmt w:val="bullet"/>
      <w:suff w:val="tab"/>
      <w:lvlText w:val="•"/>
      <w:rPr>
        <w:color w:val="3370ff"/>
      </w:rPr>
    </w:lvl>
  </w:abstractNum>
  <w:abstractNum w:abstractNumId="50540">
    <w:lvl>
      <w:numFmt w:val="bullet"/>
      <w:suff w:val="tab"/>
      <w:lvlText w:val="•"/>
      <w:rPr>
        <w:color w:val="3370ff"/>
      </w:rPr>
    </w:lvl>
  </w:abstractNum>
  <w:abstractNum w:abstractNumId="50541">
    <w:lvl>
      <w:numFmt w:val="bullet"/>
      <w:suff w:val="tab"/>
      <w:lvlText w:val="￮"/>
      <w:rPr>
        <w:color w:val="3370ff"/>
      </w:rPr>
    </w:lvl>
  </w:abstractNum>
  <w:abstractNum w:abstractNumId="50542">
    <w:lvl>
      <w:numFmt w:val="bullet"/>
      <w:suff w:val="tab"/>
      <w:lvlText w:val="￮"/>
      <w:rPr>
        <w:color w:val="3370ff"/>
      </w:rPr>
    </w:lvl>
  </w:abstractNum>
  <w:abstractNum w:abstractNumId="50543">
    <w:lvl>
      <w:numFmt w:val="bullet"/>
      <w:suff w:val="tab"/>
      <w:lvlText w:val="•"/>
      <w:rPr>
        <w:color w:val="3370ff"/>
      </w:rPr>
    </w:lvl>
  </w:abstractNum>
  <w:abstractNum w:abstractNumId="50544">
    <w:lvl>
      <w:numFmt w:val="bullet"/>
      <w:suff w:val="tab"/>
      <w:lvlText w:val="•"/>
      <w:rPr>
        <w:color w:val="3370ff"/>
      </w:rPr>
    </w:lvl>
  </w:abstractNum>
  <w:abstractNum w:abstractNumId="50545">
    <w:lvl>
      <w:numFmt w:val="bullet"/>
      <w:suff w:val="tab"/>
      <w:lvlText w:val="•"/>
      <w:rPr>
        <w:color w:val="3370ff"/>
      </w:rPr>
    </w:lvl>
  </w:abstractNum>
  <w:abstractNum w:abstractNumId="50546">
    <w:lvl>
      <w:numFmt w:val="bullet"/>
      <w:suff w:val="tab"/>
      <w:lvlText w:val="•"/>
      <w:rPr>
        <w:color w:val="3370ff"/>
      </w:rPr>
    </w:lvl>
  </w:abstractNum>
  <w:abstractNum w:abstractNumId="50547">
    <w:lvl>
      <w:numFmt w:val="bullet"/>
      <w:suff w:val="tab"/>
      <w:lvlText w:val="￮"/>
      <w:rPr>
        <w:color w:val="3370ff"/>
      </w:rPr>
    </w:lvl>
  </w:abstractNum>
  <w:abstractNum w:abstractNumId="50548">
    <w:lvl>
      <w:numFmt w:val="bullet"/>
      <w:suff w:val="tab"/>
      <w:lvlText w:val="￮"/>
      <w:rPr>
        <w:color w:val="3370ff"/>
      </w:rPr>
    </w:lvl>
  </w:abstractNum>
  <w:abstractNum w:abstractNumId="50549">
    <w:lvl>
      <w:numFmt w:val="bullet"/>
      <w:suff w:val="tab"/>
      <w:lvlText w:val="•"/>
      <w:rPr>
        <w:color w:val="3370ff"/>
      </w:rPr>
    </w:lvl>
  </w:abstractNum>
  <w:abstractNum w:abstractNumId="50550">
    <w:lvl>
      <w:numFmt w:val="bullet"/>
      <w:suff w:val="tab"/>
      <w:lvlText w:val="•"/>
      <w:rPr>
        <w:color w:val="3370ff"/>
      </w:rPr>
    </w:lvl>
  </w:abstractNum>
  <w:abstractNum w:abstractNumId="50551">
    <w:lvl>
      <w:numFmt w:val="bullet"/>
      <w:suff w:val="tab"/>
      <w:lvlText w:val="•"/>
      <w:rPr>
        <w:color w:val="3370ff"/>
      </w:rPr>
    </w:lvl>
  </w:abstractNum>
  <w:abstractNum w:abstractNumId="50552">
    <w:lvl>
      <w:numFmt w:val="bullet"/>
      <w:suff w:val="tab"/>
      <w:lvlText w:val="•"/>
      <w:rPr>
        <w:color w:val="3370ff"/>
      </w:rPr>
    </w:lvl>
  </w:abstractNum>
  <w:abstractNum w:abstractNumId="50553">
    <w:lvl>
      <w:numFmt w:val="bullet"/>
      <w:suff w:val="tab"/>
      <w:lvlText w:val="•"/>
      <w:rPr>
        <w:color w:val="3370ff"/>
      </w:rPr>
    </w:lvl>
  </w:abstractNum>
  <w:abstractNum w:abstractNumId="50554">
    <w:lvl>
      <w:numFmt w:val="bullet"/>
      <w:suff w:val="tab"/>
      <w:lvlText w:val="•"/>
      <w:rPr>
        <w:color w:val="3370ff"/>
      </w:rPr>
    </w:lvl>
  </w:abstractNum>
  <w:abstractNum w:abstractNumId="50555">
    <w:lvl>
      <w:numFmt w:val="bullet"/>
      <w:suff w:val="tab"/>
      <w:lvlText w:val="•"/>
      <w:rPr>
        <w:color w:val="3370ff"/>
      </w:rPr>
    </w:lvl>
  </w:abstractNum>
  <w:abstractNum w:abstractNumId="50556">
    <w:lvl>
      <w:numFmt w:val="bullet"/>
      <w:suff w:val="tab"/>
      <w:lvlText w:val="•"/>
      <w:rPr>
        <w:color w:val="3370ff"/>
      </w:rPr>
    </w:lvl>
  </w:abstractNum>
  <w:abstractNum w:abstractNumId="50557">
    <w:lvl>
      <w:numFmt w:val="bullet"/>
      <w:suff w:val="tab"/>
      <w:lvlText w:val="•"/>
      <w:rPr>
        <w:color w:val="3370ff"/>
      </w:rPr>
    </w:lvl>
  </w:abstractNum>
  <w:abstractNum w:abstractNumId="50558">
    <w:lvl>
      <w:numFmt w:val="bullet"/>
      <w:suff w:val="tab"/>
      <w:lvlText w:val="•"/>
      <w:rPr>
        <w:color w:val="3370ff"/>
      </w:rPr>
    </w:lvl>
  </w:abstractNum>
  <w:abstractNum w:abstractNumId="50559">
    <w:lvl>
      <w:numFmt w:val="bullet"/>
      <w:suff w:val="tab"/>
      <w:lvlText w:val="•"/>
      <w:rPr>
        <w:color w:val="3370ff"/>
      </w:rPr>
    </w:lvl>
  </w:abstractNum>
  <w:abstractNum w:abstractNumId="50560">
    <w:lvl>
      <w:numFmt w:val="bullet"/>
      <w:suff w:val="tab"/>
      <w:lvlText w:val="•"/>
      <w:rPr>
        <w:color w:val="3370ff"/>
      </w:rPr>
    </w:lvl>
  </w:abstractNum>
  <w:num w:numId="1">
    <w:abstractNumId w:val="50534"/>
  </w:num>
  <w:num w:numId="2">
    <w:abstractNumId w:val="50535"/>
  </w:num>
  <w:num w:numId="3">
    <w:abstractNumId w:val="50536"/>
  </w:num>
  <w:num w:numId="4">
    <w:abstractNumId w:val="50537"/>
  </w:num>
  <w:num w:numId="5">
    <w:abstractNumId w:val="50538"/>
  </w:num>
  <w:num w:numId="6">
    <w:abstractNumId w:val="50539"/>
  </w:num>
  <w:num w:numId="7">
    <w:abstractNumId w:val="50540"/>
  </w:num>
  <w:num w:numId="8">
    <w:abstractNumId w:val="50541"/>
  </w:num>
  <w:num w:numId="9">
    <w:abstractNumId w:val="50542"/>
  </w:num>
  <w:num w:numId="10">
    <w:abstractNumId w:val="50543"/>
  </w:num>
  <w:num w:numId="11">
    <w:abstractNumId w:val="50544"/>
  </w:num>
  <w:num w:numId="12">
    <w:abstractNumId w:val="50545"/>
  </w:num>
  <w:num w:numId="13">
    <w:abstractNumId w:val="50546"/>
  </w:num>
  <w:num w:numId="14">
    <w:abstractNumId w:val="50547"/>
  </w:num>
  <w:num w:numId="15">
    <w:abstractNumId w:val="50548"/>
  </w:num>
  <w:num w:numId="16">
    <w:abstractNumId w:val="50549"/>
  </w:num>
  <w:num w:numId="17">
    <w:abstractNumId w:val="50550"/>
  </w:num>
  <w:num w:numId="18">
    <w:abstractNumId w:val="50551"/>
  </w:num>
  <w:num w:numId="19">
    <w:abstractNumId w:val="50552"/>
  </w:num>
  <w:num w:numId="20">
    <w:abstractNumId w:val="50553"/>
  </w:num>
  <w:num w:numId="21">
    <w:abstractNumId w:val="50554"/>
  </w:num>
  <w:num w:numId="22">
    <w:abstractNumId w:val="50555"/>
  </w:num>
  <w:num w:numId="23">
    <w:abstractNumId w:val="50556"/>
  </w:num>
  <w:num w:numId="24">
    <w:abstractNumId w:val="50557"/>
  </w:num>
  <w:num w:numId="25">
    <w:abstractNumId w:val="50558"/>
  </w:num>
  <w:num w:numId="26">
    <w:abstractNumId w:val="50559"/>
  </w:num>
  <w:num w:numId="27">
    <w:abstractNumId w:val="5056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2025-10-02T13:36:19Z</dcterms:created>
  <dc:creator>Apache POI</dc:creator>
</cp:coreProperties>
</file>