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机器学习核心算法与概念总结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机器学习核心算法与概念总结文档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一、决策树与特征选择指标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决策树是一种</w:t>
      </w:r>
      <w:r>
        <w:rPr>
          <w:rFonts w:eastAsia="等线" w:ascii="Arial" w:cs="Arial" w:hAnsi="Arial"/>
          <w:b w:val="true"/>
          <w:sz w:val="22"/>
        </w:rPr>
        <w:t>可解释性强</w:t>
      </w:r>
      <w:r>
        <w:rPr>
          <w:rFonts w:eastAsia="等线" w:ascii="Arial" w:cs="Arial" w:hAnsi="Arial"/>
          <w:sz w:val="22"/>
        </w:rPr>
        <w:t>的监督学习算法，通过“递归拆分数据”实现分类或回归。核心是“特征选择指标”——用于确定“最优拆分特征”，推动树的构建。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（一）ID3算法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：基于</w:t>
      </w:r>
      <w:r>
        <w:rPr>
          <w:rFonts w:eastAsia="等线" w:ascii="Arial" w:cs="Arial" w:hAnsi="Arial"/>
          <w:b w:val="true"/>
          <w:sz w:val="22"/>
        </w:rPr>
        <w:t>信息增益</w:t>
      </w:r>
      <w:r>
        <w:rPr>
          <w:rFonts w:eastAsia="等线" w:ascii="Arial" w:cs="Arial" w:hAnsi="Arial"/>
          <w:sz w:val="22"/>
        </w:rPr>
        <w:t>选择最优特征，递归构建决策树（仅支持分类任务）。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信息熵（Entropy）</w:t>
      </w:r>
      <w:r>
        <w:rPr>
          <w:rFonts w:eastAsia="等线" w:ascii="Arial" w:cs="Arial" w:hAnsi="Arial"/>
          <w:sz w:val="22"/>
        </w:rPr>
        <w:t>：衡量数据“不确定性”的指标。公式：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/>
        </m:nary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其中 ( p_i ) 是第 ( i ) 类样本在数据集 ( D ) 中的占比；熵值越低，数据越“纯”。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信息增益（Information Gain）</w:t>
      </w:r>
      <w:r>
        <w:rPr>
          <w:rFonts w:eastAsia="等线" w:ascii="Arial" w:cs="Arial" w:hAnsi="Arial"/>
          <w:sz w:val="22"/>
        </w:rPr>
        <w:t>：拆分前的熵与拆分后“条件熵”的差值，衡量特征对“降低不确定性”的贡献。公式：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\text{Gain}(D, A) = H(D) - H(D|A) 
</w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其中 ( H(D|A) ) 是用特征 ( A ) 拆分后的条件熵（加权平均各子集的熵）。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>：偏好“多取值特征”（如“身份证号”这类无意义但取值多的特征易被优先选择）；不支持连续值、缺失值。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（二）信息增益比（Information Gain Ratio）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提出背景</w:t>
      </w:r>
      <w:r>
        <w:rPr>
          <w:rFonts w:eastAsia="等线" w:ascii="Arial" w:cs="Arial" w:hAnsi="Arial"/>
          <w:sz w:val="22"/>
        </w:rPr>
        <w:t>：解决ID3对“多取值特征”的偏好，是</w:t>
      </w:r>
      <w:r>
        <w:rPr>
          <w:rFonts w:eastAsia="等线" w:ascii="Arial" w:cs="Arial" w:hAnsi="Arial"/>
          <w:b w:val="true"/>
          <w:sz w:val="22"/>
        </w:rPr>
        <w:t>C4.5算法</w:t>
      </w:r>
      <w:r>
        <w:rPr>
          <w:rFonts w:eastAsia="等线" w:ascii="Arial" w:cs="Arial" w:hAnsi="Arial"/>
          <w:sz w:val="22"/>
        </w:rPr>
        <w:t>的核心指标。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\text{Gain\_ratio}(D, A) = \frac{\text{Gain}(D, A)}{\text{IV}(A)} 
</w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其中 ( \text{IV}(A) ) 是特征 ( A ) 的</w:t>
      </w:r>
      <w:r>
        <w:rPr>
          <w:rFonts w:eastAsia="等线" w:ascii="Arial" w:cs="Arial" w:hAnsi="Arial"/>
          <w:b w:val="true"/>
          <w:sz w:val="22"/>
        </w:rPr>
        <w:t>固有值</w:t>
      </w:r>
      <w:r>
        <w:rPr>
          <w:rFonts w:eastAsia="等线" w:ascii="Arial" w:cs="Arial" w:hAnsi="Arial"/>
          <w:sz w:val="22"/>
        </w:rPr>
        <w:t>（衡量特征自身取值的分布复杂度）。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特征固有值（Intrinsic Value）</w:t>
      </w:r>
      <w:r>
        <w:rPr>
          <w:rFonts w:eastAsia="等线" w:ascii="Arial" w:cs="Arial" w:hAnsi="Arial"/>
          <w:sz w:val="22"/>
        </w:rPr>
        <w:t>：公式：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\text{IV}(A) = -\sum_{i=1}^{v} \frac{|D_i|}{|D|} \log_2 \frac{|D_i|}{|D|} 
</w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其中 ( v ) 是特征 ( A ) 的取值数量，( D_i ) 是特征 ( A ) 取第 ( i ) 个值的样本子集；固有值越大，特征取值越分散。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（三）Gini系数（Gini Impurity）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：衡量数据集的“纯度”——随机选择一个样本，被误分类到其他类别的概率（是</w:t>
      </w:r>
      <w:r>
        <w:rPr>
          <w:rFonts w:eastAsia="等线" w:ascii="Arial" w:cs="Arial" w:hAnsi="Arial"/>
          <w:b w:val="true"/>
          <w:sz w:val="22"/>
        </w:rPr>
        <w:t>CART算法</w:t>
      </w:r>
      <w:r>
        <w:rPr>
          <w:rFonts w:eastAsia="等线" w:ascii="Arial" w:cs="Arial" w:hAnsi="Arial"/>
          <w:sz w:val="22"/>
        </w:rPr>
        <w:t>的核心指标，支持分类和回归）。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\text{Gini}(D) = 1 - \sum_{i=1}^{k} p_i^2 
</w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其中 ( p_i ) 是第 ( i ) 类样本的占比；Gini系数越小，数据越“纯”。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决策树应用</w:t>
      </w:r>
      <w:r>
        <w:rPr>
          <w:rFonts w:eastAsia="等线" w:ascii="Arial" w:cs="Arial" w:hAnsi="Arial"/>
          <w:sz w:val="22"/>
        </w:rPr>
        <w:t>：选择“拆分后子节点Gini系数加权和最小”的特征，加权和公式：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\text{Gini\_index}(D, A) = \sum_{i=1}^{v} \frac{|D_i|}{|D|} \cdot \text{Gini}(D_i) 
</w:t>
        </m:r>
      </m:oMath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二、异常检测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异常检测旨在识别数据中</w:t>
      </w:r>
      <w:r>
        <w:rPr>
          <w:rFonts w:eastAsia="等线" w:ascii="Arial" w:cs="Arial" w:hAnsi="Arial"/>
          <w:b w:val="true"/>
          <w:sz w:val="22"/>
        </w:rPr>
        <w:t>不符合“正常模式”的样本（异常样本可能是噪声或有意义的特殊事件，如欺诈、故障）。因异常标签稀缺，实际以无监督/半监督</w:t>
      </w:r>
      <w:r>
        <w:rPr>
          <w:rFonts w:eastAsia="等线" w:ascii="Arial" w:cs="Arial" w:hAnsi="Arial"/>
          <w:sz w:val="22"/>
        </w:rPr>
        <w:t>方法为主。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（一）基于高斯分布的异常检测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</w:t>
      </w:r>
      <w:r>
        <w:rPr>
          <w:rFonts w:eastAsia="等线" w:ascii="Arial" w:cs="Arial" w:hAnsi="Arial"/>
          <w:sz w:val="22"/>
        </w:rPr>
        <w:t>：正常样本服从高斯分布，异常样本显著偏离该分布。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多维联合概率密度</w:t>
      </w:r>
      <w:r>
        <w:rPr>
          <w:rFonts w:eastAsia="等线" w:ascii="Arial" w:cs="Arial" w:hAnsi="Arial"/>
          <w:sz w:val="22"/>
        </w:rPr>
        <w:t>：若各维度</w:t>
      </w:r>
      <w:r>
        <w:rPr>
          <w:rFonts w:eastAsia="等线" w:ascii="Arial" w:cs="Arial" w:hAnsi="Arial"/>
          <w:b w:val="true"/>
          <w:sz w:val="22"/>
        </w:rPr>
        <w:t>统计独立</w:t>
      </w:r>
      <w:r>
        <w:rPr>
          <w:rFonts w:eastAsia="等线" w:ascii="Arial" w:cs="Arial" w:hAnsi="Arial"/>
          <w:sz w:val="22"/>
        </w:rPr>
        <w:t>，联合概率密度为“各维度边缘概率密度的乘积”。公式：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p(\boldsymbol{x}) = \prod_{j=1}^{n} p(x_j; \mu_j, \sigma_j^2) = \prod_{j=1}^{n} \frac{1}{\sigma_j \sqrt{2\pi}} e^{-\frac{(x_j - \mu_j)^2}{2\sigma_j^2}} 
</w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其中 ( \mu_j, \sigma_j^2 ) 是第 ( j ) 维的均值、方差；“边缘概率密度”指</w:t>
      </w:r>
      <w:r>
        <w:rPr>
          <w:rFonts w:eastAsia="等线" w:ascii="Arial" w:cs="Arial" w:hAnsi="Arial"/>
          <w:b w:val="true"/>
          <w:sz w:val="22"/>
        </w:rPr>
        <w:t>单个维度</w:t>
      </w:r>
      <w:r>
        <w:rPr>
          <w:rFonts w:eastAsia="等线" w:ascii="Arial" w:cs="Arial" w:hAnsi="Arial"/>
          <w:sz w:val="22"/>
        </w:rPr>
        <w:t>的概率密度。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（二）典型无监督异常检测算法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LOF（局部异常因子）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衡量样本“局部密度”：异常样本的局部密度远低于邻居，LOF值远大于1则为异常。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任意形状分布的数据（如非球形簇）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自编码器（Autoencoder）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用神经网络学习“正常样本的重构模式”，异常样本重构误差（如MSE）极大。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高维数据（如图像、时序数据）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孤立森林（Isolation Forest）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随机划分特征空间“孤立”异常样本：异常样本因数量少、偏离主流，更易被快速孤立。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高维、大规模数据集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（三）评估指标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因数据</w:t>
      </w:r>
      <w:r>
        <w:rPr>
          <w:rFonts w:eastAsia="等线" w:ascii="Arial" w:cs="Arial" w:hAnsi="Arial"/>
          <w:b w:val="true"/>
          <w:sz w:val="22"/>
        </w:rPr>
        <w:t>极度不平衡</w:t>
      </w:r>
      <w:r>
        <w:rPr>
          <w:rFonts w:eastAsia="等线" w:ascii="Arial" w:cs="Arial" w:hAnsi="Arial"/>
          <w:sz w:val="22"/>
        </w:rPr>
        <w:t>（异常样本占比极低），传统“准确率”失效，需用关注“异常识别能力”的指标：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精确率（Precision）：( \text{Precision} = \frac{TP}{TP + FP} )——被预测为异常的样本中，真正异常的比例（控制误检率）。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召回率（Recall）：( \text{Recall} = \frac{TP}{TP + FN} )——真实异常中，被成功检测的比例（控制漏检率）。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F1分数：( \text{F1} = 2 \times \frac{\text{Precision} \times \text{Recall}}{\text{Precision} + \text{Recall}} )——平衡精确率与召回率。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AUC-ROC：ROC曲线下面积——衡量模型“区分正常与异常”的整体能力，越接近1性能越好。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三、主成分分析（PCA）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PCA是</w:t>
      </w:r>
      <w:r>
        <w:rPr>
          <w:rFonts w:eastAsia="等线" w:ascii="Arial" w:cs="Arial" w:hAnsi="Arial"/>
          <w:b w:val="true"/>
          <w:sz w:val="22"/>
        </w:rPr>
        <w:t>无监督降维算法</w:t>
      </w:r>
      <w:r>
        <w:rPr>
          <w:rFonts w:eastAsia="等线" w:ascii="Arial" w:cs="Arial" w:hAnsi="Arial"/>
          <w:sz w:val="22"/>
        </w:rPr>
        <w:t>，通过“线性变换”将高维数据映射到低维空间，同时</w:t>
      </w:r>
      <w:r>
        <w:rPr>
          <w:rFonts w:eastAsia="等线" w:ascii="Arial" w:cs="Arial" w:hAnsi="Arial"/>
          <w:b w:val="true"/>
          <w:sz w:val="22"/>
        </w:rPr>
        <w:t>保留最多的原始信息</w:t>
      </w:r>
      <w:r>
        <w:rPr>
          <w:rFonts w:eastAsia="等线" w:ascii="Arial" w:cs="Arial" w:hAnsi="Arial"/>
          <w:sz w:val="22"/>
        </w:rPr>
        <w:t>（用“方差”衡量信息含量）。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（一）核心思想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找到一组</w:t>
      </w:r>
      <w:r>
        <w:rPr>
          <w:rFonts w:eastAsia="等线" w:ascii="Arial" w:cs="Arial" w:hAnsi="Arial"/>
          <w:b w:val="true"/>
          <w:sz w:val="22"/>
        </w:rPr>
        <w:t>正交的新维度（主成分）</w:t>
      </w:r>
      <w:r>
        <w:rPr>
          <w:rFonts w:eastAsia="等线" w:ascii="Arial" w:cs="Arial" w:hAnsi="Arial"/>
          <w:sz w:val="22"/>
        </w:rPr>
        <w:t>，使数据在这些维度上的“投影方差最大”，且主成分间线性无关（协方差为0）。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（二）数学推导步骤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数据中心化</w:t>
      </w:r>
      <w:r>
        <w:rPr>
          <w:rFonts w:eastAsia="等线" w:ascii="Arial" w:cs="Arial" w:hAnsi="Arial"/>
          <w:sz w:val="22"/>
        </w:rPr>
        <w:t>：对每个特征减去均值，得到 ( \boldsymbol{\tilde{x}}_i = \boldsymbol{x}_i - \boldsymbol{\mu} )（( \boldsymbol{\mu} ) 为均值向量）。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协方差矩阵</w:t>
      </w:r>
      <w:r>
        <w:rPr>
          <w:rFonts w:eastAsia="等线" w:ascii="Arial" w:cs="Arial" w:hAnsi="Arial"/>
          <w:sz w:val="22"/>
        </w:rPr>
        <w:t>：计算中心化后数据的协方差矩阵：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\boldsymbol{\Sigma} = \frac{1}{n} \sum_{i=1}^{n} \boldsymbol{\tilde{x}}_i \boldsymbol{\tilde{x}}_i^T 
</w:t>
        </m:r>
      </m:oMath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特征值分解</w:t>
      </w:r>
      <w:r>
        <w:rPr>
          <w:rFonts w:eastAsia="等线" w:ascii="Arial" w:cs="Arial" w:hAnsi="Arial"/>
          <w:sz w:val="22"/>
        </w:rPr>
        <w:t>：对协方差矩阵 ( \boldsymbol{\Sigma} ) 做特征值分解，得到</w:t>
      </w:r>
      <w:r>
        <w:rPr>
          <w:rFonts w:eastAsia="等线" w:ascii="Arial" w:cs="Arial" w:hAnsi="Arial"/>
          <w:b w:val="true"/>
          <w:sz w:val="22"/>
        </w:rPr>
        <w:t>特征值</w:t>
      </w:r>
      <w:r>
        <w:rPr>
          <w:rFonts w:eastAsia="等线" w:ascii="Arial" w:cs="Arial" w:hAnsi="Arial"/>
          <w:sz w:val="22"/>
        </w:rPr>
        <w:t xml:space="preserve"> ( \lambda_i ) 和</w:t>
      </w:r>
      <w:r>
        <w:rPr>
          <w:rFonts w:eastAsia="等线" w:ascii="Arial" w:cs="Arial" w:hAnsi="Arial"/>
          <w:b w:val="true"/>
          <w:sz w:val="22"/>
        </w:rPr>
        <w:t>特征向量</w:t>
      </w:r>
      <w:r>
        <w:rPr>
          <w:rFonts w:eastAsia="等线" w:ascii="Arial" w:cs="Arial" w:hAnsi="Arial"/>
          <w:sz w:val="22"/>
        </w:rPr>
        <w:t xml:space="preserve"> ( \boldsymbol{u}_i )；特征值越大，对应主成分的“方差越大”（越重要）。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选择主成分</w:t>
      </w:r>
      <w:r>
        <w:rPr>
          <w:rFonts w:eastAsia="等线" w:ascii="Arial" w:cs="Arial" w:hAnsi="Arial"/>
          <w:sz w:val="22"/>
        </w:rPr>
        <w:t>：选取“前 ( k ) 个最大特征值”对应的特征向量，组成</w:t>
      </w:r>
      <w:r>
        <w:rPr>
          <w:rFonts w:eastAsia="等线" w:ascii="Arial" w:cs="Arial" w:hAnsi="Arial"/>
          <w:b w:val="true"/>
          <w:sz w:val="22"/>
        </w:rPr>
        <w:t>投影矩阵</w:t>
      </w:r>
      <w:r>
        <w:rPr>
          <w:rFonts w:eastAsia="等线" w:ascii="Arial" w:cs="Arial" w:hAnsi="Arial"/>
          <w:sz w:val="22"/>
        </w:rPr>
        <w:t xml:space="preserve"> ( \boldsymbol{W}_k )（( k \ll d )，( d ) 为原始维度）。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降维投影</w:t>
      </w:r>
      <w:r>
        <w:rPr>
          <w:rFonts w:eastAsia="等线" w:ascii="Arial" w:cs="Arial" w:hAnsi="Arial"/>
          <w:sz w:val="22"/>
        </w:rPr>
        <w:t>：中心化后的数据 ( \boldsymbol{\tilde{X}} ) 与投影矩阵相乘，得到降维后的数据：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\boldsymbol{Y} = \boldsymbol{\tilde{X}} \boldsymbol{W}_k 
</w:t>
        </m:r>
      </m:oMath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（三）优缺点与扩展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：有效降维去冗余、可解释性强、计算稳定；适用于数据可视化、特征提取、噪声过滤等。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：线性假设（对非线性数据效果差）、对异常敏感、依赖量纲（需标准化）。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扩展算法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核PCA：通过“核函数”将数据映射到高维空间后做PCA，处理</w:t>
      </w:r>
      <w:r>
        <w:rPr>
          <w:rFonts w:eastAsia="等线" w:ascii="Arial" w:cs="Arial" w:hAnsi="Arial"/>
          <w:b w:val="true"/>
          <w:sz w:val="22"/>
        </w:rPr>
        <w:t>非线性数据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增量PCA：迭代更新方式处理</w:t>
      </w:r>
      <w:r>
        <w:rPr>
          <w:rFonts w:eastAsia="等线" w:ascii="Arial" w:cs="Arial" w:hAnsi="Arial"/>
          <w:b w:val="true"/>
          <w:sz w:val="22"/>
        </w:rPr>
        <w:t>大规模数据</w:t>
      </w:r>
      <w:r>
        <w:rPr>
          <w:rFonts w:eastAsia="等线" w:ascii="Arial" w:cs="Arial" w:hAnsi="Arial"/>
          <w:sz w:val="22"/>
        </w:rPr>
        <w:t>（无需一次性加载全量数据）。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稀疏PCA：通过L1正则化强制主成分仅包含少数特征，</w:t>
      </w:r>
      <w:r>
        <w:rPr>
          <w:rFonts w:eastAsia="等线" w:ascii="Arial" w:cs="Arial" w:hAnsi="Arial"/>
          <w:b w:val="true"/>
          <w:sz w:val="22"/>
        </w:rPr>
        <w:t>提升解释性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以上内容涵盖了决策树、异常检测、PCA的核心原理、数学公式与应用场景，可作为机器学习基础理论的总结参考。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058">
    <w:lvl>
      <w:numFmt w:val="bullet"/>
      <w:suff w:val="tab"/>
      <w:lvlText w:val="•"/>
      <w:rPr>
        <w:color w:val="3370ff"/>
      </w:rPr>
    </w:lvl>
  </w:abstractNum>
  <w:abstractNum w:abstractNumId="159059">
    <w:lvl>
      <w:numFmt w:val="bullet"/>
      <w:suff w:val="tab"/>
      <w:lvlText w:val="•"/>
      <w:rPr>
        <w:color w:val="3370ff"/>
      </w:rPr>
    </w:lvl>
  </w:abstractNum>
  <w:abstractNum w:abstractNumId="159060">
    <w:lvl>
      <w:numFmt w:val="bullet"/>
      <w:suff w:val="tab"/>
      <w:lvlText w:val="•"/>
      <w:rPr>
        <w:color w:val="3370ff"/>
      </w:rPr>
    </w:lvl>
  </w:abstractNum>
  <w:abstractNum w:abstractNumId="159061">
    <w:lvl>
      <w:numFmt w:val="bullet"/>
      <w:suff w:val="tab"/>
      <w:lvlText w:val="•"/>
      <w:rPr>
        <w:color w:val="3370ff"/>
      </w:rPr>
    </w:lvl>
  </w:abstractNum>
  <w:abstractNum w:abstractNumId="159062">
    <w:lvl>
      <w:numFmt w:val="bullet"/>
      <w:suff w:val="tab"/>
      <w:lvlText w:val="•"/>
      <w:rPr>
        <w:color w:val="3370ff"/>
      </w:rPr>
    </w:lvl>
  </w:abstractNum>
  <w:abstractNum w:abstractNumId="159063">
    <w:lvl>
      <w:numFmt w:val="bullet"/>
      <w:suff w:val="tab"/>
      <w:lvlText w:val="•"/>
      <w:rPr>
        <w:color w:val="3370ff"/>
      </w:rPr>
    </w:lvl>
  </w:abstractNum>
  <w:abstractNum w:abstractNumId="159064">
    <w:lvl>
      <w:numFmt w:val="bullet"/>
      <w:suff w:val="tab"/>
      <w:lvlText w:val="•"/>
      <w:rPr>
        <w:color w:val="3370ff"/>
      </w:rPr>
    </w:lvl>
  </w:abstractNum>
  <w:abstractNum w:abstractNumId="159065">
    <w:lvl>
      <w:numFmt w:val="bullet"/>
      <w:suff w:val="tab"/>
      <w:lvlText w:val="•"/>
      <w:rPr>
        <w:color w:val="3370ff"/>
      </w:rPr>
    </w:lvl>
  </w:abstractNum>
  <w:abstractNum w:abstractNumId="159066">
    <w:lvl>
      <w:numFmt w:val="bullet"/>
      <w:suff w:val="tab"/>
      <w:lvlText w:val="•"/>
      <w:rPr>
        <w:color w:val="3370ff"/>
      </w:rPr>
    </w:lvl>
  </w:abstractNum>
  <w:abstractNum w:abstractNumId="159067">
    <w:lvl>
      <w:numFmt w:val="bullet"/>
      <w:suff w:val="tab"/>
      <w:lvlText w:val="•"/>
      <w:rPr>
        <w:color w:val="3370ff"/>
      </w:rPr>
    </w:lvl>
  </w:abstractNum>
  <w:abstractNum w:abstractNumId="159068">
    <w:lvl>
      <w:numFmt w:val="bullet"/>
      <w:suff w:val="tab"/>
      <w:lvlText w:val="•"/>
      <w:rPr>
        <w:color w:val="3370ff"/>
      </w:rPr>
    </w:lvl>
  </w:abstractNum>
  <w:abstractNum w:abstractNumId="159069">
    <w:lvl>
      <w:numFmt w:val="bullet"/>
      <w:suff w:val="tab"/>
      <w:lvlText w:val="•"/>
      <w:rPr>
        <w:color w:val="3370ff"/>
      </w:rPr>
    </w:lvl>
  </w:abstractNum>
  <w:abstractNum w:abstractNumId="159070">
    <w:lvl>
      <w:numFmt w:val="bullet"/>
      <w:suff w:val="tab"/>
      <w:lvlText w:val="•"/>
      <w:rPr>
        <w:color w:val="3370ff"/>
      </w:rPr>
    </w:lvl>
  </w:abstractNum>
  <w:abstractNum w:abstractNumId="159071">
    <w:lvl>
      <w:numFmt w:val="bullet"/>
      <w:suff w:val="tab"/>
      <w:lvlText w:val="•"/>
      <w:rPr>
        <w:color w:val="3370ff"/>
      </w:rPr>
    </w:lvl>
  </w:abstractNum>
  <w:abstractNum w:abstractNumId="159072">
    <w:lvl>
      <w:numFmt w:val="bullet"/>
      <w:suff w:val="tab"/>
      <w:lvlText w:val="•"/>
      <w:rPr>
        <w:color w:val="3370ff"/>
      </w:rPr>
    </w:lvl>
  </w:abstractNum>
  <w:abstractNum w:abstractNumId="159073">
    <w:lvl>
      <w:numFmt w:val="bullet"/>
      <w:suff w:val="tab"/>
      <w:lvlText w:val="•"/>
      <w:rPr>
        <w:color w:val="3370ff"/>
      </w:rPr>
    </w:lvl>
  </w:abstractNum>
  <w:abstractNum w:abstractNumId="159074">
    <w:lvl>
      <w:start w:val="1"/>
      <w:numFmt w:val="decimal"/>
      <w:suff w:val="tab"/>
      <w:lvlText w:val="%1."/>
      <w:rPr>
        <w:color w:val="3370ff"/>
      </w:rPr>
    </w:lvl>
  </w:abstractNum>
  <w:abstractNum w:abstractNumId="159075">
    <w:lvl>
      <w:start w:val="2"/>
      <w:numFmt w:val="decimal"/>
      <w:suff w:val="tab"/>
      <w:lvlText w:val="%1."/>
      <w:rPr>
        <w:color w:val="3370ff"/>
      </w:rPr>
    </w:lvl>
  </w:abstractNum>
  <w:abstractNum w:abstractNumId="159076">
    <w:lvl>
      <w:start w:val="3"/>
      <w:numFmt w:val="decimal"/>
      <w:suff w:val="tab"/>
      <w:lvlText w:val="%1."/>
      <w:rPr>
        <w:color w:val="3370ff"/>
      </w:rPr>
    </w:lvl>
  </w:abstractNum>
  <w:abstractNum w:abstractNumId="159077">
    <w:lvl>
      <w:start w:val="4"/>
      <w:numFmt w:val="decimal"/>
      <w:suff w:val="tab"/>
      <w:lvlText w:val="%1."/>
      <w:rPr>
        <w:color w:val="3370ff"/>
      </w:rPr>
    </w:lvl>
  </w:abstractNum>
  <w:abstractNum w:abstractNumId="159078">
    <w:lvl>
      <w:start w:val="5"/>
      <w:numFmt w:val="decimal"/>
      <w:suff w:val="tab"/>
      <w:lvlText w:val="%1."/>
      <w:rPr>
        <w:color w:val="3370ff"/>
      </w:rPr>
    </w:lvl>
  </w:abstractNum>
  <w:abstractNum w:abstractNumId="159079">
    <w:lvl>
      <w:numFmt w:val="bullet"/>
      <w:suff w:val="tab"/>
      <w:lvlText w:val="•"/>
      <w:rPr>
        <w:color w:val="3370ff"/>
      </w:rPr>
    </w:lvl>
  </w:abstractNum>
  <w:abstractNum w:abstractNumId="159080">
    <w:lvl>
      <w:numFmt w:val="bullet"/>
      <w:suff w:val="tab"/>
      <w:lvlText w:val="•"/>
      <w:rPr>
        <w:color w:val="3370ff"/>
      </w:rPr>
    </w:lvl>
  </w:abstractNum>
  <w:abstractNum w:abstractNumId="159081">
    <w:lvl>
      <w:numFmt w:val="bullet"/>
      <w:suff w:val="tab"/>
      <w:lvlText w:val="•"/>
      <w:rPr>
        <w:color w:val="3370ff"/>
      </w:rPr>
    </w:lvl>
  </w:abstractNum>
  <w:abstractNum w:abstractNumId="159082">
    <w:lvl>
      <w:numFmt w:val="bullet"/>
      <w:suff w:val="tab"/>
      <w:lvlText w:val="￮"/>
      <w:rPr>
        <w:color w:val="3370ff"/>
      </w:rPr>
    </w:lvl>
  </w:abstractNum>
  <w:abstractNum w:abstractNumId="159083">
    <w:lvl>
      <w:numFmt w:val="bullet"/>
      <w:suff w:val="tab"/>
      <w:lvlText w:val="￮"/>
      <w:rPr>
        <w:color w:val="3370ff"/>
      </w:rPr>
    </w:lvl>
  </w:abstractNum>
  <w:abstractNum w:abstractNumId="159084">
    <w:lvl>
      <w:numFmt w:val="bullet"/>
      <w:suff w:val="tab"/>
      <w:lvlText w:val="￮"/>
      <w:rPr>
        <w:color w:val="3370ff"/>
      </w:rPr>
    </w:lvl>
  </w:abstractNum>
  <w:num w:numId="1">
    <w:abstractNumId w:val="159058"/>
  </w:num>
  <w:num w:numId="2">
    <w:abstractNumId w:val="159059"/>
  </w:num>
  <w:num w:numId="3">
    <w:abstractNumId w:val="159060"/>
  </w:num>
  <w:num w:numId="4">
    <w:abstractNumId w:val="159061"/>
  </w:num>
  <w:num w:numId="5">
    <w:abstractNumId w:val="159062"/>
  </w:num>
  <w:num w:numId="6">
    <w:abstractNumId w:val="159063"/>
  </w:num>
  <w:num w:numId="7">
    <w:abstractNumId w:val="159064"/>
  </w:num>
  <w:num w:numId="8">
    <w:abstractNumId w:val="159065"/>
  </w:num>
  <w:num w:numId="9">
    <w:abstractNumId w:val="159066"/>
  </w:num>
  <w:num w:numId="10">
    <w:abstractNumId w:val="159067"/>
  </w:num>
  <w:num w:numId="11">
    <w:abstractNumId w:val="159068"/>
  </w:num>
  <w:num w:numId="12">
    <w:abstractNumId w:val="159069"/>
  </w:num>
  <w:num w:numId="13">
    <w:abstractNumId w:val="159070"/>
  </w:num>
  <w:num w:numId="14">
    <w:abstractNumId w:val="159071"/>
  </w:num>
  <w:num w:numId="15">
    <w:abstractNumId w:val="159072"/>
  </w:num>
  <w:num w:numId="16">
    <w:abstractNumId w:val="159073"/>
  </w:num>
  <w:num w:numId="17">
    <w:abstractNumId w:val="159074"/>
  </w:num>
  <w:num w:numId="18">
    <w:abstractNumId w:val="159075"/>
  </w:num>
  <w:num w:numId="19">
    <w:abstractNumId w:val="159076"/>
  </w:num>
  <w:num w:numId="20">
    <w:abstractNumId w:val="159077"/>
  </w:num>
  <w:num w:numId="21">
    <w:abstractNumId w:val="159078"/>
  </w:num>
  <w:num w:numId="22">
    <w:abstractNumId w:val="159079"/>
  </w:num>
  <w:num w:numId="23">
    <w:abstractNumId w:val="159080"/>
  </w:num>
  <w:num w:numId="24">
    <w:abstractNumId w:val="159081"/>
  </w:num>
  <w:num w:numId="25">
    <w:abstractNumId w:val="159082"/>
  </w:num>
  <w:num w:numId="26">
    <w:abstractNumId w:val="159083"/>
  </w:num>
  <w:num w:numId="27">
    <w:abstractNumId w:val="1590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2025-10-03T14:22:46Z</dcterms:created>
  <dc:creator>Apache POI</dc:creator>
</cp:coreProperties>
</file>