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机器学习基础工具与方法总结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机器学习基础工具与方法知识点总结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一、决策树分类器（</w:t>
      </w:r>
      <w:r>
        <w:rPr>
          <w:rFonts w:eastAsia="Consolas" w:ascii="Consolas" w:cs="Consolas" w:hAnsi="Consolas"/>
          <w:b w:val="true"/>
          <w:sz w:val="32"/>
          <w:shd w:fill="EFF0F1"/>
        </w:rPr>
        <w:t>DecisionTreeClassifier</w:t>
      </w:r>
      <w:r>
        <w:rPr>
          <w:rFonts w:eastAsia="等线" w:ascii="Arial" w:cs="Arial" w:hAnsi="Arial"/>
          <w:b w:val="true"/>
          <w:sz w:val="32"/>
        </w:rPr>
        <w:t>）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（一）核心参数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criterion</w:t>
      </w:r>
      <w:r>
        <w:rPr>
          <w:rFonts w:eastAsia="等线" w:ascii="Arial" w:cs="Arial" w:hAnsi="Arial"/>
          <w:sz w:val="22"/>
        </w:rPr>
        <w:t xml:space="preserve">：节点分裂的“不纯度度量标准”，可选 </w:t>
      </w:r>
      <w:r>
        <w:rPr>
          <w:rFonts w:eastAsia="Consolas" w:ascii="Consolas" w:cs="Consolas" w:hAnsi="Consolas"/>
          <w:sz w:val="22"/>
          <w:shd w:fill="EFF0F1"/>
        </w:rPr>
        <w:t>'entropy'</w:t>
      </w:r>
      <w:r>
        <w:rPr>
          <w:rFonts w:eastAsia="等线" w:ascii="Arial" w:cs="Arial" w:hAnsi="Arial"/>
          <w:sz w:val="22"/>
        </w:rPr>
        <w:t xml:space="preserve">（信息熵，类似ID3算法的“信息增益”）或 </w:t>
      </w:r>
      <w:r>
        <w:rPr>
          <w:rFonts w:eastAsia="Consolas" w:ascii="Consolas" w:cs="Consolas" w:hAnsi="Consolas"/>
          <w:sz w:val="22"/>
          <w:shd w:fill="EFF0F1"/>
        </w:rPr>
        <w:t>'gini'</w:t>
      </w:r>
      <w:r>
        <w:rPr>
          <w:rFonts w:eastAsia="等线" w:ascii="Arial" w:cs="Arial" w:hAnsi="Arial"/>
          <w:sz w:val="22"/>
        </w:rPr>
        <w:t>（基尼系数，默认）。</w:t>
      </w:r>
      <w:r>
        <w:rPr>
          <w:rFonts w:eastAsia="等线" w:ascii="Arial" w:cs="Arial" w:hAnsi="Arial"/>
          <w:i w:val="true"/>
          <w:sz w:val="22"/>
        </w:rPr>
        <w:t>注意</w:t>
      </w:r>
      <w:r>
        <w:rPr>
          <w:rFonts w:eastAsia="等线" w:ascii="Arial" w:cs="Arial" w:hAnsi="Arial"/>
          <w:sz w:val="22"/>
        </w:rPr>
        <w:t xml:space="preserve">：scikit-learn 决策树基于 </w:t>
      </w:r>
      <w:r>
        <w:rPr>
          <w:rFonts w:eastAsia="等线" w:ascii="Arial" w:cs="Arial" w:hAnsi="Arial"/>
          <w:b w:val="true"/>
          <w:sz w:val="22"/>
        </w:rPr>
        <w:t>CART算法</w:t>
      </w:r>
      <w:r>
        <w:rPr>
          <w:rFonts w:eastAsia="等线" w:ascii="Arial" w:cs="Arial" w:hAnsi="Arial"/>
          <w:sz w:val="22"/>
        </w:rPr>
        <w:t>，不直接支持C4.5的“信息增益比”。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min_samples_leaf</w:t>
      </w:r>
      <w:r>
        <w:rPr>
          <w:rFonts w:eastAsia="等线" w:ascii="Arial" w:cs="Arial" w:hAnsi="Arial"/>
          <w:sz w:val="22"/>
        </w:rPr>
        <w:t>：叶子节点的</w:t>
      </w:r>
      <w:r>
        <w:rPr>
          <w:rFonts w:eastAsia="等线" w:ascii="Arial" w:cs="Arial" w:hAnsi="Arial"/>
          <w:b w:val="true"/>
          <w:sz w:val="22"/>
        </w:rPr>
        <w:t>最小样本数</w:t>
      </w:r>
      <w:r>
        <w:rPr>
          <w:rFonts w:eastAsia="等线" w:ascii="Arial" w:cs="Arial" w:hAnsi="Arial"/>
          <w:sz w:val="22"/>
        </w:rPr>
        <w:t>（分裂后子节点样本数需 ≥ 该值，防止过拟合）。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max_depth</w:t>
      </w:r>
      <w:r>
        <w:rPr>
          <w:rFonts w:eastAsia="等线" w:ascii="Arial" w:cs="Arial" w:hAnsi="Arial"/>
          <w:sz w:val="22"/>
        </w:rPr>
        <w:t>：树的</w:t>
      </w:r>
      <w:r>
        <w:rPr>
          <w:rFonts w:eastAsia="等线" w:ascii="Arial" w:cs="Arial" w:hAnsi="Arial"/>
          <w:b w:val="true"/>
          <w:sz w:val="22"/>
        </w:rPr>
        <w:t>最大深度</w:t>
      </w:r>
      <w:r>
        <w:rPr>
          <w:rFonts w:eastAsia="等线" w:ascii="Arial" w:cs="Arial" w:hAnsi="Arial"/>
          <w:sz w:val="22"/>
        </w:rPr>
        <w:t>（限制树的复杂度，避免过拟合）。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min_samples_split</w:t>
      </w:r>
      <w:r>
        <w:rPr>
          <w:rFonts w:eastAsia="等线" w:ascii="Arial" w:cs="Arial" w:hAnsi="Arial"/>
          <w:sz w:val="22"/>
        </w:rPr>
        <w:t>：节点分裂所需的</w:t>
      </w:r>
      <w:r>
        <w:rPr>
          <w:rFonts w:eastAsia="等线" w:ascii="Arial" w:cs="Arial" w:hAnsi="Arial"/>
          <w:b w:val="true"/>
          <w:sz w:val="22"/>
        </w:rPr>
        <w:t>最小样本数</w:t>
      </w:r>
      <w:r>
        <w:rPr>
          <w:rFonts w:eastAsia="等线" w:ascii="Arial" w:cs="Arial" w:hAnsi="Arial"/>
          <w:sz w:val="22"/>
        </w:rPr>
        <w:t>（节点样本数 ≥ 该值才会尝试分裂）。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max_features</w:t>
      </w:r>
      <w:r>
        <w:rPr>
          <w:rFonts w:eastAsia="等线" w:ascii="Arial" w:cs="Arial" w:hAnsi="Arial"/>
          <w:sz w:val="22"/>
        </w:rPr>
        <w:t>：分裂时考虑的</w:t>
      </w:r>
      <w:r>
        <w:rPr>
          <w:rFonts w:eastAsia="等线" w:ascii="Arial" w:cs="Arial" w:hAnsi="Arial"/>
          <w:b w:val="true"/>
          <w:sz w:val="22"/>
        </w:rPr>
        <w:t>最大特征数</w:t>
      </w:r>
      <w:r>
        <w:rPr>
          <w:rFonts w:eastAsia="等线" w:ascii="Arial" w:cs="Arial" w:hAnsi="Arial"/>
          <w:sz w:val="22"/>
        </w:rPr>
        <w:t xml:space="preserve">（控制随机性、提升泛化能力，如 </w:t>
      </w:r>
      <w:r>
        <w:rPr>
          <w:rFonts w:eastAsia="Consolas" w:ascii="Consolas" w:cs="Consolas" w:hAnsi="Consolas"/>
          <w:sz w:val="22"/>
          <w:shd w:fill="EFF0F1"/>
        </w:rPr>
        <w:t>'sqrt'</w:t>
      </w:r>
      <w:r>
        <w:rPr>
          <w:rFonts w:eastAsia="等线" w:ascii="Arial" w:cs="Arial" w:hAnsi="Arial"/>
          <w:sz w:val="22"/>
        </w:rPr>
        <w:t xml:space="preserve"> 表示取“特征数的平方根”）。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class_weight</w:t>
      </w:r>
      <w:r>
        <w:rPr>
          <w:rFonts w:eastAsia="等线" w:ascii="Arial" w:cs="Arial" w:hAnsi="Arial"/>
          <w:sz w:val="22"/>
        </w:rPr>
        <w:t xml:space="preserve">：类别权重（解决“类别不平衡”问题，可选 </w:t>
      </w:r>
      <w:r>
        <w:rPr>
          <w:rFonts w:eastAsia="Consolas" w:ascii="Consolas" w:cs="Consolas" w:hAnsi="Consolas"/>
          <w:sz w:val="22"/>
          <w:shd w:fill="EFF0F1"/>
        </w:rPr>
        <w:t>'balanced'</w:t>
      </w:r>
      <w:r>
        <w:rPr>
          <w:rFonts w:eastAsia="等线" w:ascii="Arial" w:cs="Arial" w:hAnsi="Arial"/>
          <w:sz w:val="22"/>
        </w:rPr>
        <w:t xml:space="preserve"> 或自定义权重字典）。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（二）决策树可视化（</w:t>
      </w:r>
      <w:r>
        <w:rPr>
          <w:rFonts w:eastAsia="Consolas" w:ascii="Consolas" w:cs="Consolas" w:hAnsi="Consolas"/>
          <w:b w:val="true"/>
          <w:sz w:val="30"/>
          <w:shd w:fill="EFF0F1"/>
        </w:rPr>
        <w:t>tree.plot_tree</w:t>
      </w:r>
      <w:r>
        <w:rPr>
          <w:rFonts w:eastAsia="等线" w:ascii="Arial" w:cs="Arial" w:hAnsi="Arial"/>
          <w:b w:val="true"/>
          <w:sz w:val="30"/>
        </w:rPr>
        <w:t>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sklearn.tree.plot_tree</w:t>
      </w:r>
      <w:r>
        <w:rPr>
          <w:rFonts w:eastAsia="等线" w:ascii="Arial" w:cs="Arial" w:hAnsi="Arial"/>
          <w:sz w:val="22"/>
        </w:rPr>
        <w:t xml:space="preserve"> 可视化决策树结构，关键参数：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filled=True</w:t>
      </w:r>
      <w:r>
        <w:rPr>
          <w:rFonts w:eastAsia="等线" w:ascii="Arial" w:cs="Arial" w:hAnsi="Arial"/>
          <w:sz w:val="22"/>
        </w:rPr>
        <w:t>：为节点填充颜色（颜色深浅反映节点“不纯度”，纯度越高颜色越深）。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feature_names</w:t>
      </w:r>
      <w:r>
        <w:rPr>
          <w:rFonts w:eastAsia="等线" w:ascii="Arial" w:cs="Arial" w:hAnsi="Arial"/>
          <w:b w:val="true"/>
          <w:sz w:val="22"/>
        </w:rPr>
        <w:t>/</w:t>
      </w:r>
      <w:r>
        <w:rPr>
          <w:rFonts w:eastAsia="Consolas" w:ascii="Consolas" w:cs="Consolas" w:hAnsi="Consolas"/>
          <w:b w:val="true"/>
          <w:sz w:val="22"/>
          <w:shd w:fill="EFF0F1"/>
        </w:rPr>
        <w:t>class_names</w:t>
      </w:r>
      <w:r>
        <w:rPr>
          <w:rFonts w:eastAsia="等线" w:ascii="Arial" w:cs="Arial" w:hAnsi="Arial"/>
          <w:sz w:val="22"/>
        </w:rPr>
        <w:t>：指定</w:t>
      </w:r>
      <w:r>
        <w:rPr>
          <w:rFonts w:eastAsia="等线" w:ascii="Arial" w:cs="Arial" w:hAnsi="Arial"/>
          <w:b w:val="true"/>
          <w:sz w:val="22"/>
        </w:rPr>
        <w:t>特征名称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类别名称</w:t>
      </w:r>
      <w:r>
        <w:rPr>
          <w:rFonts w:eastAsia="等线" w:ascii="Arial" w:cs="Arial" w:hAnsi="Arial"/>
          <w:sz w:val="22"/>
        </w:rPr>
        <w:t>（提升可视化可读性，如鸢尾花数据集的“花萼长度”“setosa”等）。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max_depth</w:t>
      </w:r>
      <w:r>
        <w:rPr>
          <w:rFonts w:eastAsia="等线" w:ascii="Arial" w:cs="Arial" w:hAnsi="Arial"/>
          <w:sz w:val="22"/>
        </w:rPr>
        <w:t>：限制显示的树深度（简化复杂树的可视化，聚焦关键分裂逻辑）。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fontsize</w:t>
      </w:r>
      <w:r>
        <w:rPr>
          <w:rFonts w:eastAsia="等线" w:ascii="Arial" w:cs="Arial" w:hAnsi="Arial"/>
          <w:sz w:val="22"/>
        </w:rPr>
        <w:t>：调整节点内文字大小（提升密集树结构的可读性）。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二、数据分布与统计分析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（一）直方图与分布可视化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plt.hist(x, bins=100)</w:t>
      </w:r>
      <w:r>
        <w:rPr>
          <w:rFonts w:eastAsia="等线" w:ascii="Arial" w:cs="Arial" w:hAnsi="Arial"/>
          <w:sz w:val="22"/>
        </w:rPr>
        <w:t xml:space="preserve">：绘制数据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的直方图，</w:t>
      </w:r>
      <w:r>
        <w:rPr>
          <w:rFonts w:eastAsia="Consolas" w:ascii="Consolas" w:cs="Consolas" w:hAnsi="Consolas"/>
          <w:sz w:val="22"/>
          <w:shd w:fill="EFF0F1"/>
        </w:rPr>
        <w:t>bins</w:t>
      </w:r>
      <w:r>
        <w:rPr>
          <w:rFonts w:eastAsia="等线" w:ascii="Arial" w:cs="Arial" w:hAnsi="Arial"/>
          <w:sz w:val="22"/>
        </w:rPr>
        <w:t xml:space="preserve"> 指定“区间数量”（值越大，区间划分越细，分布细节越清晰）。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（二）连续序列生成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np.linspace(start, stop, num)</w:t>
      </w:r>
      <w:r>
        <w:rPr>
          <w:rFonts w:eastAsia="等线" w:ascii="Arial" w:cs="Arial" w:hAnsi="Arial"/>
          <w:sz w:val="22"/>
        </w:rPr>
        <w:t xml:space="preserve">：生成 </w:t>
      </w:r>
      <w:r>
        <w:rPr>
          <w:rFonts w:eastAsia="Consolas" w:ascii="Consolas" w:cs="Consolas" w:hAnsi="Consolas"/>
          <w:sz w:val="22"/>
          <w:shd w:fill="EFF0F1"/>
        </w:rPr>
        <w:t>num</w:t>
      </w:r>
      <w:r>
        <w:rPr>
          <w:rFonts w:eastAsia="等线" w:ascii="Arial" w:cs="Arial" w:hAnsi="Arial"/>
          <w:sz w:val="22"/>
        </w:rPr>
        <w:t xml:space="preserve"> 个在 </w:t>
      </w:r>
      <w:r>
        <w:rPr>
          <w:rFonts w:eastAsia="Consolas" w:ascii="Consolas" w:cs="Consolas" w:hAnsi="Consolas"/>
          <w:sz w:val="22"/>
          <w:shd w:fill="EFF0F1"/>
        </w:rPr>
        <w:t>[start, stop]</w:t>
      </w:r>
      <w:r>
        <w:rPr>
          <w:rFonts w:eastAsia="等线" w:ascii="Arial" w:cs="Arial" w:hAnsi="Arial"/>
          <w:sz w:val="22"/>
        </w:rPr>
        <w:t xml:space="preserve"> 区间内</w:t>
      </w:r>
      <w:r>
        <w:rPr>
          <w:rFonts w:eastAsia="等线" w:ascii="Arial" w:cs="Arial" w:hAnsi="Arial"/>
          <w:b w:val="true"/>
          <w:sz w:val="22"/>
        </w:rPr>
        <w:t>均匀分布的点</w:t>
      </w:r>
      <w:r>
        <w:rPr>
          <w:rFonts w:eastAsia="等线" w:ascii="Arial" w:cs="Arial" w:hAnsi="Arial"/>
          <w:sz w:val="22"/>
        </w:rPr>
        <w:t>（用于绘制连续曲线，如正态分布PDF）。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与Python内置 </w:t>
      </w:r>
      <w:r>
        <w:rPr>
          <w:rFonts w:eastAsia="Consolas" w:ascii="Consolas" w:cs="Consolas" w:hAnsi="Consolas"/>
          <w:i w:val="true"/>
          <w:sz w:val="22"/>
          <w:shd w:fill="EFF0F1"/>
        </w:rPr>
        <w:t>range</w:t>
      </w:r>
      <w:r>
        <w:rPr>
          <w:rFonts w:eastAsia="等线" w:ascii="Arial" w:cs="Arial" w:hAnsi="Arial"/>
          <w:i w:val="true"/>
          <w:sz w:val="22"/>
        </w:rPr>
        <w:t xml:space="preserve"> 的区别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range</w:t>
      </w:r>
      <w:r>
        <w:rPr>
          <w:rFonts w:eastAsia="等线" w:ascii="Arial" w:cs="Arial" w:hAnsi="Arial"/>
          <w:sz w:val="22"/>
        </w:rPr>
        <w:t xml:space="preserve"> 生成</w:t>
      </w:r>
      <w:r>
        <w:rPr>
          <w:rFonts w:eastAsia="等线" w:ascii="Arial" w:cs="Arial" w:hAnsi="Arial"/>
          <w:b w:val="true"/>
          <w:sz w:val="22"/>
        </w:rPr>
        <w:t>整数序列</w:t>
      </w:r>
      <w:r>
        <w:rPr>
          <w:rFonts w:eastAsia="等线" w:ascii="Arial" w:cs="Arial" w:hAnsi="Arial"/>
          <w:sz w:val="22"/>
        </w:rPr>
        <w:t>且“不包含终止值”；</w:t>
      </w:r>
      <w:r>
        <w:rPr>
          <w:rFonts w:eastAsia="Consolas" w:ascii="Consolas" w:cs="Consolas" w:hAnsi="Consolas"/>
          <w:sz w:val="22"/>
          <w:shd w:fill="EFF0F1"/>
        </w:rPr>
        <w:t>np.linspace</w:t>
      </w:r>
      <w:r>
        <w:rPr>
          <w:rFonts w:eastAsia="等线" w:ascii="Arial" w:cs="Arial" w:hAnsi="Arial"/>
          <w:sz w:val="22"/>
        </w:rPr>
        <w:t xml:space="preserve"> 生成</w:t>
      </w:r>
      <w:r>
        <w:rPr>
          <w:rFonts w:eastAsia="等线" w:ascii="Arial" w:cs="Arial" w:hAnsi="Arial"/>
          <w:b w:val="true"/>
          <w:sz w:val="22"/>
        </w:rPr>
        <w:t>浮点数序列</w:t>
      </w:r>
      <w:r>
        <w:rPr>
          <w:rFonts w:eastAsia="等线" w:ascii="Arial" w:cs="Arial" w:hAnsi="Arial"/>
          <w:sz w:val="22"/>
        </w:rPr>
        <w:t>且“默认包含终止值”。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（三）正态分布与统计量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均值与标准差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x.mean()</w:t>
      </w:r>
      <w:r>
        <w:rPr>
          <w:rFonts w:eastAsia="等线" w:ascii="Arial" w:cs="Arial" w:hAnsi="Arial"/>
          <w:sz w:val="22"/>
        </w:rPr>
        <w:t xml:space="preserve"> 计算数据均值（反映中心趋势），</w:t>
      </w:r>
      <w:r>
        <w:rPr>
          <w:rFonts w:eastAsia="Consolas" w:ascii="Consolas" w:cs="Consolas" w:hAnsi="Consolas"/>
          <w:sz w:val="22"/>
          <w:shd w:fill="EFF0F1"/>
        </w:rPr>
        <w:t>x.std()</w:t>
      </w:r>
      <w:r>
        <w:rPr>
          <w:rFonts w:eastAsia="等线" w:ascii="Arial" w:cs="Arial" w:hAnsi="Arial"/>
          <w:sz w:val="22"/>
        </w:rPr>
        <w:t xml:space="preserve"> 计算标准差（反映离散程度）。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正态分布PDF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scipy.stats.norm.pdf(x, loc, scale)</w:t>
      </w:r>
      <w:r>
        <w:rPr>
          <w:rFonts w:eastAsia="等线" w:ascii="Arial" w:cs="Arial" w:hAnsi="Arial"/>
          <w:sz w:val="22"/>
        </w:rPr>
        <w:t xml:space="preserve"> 计算“正态分布在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处的概率密度值”（</w:t>
      </w:r>
      <w:r>
        <w:rPr>
          <w:rFonts w:eastAsia="Consolas" w:ascii="Consolas" w:cs="Consolas" w:hAnsi="Consolas"/>
          <w:sz w:val="22"/>
          <w:shd w:fill="EFF0F1"/>
        </w:rPr>
        <w:t>loc</w:t>
      </w:r>
      <w:r>
        <w:rPr>
          <w:rFonts w:eastAsia="等线" w:ascii="Arial" w:cs="Arial" w:hAnsi="Arial"/>
          <w:sz w:val="22"/>
        </w:rPr>
        <w:t xml:space="preserve"> 为均值，</w:t>
      </w:r>
      <w:r>
        <w:rPr>
          <w:rFonts w:eastAsia="Consolas" w:ascii="Consolas" w:cs="Consolas" w:hAnsi="Consolas"/>
          <w:sz w:val="22"/>
          <w:shd w:fill="EFF0F1"/>
        </w:rPr>
        <w:t>scale</w:t>
      </w:r>
      <w:r>
        <w:rPr>
          <w:rFonts w:eastAsia="等线" w:ascii="Arial" w:cs="Arial" w:hAnsi="Arial"/>
          <w:sz w:val="22"/>
        </w:rPr>
        <w:t xml:space="preserve"> 为标准差），用于对比“实际数据分布”与“理论正态分布”。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三、异常检测（</w:t>
      </w:r>
      <w:r>
        <w:rPr>
          <w:rFonts w:eastAsia="Consolas" w:ascii="Consolas" w:cs="Consolas" w:hAnsi="Consolas"/>
          <w:b w:val="true"/>
          <w:sz w:val="32"/>
          <w:shd w:fill="EFF0F1"/>
        </w:rPr>
        <w:t>EllipticEnvelope</w:t>
      </w:r>
      <w:r>
        <w:rPr>
          <w:rFonts w:eastAsia="等线" w:ascii="Arial" w:cs="Arial" w:hAnsi="Arial"/>
          <w:b w:val="true"/>
          <w:sz w:val="32"/>
        </w:rPr>
        <w:t>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（一）核心原理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假设“正常数据服从椭圆分布（如多元正态分布）”，通过</w:t>
      </w:r>
      <w:r>
        <w:rPr>
          <w:rFonts w:eastAsia="等线" w:ascii="Arial" w:cs="Arial" w:hAnsi="Arial"/>
          <w:b w:val="true"/>
          <w:sz w:val="22"/>
        </w:rPr>
        <w:t>马氏距离</w:t>
      </w:r>
      <w:r>
        <w:rPr>
          <w:rFonts w:eastAsia="等线" w:ascii="Arial" w:cs="Arial" w:hAnsi="Arial"/>
          <w:sz w:val="22"/>
        </w:rPr>
        <w:t>判断样本是否在“正常分布边界（椭圆）”内，超出边界则判定为异常。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（二）关键参数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contamination</w:t>
      </w:r>
      <w:r>
        <w:rPr>
          <w:rFonts w:eastAsia="等线" w:ascii="Arial" w:cs="Arial" w:hAnsi="Arial"/>
          <w:sz w:val="22"/>
        </w:rPr>
        <w:t>：预设</w:t>
      </w:r>
      <w:r>
        <w:rPr>
          <w:rFonts w:eastAsia="等线" w:ascii="Arial" w:cs="Arial" w:hAnsi="Arial"/>
          <w:b w:val="true"/>
          <w:sz w:val="22"/>
        </w:rPr>
        <w:t>异常值比例</w:t>
      </w:r>
      <w:r>
        <w:rPr>
          <w:rFonts w:eastAsia="等线" w:ascii="Arial" w:cs="Arial" w:hAnsi="Arial"/>
          <w:sz w:val="22"/>
        </w:rPr>
        <w:t xml:space="preserve">（范围 </w:t>
      </w:r>
      <w:r>
        <w:rPr>
          <w:rFonts w:eastAsia="Consolas" w:ascii="Consolas" w:cs="Consolas" w:hAnsi="Consolas"/>
          <w:sz w:val="22"/>
          <w:shd w:fill="EFF0F1"/>
        </w:rPr>
        <w:t>(0, 0.5)</w:t>
      </w:r>
      <w:r>
        <w:rPr>
          <w:rFonts w:eastAsia="等线" w:ascii="Arial" w:cs="Arial" w:hAnsi="Arial"/>
          <w:sz w:val="22"/>
        </w:rPr>
        <w:t xml:space="preserve">，如 </w:t>
      </w:r>
      <w:r>
        <w:rPr>
          <w:rFonts w:eastAsia="Consolas" w:ascii="Consolas" w:cs="Consolas" w:hAnsi="Consolas"/>
          <w:sz w:val="22"/>
          <w:shd w:fill="EFF0F1"/>
        </w:rPr>
        <w:t>0.02</w:t>
      </w:r>
      <w:r>
        <w:rPr>
          <w:rFonts w:eastAsia="等线" w:ascii="Arial" w:cs="Arial" w:hAnsi="Arial"/>
          <w:sz w:val="22"/>
        </w:rPr>
        <w:t xml:space="preserve"> 表示预计2%的数据为异常），模型据此调整“异常判断阈值”。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covariance_estimator</w:t>
      </w:r>
      <w:r>
        <w:rPr>
          <w:rFonts w:eastAsia="等线" w:ascii="Arial" w:cs="Arial" w:hAnsi="Arial"/>
          <w:sz w:val="22"/>
        </w:rPr>
        <w:t xml:space="preserve">：协方差估计器，默认 </w:t>
      </w:r>
      <w:r>
        <w:rPr>
          <w:rFonts w:eastAsia="Consolas" w:ascii="Consolas" w:cs="Consolas" w:hAnsi="Consolas"/>
          <w:sz w:val="22"/>
          <w:shd w:fill="EFF0F1"/>
        </w:rPr>
        <w:t>MinCovDet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b w:val="true"/>
          <w:sz w:val="22"/>
        </w:rPr>
        <w:t>稳健估计</w:t>
      </w:r>
      <w:r>
        <w:rPr>
          <w:rFonts w:eastAsia="等线" w:ascii="Arial" w:cs="Arial" w:hAnsi="Arial"/>
          <w:sz w:val="22"/>
        </w:rPr>
        <w:t>，对训练数据中的异常值不敏感，适合含异常的场景）。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random_state</w:t>
      </w:r>
      <w:r>
        <w:rPr>
          <w:rFonts w:eastAsia="等线" w:ascii="Arial" w:cs="Arial" w:hAnsi="Arial"/>
          <w:sz w:val="22"/>
        </w:rPr>
        <w:t>：随机种子（保证训练/预测结果可复现）。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（三）常用方法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fit(data)</w:t>
      </w:r>
      <w:r>
        <w:rPr>
          <w:rFonts w:eastAsia="等线" w:ascii="Arial" w:cs="Arial" w:hAnsi="Arial"/>
          <w:sz w:val="22"/>
        </w:rPr>
        <w:t>：训练模型（学习“正常数据”的分布特征）。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predict(data)</w:t>
      </w:r>
      <w:r>
        <w:rPr>
          <w:rFonts w:eastAsia="等线" w:ascii="Arial" w:cs="Arial" w:hAnsi="Arial"/>
          <w:sz w:val="22"/>
        </w:rPr>
        <w:t>：预测样本标签（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表示正常，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 xml:space="preserve"> 表示异常）。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decision_function(data)</w:t>
      </w:r>
      <w:r>
        <w:rPr>
          <w:rFonts w:eastAsia="等线" w:ascii="Arial" w:cs="Arial" w:hAnsi="Arial"/>
          <w:sz w:val="22"/>
        </w:rPr>
        <w:t>：计算“异常分数”（值越小，样本越可能是异常）。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四、数据预处理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（一）标准化（</w:t>
      </w:r>
      <w:r>
        <w:rPr>
          <w:rFonts w:eastAsia="Consolas" w:ascii="Consolas" w:cs="Consolas" w:hAnsi="Consolas"/>
          <w:b w:val="true"/>
          <w:sz w:val="30"/>
          <w:shd w:fill="EFF0F1"/>
        </w:rPr>
        <w:t>StandardScaler</w:t>
      </w:r>
      <w:r>
        <w:rPr>
          <w:rFonts w:eastAsia="等线" w:ascii="Arial" w:cs="Arial" w:hAnsi="Arial"/>
          <w:b w:val="true"/>
          <w:sz w:val="30"/>
        </w:rPr>
        <w:t>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：将特征转换为“均值为0、标准差为1”的分布，消除</w:t>
      </w:r>
      <w:r>
        <w:rPr>
          <w:rFonts w:eastAsia="等线" w:ascii="Arial" w:cs="Arial" w:hAnsi="Arial"/>
          <w:b w:val="true"/>
          <w:sz w:val="22"/>
        </w:rPr>
        <w:t>量纲差异</w:t>
      </w:r>
      <w:r>
        <w:rPr>
          <w:rFonts w:eastAsia="等线" w:ascii="Arial" w:cs="Arial" w:hAnsi="Arial"/>
          <w:sz w:val="22"/>
        </w:rPr>
        <w:t>（如“身高（cm）”和“体重（kg）”）或</w:t>
      </w:r>
      <w:r>
        <w:rPr>
          <w:rFonts w:eastAsia="等线" w:ascii="Arial" w:cs="Arial" w:hAnsi="Arial"/>
          <w:b w:val="true"/>
          <w:sz w:val="22"/>
        </w:rPr>
        <w:t>数值范围差异</w:t>
      </w:r>
      <w:r>
        <w:rPr>
          <w:rFonts w:eastAsia="等线" w:ascii="Arial" w:cs="Arial" w:hAnsi="Arial"/>
          <w:sz w:val="22"/>
        </w:rPr>
        <w:t>对后续模型的影响。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正确使用方式</w:t>
      </w:r>
      <w:r>
        <w:rPr>
          <w:rFonts w:eastAsia="等线" w:ascii="Arial" w:cs="Arial" w:hAnsi="Arial"/>
          <w:sz w:val="22"/>
        </w:rPr>
        <w:t>：需先</w:t>
      </w:r>
      <w:r>
        <w:rPr>
          <w:rFonts w:eastAsia="等线" w:ascii="Arial" w:cs="Arial" w:hAnsi="Arial"/>
          <w:b w:val="true"/>
          <w:sz w:val="22"/>
        </w:rPr>
        <w:t>实例化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StandardScaler</w:t>
      </w:r>
      <w:r>
        <w:rPr>
          <w:rFonts w:eastAsia="等线" w:ascii="Arial" w:cs="Arial" w:hAnsi="Arial"/>
          <w:sz w:val="22"/>
        </w:rPr>
        <w:t xml:space="preserve">，再调用 </w:t>
      </w:r>
      <w:r>
        <w:rPr>
          <w:rFonts w:eastAsia="Consolas" w:ascii="Consolas" w:cs="Consolas" w:hAnsi="Consolas"/>
          <w:sz w:val="22"/>
          <w:shd w:fill="EFF0F1"/>
        </w:rPr>
        <w:t>fit_transform</w:t>
      </w:r>
      <w:r>
        <w:rPr>
          <w:rFonts w:eastAsia="等线" w:ascii="Arial" w:cs="Arial" w:hAnsi="Arial"/>
          <w:sz w:val="22"/>
        </w:rPr>
        <w:t>，示例：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（二）PCA前的标准化必要性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PCA 依赖“</w:t>
      </w:r>
      <w:r>
        <w:rPr>
          <w:rFonts w:eastAsia="等线" w:ascii="Arial" w:cs="Arial" w:hAnsi="Arial"/>
          <w:b w:val="true"/>
          <w:sz w:val="22"/>
        </w:rPr>
        <w:t>方差最大化</w:t>
      </w:r>
      <w:r>
        <w:rPr>
          <w:rFonts w:eastAsia="等线" w:ascii="Arial" w:cs="Arial" w:hAnsi="Arial"/>
          <w:sz w:val="22"/>
        </w:rPr>
        <w:t>”寻找主成分，若特征存在以下情况，</w:t>
      </w:r>
      <w:r>
        <w:rPr>
          <w:rFonts w:eastAsia="等线" w:ascii="Arial" w:cs="Arial" w:hAnsi="Arial"/>
          <w:b w:val="true"/>
          <w:sz w:val="22"/>
        </w:rPr>
        <w:t>必须先标准化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量纲不同（如“年龄（岁）”和“收入（元）”）；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数值范围差异大（如一个特征取值在 </w:t>
      </w:r>
      <w:r>
        <w:rPr>
          <w:rFonts w:eastAsia="Consolas" w:ascii="Consolas" w:cs="Consolas" w:hAnsi="Consolas"/>
          <w:sz w:val="22"/>
          <w:shd w:fill="EFF0F1"/>
        </w:rPr>
        <w:t>[0,10]</w:t>
      </w:r>
      <w:r>
        <w:rPr>
          <w:rFonts w:eastAsia="等线" w:ascii="Arial" w:cs="Arial" w:hAnsi="Arial"/>
          <w:sz w:val="22"/>
        </w:rPr>
        <w:t xml:space="preserve">，另一个在 </w:t>
      </w:r>
      <w:r>
        <w:rPr>
          <w:rFonts w:eastAsia="Consolas" w:ascii="Consolas" w:cs="Consolas" w:hAnsi="Consolas"/>
          <w:sz w:val="22"/>
          <w:shd w:fill="EFF0F1"/>
        </w:rPr>
        <w:t>[0,10000]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例外</w:t>
      </w:r>
      <w:r>
        <w:rPr>
          <w:rFonts w:eastAsia="等线" w:ascii="Arial" w:cs="Arial" w:hAnsi="Arial"/>
          <w:sz w:val="22"/>
        </w:rPr>
        <w:t>：若所有特征“量纲一致且数值范围接近”（如多个传感器的“温度（℃）”），可跳过标准化。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五、主成分分析（PCA）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（一）核心作用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b w:val="true"/>
          <w:sz w:val="22"/>
        </w:rPr>
        <w:t>高维数据</w:t>
      </w:r>
      <w:r>
        <w:rPr>
          <w:rFonts w:eastAsia="等线" w:ascii="Arial" w:cs="Arial" w:hAnsi="Arial"/>
          <w:sz w:val="22"/>
        </w:rPr>
        <w:t>映射到</w:t>
      </w:r>
      <w:r>
        <w:rPr>
          <w:rFonts w:eastAsia="等线" w:ascii="Arial" w:cs="Arial" w:hAnsi="Arial"/>
          <w:b w:val="true"/>
          <w:sz w:val="22"/>
        </w:rPr>
        <w:t>低维“主成分空间”</w:t>
      </w:r>
      <w:r>
        <w:rPr>
          <w:rFonts w:eastAsia="等线" w:ascii="Arial" w:cs="Arial" w:hAnsi="Arial"/>
          <w:sz w:val="22"/>
        </w:rPr>
        <w:t>，保留数据的“主要变异信息”（实现降维的同时，减少信息损失）。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（二）关键参数（</w:t>
      </w:r>
      <w:r>
        <w:rPr>
          <w:rFonts w:eastAsia="Consolas" w:ascii="Consolas" w:cs="Consolas" w:hAnsi="Consolas"/>
          <w:b w:val="true"/>
          <w:sz w:val="30"/>
          <w:shd w:fill="EFF0F1"/>
        </w:rPr>
        <w:t>sklearn.decomposition.PCA</w:t>
      </w:r>
      <w:r>
        <w:rPr>
          <w:rFonts w:eastAsia="等线" w:ascii="Arial" w:cs="Arial" w:hAnsi="Arial"/>
          <w:b w:val="true"/>
          <w:sz w:val="30"/>
        </w:rPr>
        <w:t>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n_components</w:t>
      </w:r>
      <w:r>
        <w:rPr>
          <w:rFonts w:eastAsia="等线" w:ascii="Arial" w:cs="Arial" w:hAnsi="Arial"/>
          <w:sz w:val="22"/>
        </w:rPr>
        <w:t>：主成分数量，支持多种设置方式：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整数（如 </w:t>
      </w:r>
      <w:r>
        <w:rPr>
          <w:rFonts w:eastAsia="Consolas" w:ascii="Consolas" w:cs="Consolas" w:hAnsi="Consolas"/>
          <w:sz w:val="22"/>
          <w:shd w:fill="EFF0F1"/>
        </w:rPr>
        <w:t>n_components=2</w:t>
      </w:r>
      <w:r>
        <w:rPr>
          <w:rFonts w:eastAsia="等线" w:ascii="Arial" w:cs="Arial" w:hAnsi="Arial"/>
          <w:sz w:val="22"/>
        </w:rPr>
        <w:t>，直接降维到2维）；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浮点数（如 </w:t>
      </w:r>
      <w:r>
        <w:rPr>
          <w:rFonts w:eastAsia="Consolas" w:ascii="Consolas" w:cs="Consolas" w:hAnsi="Consolas"/>
          <w:sz w:val="22"/>
          <w:shd w:fill="EFF0F1"/>
        </w:rPr>
        <w:t>n_components=0.95</w:t>
      </w:r>
      <w:r>
        <w:rPr>
          <w:rFonts w:eastAsia="等线" w:ascii="Arial" w:cs="Arial" w:hAnsi="Arial"/>
          <w:sz w:val="22"/>
        </w:rPr>
        <w:t>，保留“累计解释方差 ≥ 95%”的主成分）；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'mle'</w:t>
      </w:r>
      <w:r>
        <w:rPr>
          <w:rFonts w:eastAsia="等线" w:ascii="Arial" w:cs="Arial" w:hAnsi="Arial"/>
          <w:sz w:val="22"/>
        </w:rPr>
        <w:t xml:space="preserve">（通过“最大似然估计”自动选择主成分数量，仅 </w:t>
      </w:r>
      <w:r>
        <w:rPr>
          <w:rFonts w:eastAsia="Consolas" w:ascii="Consolas" w:cs="Consolas" w:hAnsi="Consolas"/>
          <w:sz w:val="22"/>
          <w:shd w:fill="EFF0F1"/>
        </w:rPr>
        <w:t>svd_solver='full'</w:t>
      </w:r>
      <w:r>
        <w:rPr>
          <w:rFonts w:eastAsia="等线" w:ascii="Arial" w:cs="Arial" w:hAnsi="Arial"/>
          <w:sz w:val="22"/>
        </w:rPr>
        <w:t xml:space="preserve"> 时有效）。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svd_solver</w:t>
      </w:r>
      <w:r>
        <w:rPr>
          <w:rFonts w:eastAsia="等线" w:ascii="Arial" w:cs="Arial" w:hAnsi="Arial"/>
          <w:sz w:val="22"/>
        </w:rPr>
        <w:t>：SVD（奇异值分解）求解器，影响计算效率：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'auto'</w:t>
      </w:r>
      <w:r>
        <w:rPr>
          <w:rFonts w:eastAsia="等线" w:ascii="Arial" w:cs="Arial" w:hAnsi="Arial"/>
          <w:sz w:val="22"/>
        </w:rPr>
        <w:t>（默认，自动选择求解器）；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'full'</w:t>
      </w:r>
      <w:r>
        <w:rPr>
          <w:rFonts w:eastAsia="等线" w:ascii="Arial" w:cs="Arial" w:hAnsi="Arial"/>
          <w:sz w:val="22"/>
        </w:rPr>
        <w:t>（精确SVD，适合小数据集或需精确分解的场景）；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'randomized'</w:t>
      </w:r>
      <w:r>
        <w:rPr>
          <w:rFonts w:eastAsia="等线" w:ascii="Arial" w:cs="Arial" w:hAnsi="Arial"/>
          <w:sz w:val="22"/>
        </w:rPr>
        <w:t>（随机SVD，速度快、内存占用低，适合高维数据）。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whiten</w:t>
      </w:r>
      <w:r>
        <w:rPr>
          <w:rFonts w:eastAsia="等线" w:ascii="Arial" w:cs="Arial" w:hAnsi="Arial"/>
          <w:sz w:val="22"/>
        </w:rPr>
        <w:t>：是否“白化”（使主成分方差为1，消除成分间相关性，适合后续对“特征方差敏感”的模型，如SVM）。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（三）核心属性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explained_variance_ratio_</w:t>
      </w:r>
      <w:r>
        <w:rPr>
          <w:rFonts w:eastAsia="等线" w:ascii="Arial" w:cs="Arial" w:hAnsi="Arial"/>
          <w:sz w:val="22"/>
        </w:rPr>
        <w:t>：各主成分“解释的方差占总方差的比例”（反映主成分的“信息含量”。如“前2个主成分累计占比90%”，则降维到2维仅损失10%信息）。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以上知识点覆盖了“决策树建模、数据分布分析、异常检测、数据预处理、降维”等机器学习基础流程的关键技术，是从“数据探索”到“模型构建”的核心工具总结。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1309">
    <w:lvl>
      <w:numFmt w:val="bullet"/>
      <w:suff w:val="tab"/>
      <w:lvlText w:val="•"/>
      <w:rPr>
        <w:color w:val="3370ff"/>
      </w:rPr>
    </w:lvl>
  </w:abstractNum>
  <w:abstractNum w:abstractNumId="201310">
    <w:lvl>
      <w:numFmt w:val="bullet"/>
      <w:suff w:val="tab"/>
      <w:lvlText w:val="•"/>
      <w:rPr>
        <w:color w:val="3370ff"/>
      </w:rPr>
    </w:lvl>
  </w:abstractNum>
  <w:abstractNum w:abstractNumId="201311">
    <w:lvl>
      <w:numFmt w:val="bullet"/>
      <w:suff w:val="tab"/>
      <w:lvlText w:val="•"/>
      <w:rPr>
        <w:color w:val="3370ff"/>
      </w:rPr>
    </w:lvl>
  </w:abstractNum>
  <w:abstractNum w:abstractNumId="201312">
    <w:lvl>
      <w:numFmt w:val="bullet"/>
      <w:suff w:val="tab"/>
      <w:lvlText w:val="•"/>
      <w:rPr>
        <w:color w:val="3370ff"/>
      </w:rPr>
    </w:lvl>
  </w:abstractNum>
  <w:abstractNum w:abstractNumId="201313">
    <w:lvl>
      <w:numFmt w:val="bullet"/>
      <w:suff w:val="tab"/>
      <w:lvlText w:val="•"/>
      <w:rPr>
        <w:color w:val="3370ff"/>
      </w:rPr>
    </w:lvl>
  </w:abstractNum>
  <w:abstractNum w:abstractNumId="201314">
    <w:lvl>
      <w:numFmt w:val="bullet"/>
      <w:suff w:val="tab"/>
      <w:lvlText w:val="•"/>
      <w:rPr>
        <w:color w:val="3370ff"/>
      </w:rPr>
    </w:lvl>
  </w:abstractNum>
  <w:abstractNum w:abstractNumId="201315">
    <w:lvl>
      <w:numFmt w:val="bullet"/>
      <w:suff w:val="tab"/>
      <w:lvlText w:val="•"/>
      <w:rPr>
        <w:color w:val="3370ff"/>
      </w:rPr>
    </w:lvl>
  </w:abstractNum>
  <w:abstractNum w:abstractNumId="201316">
    <w:lvl>
      <w:numFmt w:val="bullet"/>
      <w:suff w:val="tab"/>
      <w:lvlText w:val="•"/>
      <w:rPr>
        <w:color w:val="3370ff"/>
      </w:rPr>
    </w:lvl>
  </w:abstractNum>
  <w:abstractNum w:abstractNumId="201317">
    <w:lvl>
      <w:numFmt w:val="bullet"/>
      <w:suff w:val="tab"/>
      <w:lvlText w:val="•"/>
      <w:rPr>
        <w:color w:val="3370ff"/>
      </w:rPr>
    </w:lvl>
  </w:abstractNum>
  <w:abstractNum w:abstractNumId="201318">
    <w:lvl>
      <w:numFmt w:val="bullet"/>
      <w:suff w:val="tab"/>
      <w:lvlText w:val="•"/>
      <w:rPr>
        <w:color w:val="3370ff"/>
      </w:rPr>
    </w:lvl>
  </w:abstractNum>
  <w:abstractNum w:abstractNumId="201319">
    <w:lvl>
      <w:numFmt w:val="bullet"/>
      <w:suff w:val="tab"/>
      <w:lvlText w:val="•"/>
      <w:rPr>
        <w:color w:val="3370ff"/>
      </w:rPr>
    </w:lvl>
  </w:abstractNum>
  <w:abstractNum w:abstractNumId="201320">
    <w:lvl>
      <w:numFmt w:val="bullet"/>
      <w:suff w:val="tab"/>
      <w:lvlText w:val="•"/>
      <w:rPr>
        <w:color w:val="3370ff"/>
      </w:rPr>
    </w:lvl>
  </w:abstractNum>
  <w:abstractNum w:abstractNumId="201321">
    <w:lvl>
      <w:numFmt w:val="bullet"/>
      <w:suff w:val="tab"/>
      <w:lvlText w:val="•"/>
      <w:rPr>
        <w:color w:val="3370ff"/>
      </w:rPr>
    </w:lvl>
  </w:abstractNum>
  <w:abstractNum w:abstractNumId="201322">
    <w:lvl>
      <w:numFmt w:val="bullet"/>
      <w:suff w:val="tab"/>
      <w:lvlText w:val="•"/>
      <w:rPr>
        <w:color w:val="3370ff"/>
      </w:rPr>
    </w:lvl>
  </w:abstractNum>
  <w:abstractNum w:abstractNumId="201323">
    <w:lvl>
      <w:numFmt w:val="bullet"/>
      <w:suff w:val="tab"/>
      <w:lvlText w:val="•"/>
      <w:rPr>
        <w:color w:val="3370ff"/>
      </w:rPr>
    </w:lvl>
  </w:abstractNum>
  <w:abstractNum w:abstractNumId="201324">
    <w:lvl>
      <w:numFmt w:val="bullet"/>
      <w:suff w:val="tab"/>
      <w:lvlText w:val="•"/>
      <w:rPr>
        <w:color w:val="3370ff"/>
      </w:rPr>
    </w:lvl>
  </w:abstractNum>
  <w:abstractNum w:abstractNumId="201325">
    <w:lvl>
      <w:numFmt w:val="bullet"/>
      <w:suff w:val="tab"/>
      <w:lvlText w:val="•"/>
      <w:rPr>
        <w:color w:val="3370ff"/>
      </w:rPr>
    </w:lvl>
  </w:abstractNum>
  <w:abstractNum w:abstractNumId="201326">
    <w:lvl>
      <w:numFmt w:val="bullet"/>
      <w:suff w:val="tab"/>
      <w:lvlText w:val="•"/>
      <w:rPr>
        <w:color w:val="3370ff"/>
      </w:rPr>
    </w:lvl>
  </w:abstractNum>
  <w:abstractNum w:abstractNumId="201327">
    <w:lvl>
      <w:numFmt w:val="bullet"/>
      <w:suff w:val="tab"/>
      <w:lvlText w:val="•"/>
      <w:rPr>
        <w:color w:val="3370ff"/>
      </w:rPr>
    </w:lvl>
  </w:abstractNum>
  <w:abstractNum w:abstractNumId="201328">
    <w:lvl>
      <w:numFmt w:val="bullet"/>
      <w:suff w:val="tab"/>
      <w:lvlText w:val="•"/>
      <w:rPr>
        <w:color w:val="3370ff"/>
      </w:rPr>
    </w:lvl>
  </w:abstractNum>
  <w:abstractNum w:abstractNumId="201329">
    <w:lvl>
      <w:numFmt w:val="bullet"/>
      <w:suff w:val="tab"/>
      <w:lvlText w:val="•"/>
      <w:rPr>
        <w:color w:val="3370ff"/>
      </w:rPr>
    </w:lvl>
  </w:abstractNum>
  <w:abstractNum w:abstractNumId="201330">
    <w:lvl>
      <w:numFmt w:val="bullet"/>
      <w:suff w:val="tab"/>
      <w:lvlText w:val="•"/>
      <w:rPr>
        <w:color w:val="3370ff"/>
      </w:rPr>
    </w:lvl>
  </w:abstractNum>
  <w:abstractNum w:abstractNumId="201331">
    <w:lvl>
      <w:numFmt w:val="bullet"/>
      <w:suff w:val="tab"/>
      <w:lvlText w:val="•"/>
      <w:rPr>
        <w:color w:val="3370ff"/>
      </w:rPr>
    </w:lvl>
  </w:abstractNum>
  <w:abstractNum w:abstractNumId="201332">
    <w:lvl>
      <w:numFmt w:val="bullet"/>
      <w:suff w:val="tab"/>
      <w:lvlText w:val="•"/>
      <w:rPr>
        <w:color w:val="3370ff"/>
      </w:rPr>
    </w:lvl>
  </w:abstractNum>
  <w:abstractNum w:abstractNumId="201333">
    <w:lvl>
      <w:numFmt w:val="bullet"/>
      <w:suff w:val="tab"/>
      <w:lvlText w:val="•"/>
      <w:rPr>
        <w:color w:val="3370ff"/>
      </w:rPr>
    </w:lvl>
  </w:abstractNum>
  <w:abstractNum w:abstractNumId="201334">
    <w:lvl>
      <w:numFmt w:val="bullet"/>
      <w:suff w:val="tab"/>
      <w:lvlText w:val="￮"/>
      <w:rPr>
        <w:color w:val="3370ff"/>
      </w:rPr>
    </w:lvl>
  </w:abstractNum>
  <w:abstractNum w:abstractNumId="201335">
    <w:lvl>
      <w:numFmt w:val="bullet"/>
      <w:suff w:val="tab"/>
      <w:lvlText w:val="￮"/>
      <w:rPr>
        <w:color w:val="3370ff"/>
      </w:rPr>
    </w:lvl>
  </w:abstractNum>
  <w:abstractNum w:abstractNumId="201336">
    <w:lvl>
      <w:numFmt w:val="bullet"/>
      <w:suff w:val="tab"/>
      <w:lvlText w:val="￮"/>
      <w:rPr>
        <w:color w:val="3370ff"/>
      </w:rPr>
    </w:lvl>
  </w:abstractNum>
  <w:abstractNum w:abstractNumId="201337">
    <w:lvl>
      <w:numFmt w:val="bullet"/>
      <w:suff w:val="tab"/>
      <w:lvlText w:val="•"/>
      <w:rPr>
        <w:color w:val="3370ff"/>
      </w:rPr>
    </w:lvl>
  </w:abstractNum>
  <w:abstractNum w:abstractNumId="201338">
    <w:lvl>
      <w:numFmt w:val="bullet"/>
      <w:suff w:val="tab"/>
      <w:lvlText w:val="￮"/>
      <w:rPr>
        <w:color w:val="3370ff"/>
      </w:rPr>
    </w:lvl>
  </w:abstractNum>
  <w:abstractNum w:abstractNumId="201339">
    <w:lvl>
      <w:numFmt w:val="bullet"/>
      <w:suff w:val="tab"/>
      <w:lvlText w:val="￮"/>
      <w:rPr>
        <w:color w:val="3370ff"/>
      </w:rPr>
    </w:lvl>
  </w:abstractNum>
  <w:abstractNum w:abstractNumId="201340">
    <w:lvl>
      <w:numFmt w:val="bullet"/>
      <w:suff w:val="tab"/>
      <w:lvlText w:val="￮"/>
      <w:rPr>
        <w:color w:val="3370ff"/>
      </w:rPr>
    </w:lvl>
  </w:abstractNum>
  <w:abstractNum w:abstractNumId="201341">
    <w:lvl>
      <w:numFmt w:val="bullet"/>
      <w:suff w:val="tab"/>
      <w:lvlText w:val="•"/>
      <w:rPr>
        <w:color w:val="3370ff"/>
      </w:rPr>
    </w:lvl>
  </w:abstractNum>
  <w:abstractNum w:abstractNumId="201342">
    <w:lvl>
      <w:numFmt w:val="bullet"/>
      <w:suff w:val="tab"/>
      <w:lvlText w:val="•"/>
      <w:rPr>
        <w:color w:val="3370ff"/>
      </w:rPr>
    </w:lvl>
  </w:abstractNum>
  <w:num w:numId="1">
    <w:abstractNumId w:val="201309"/>
  </w:num>
  <w:num w:numId="2">
    <w:abstractNumId w:val="201310"/>
  </w:num>
  <w:num w:numId="3">
    <w:abstractNumId w:val="201311"/>
  </w:num>
  <w:num w:numId="4">
    <w:abstractNumId w:val="201312"/>
  </w:num>
  <w:num w:numId="5">
    <w:abstractNumId w:val="201313"/>
  </w:num>
  <w:num w:numId="6">
    <w:abstractNumId w:val="201314"/>
  </w:num>
  <w:num w:numId="7">
    <w:abstractNumId w:val="201315"/>
  </w:num>
  <w:num w:numId="8">
    <w:abstractNumId w:val="201316"/>
  </w:num>
  <w:num w:numId="9">
    <w:abstractNumId w:val="201317"/>
  </w:num>
  <w:num w:numId="10">
    <w:abstractNumId w:val="201318"/>
  </w:num>
  <w:num w:numId="11">
    <w:abstractNumId w:val="201319"/>
  </w:num>
  <w:num w:numId="12">
    <w:abstractNumId w:val="201320"/>
  </w:num>
  <w:num w:numId="13">
    <w:abstractNumId w:val="201321"/>
  </w:num>
  <w:num w:numId="14">
    <w:abstractNumId w:val="201322"/>
  </w:num>
  <w:num w:numId="15">
    <w:abstractNumId w:val="201323"/>
  </w:num>
  <w:num w:numId="16">
    <w:abstractNumId w:val="201324"/>
  </w:num>
  <w:num w:numId="17">
    <w:abstractNumId w:val="201325"/>
  </w:num>
  <w:num w:numId="18">
    <w:abstractNumId w:val="201326"/>
  </w:num>
  <w:num w:numId="19">
    <w:abstractNumId w:val="201327"/>
  </w:num>
  <w:num w:numId="20">
    <w:abstractNumId w:val="201328"/>
  </w:num>
  <w:num w:numId="21">
    <w:abstractNumId w:val="201329"/>
  </w:num>
  <w:num w:numId="22">
    <w:abstractNumId w:val="201330"/>
  </w:num>
  <w:num w:numId="23">
    <w:abstractNumId w:val="201331"/>
  </w:num>
  <w:num w:numId="24">
    <w:abstractNumId w:val="201332"/>
  </w:num>
  <w:num w:numId="25">
    <w:abstractNumId w:val="201333"/>
  </w:num>
  <w:num w:numId="26">
    <w:abstractNumId w:val="201334"/>
  </w:num>
  <w:num w:numId="27">
    <w:abstractNumId w:val="201335"/>
  </w:num>
  <w:num w:numId="28">
    <w:abstractNumId w:val="201336"/>
  </w:num>
  <w:num w:numId="29">
    <w:abstractNumId w:val="201337"/>
  </w:num>
  <w:num w:numId="30">
    <w:abstractNumId w:val="201338"/>
  </w:num>
  <w:num w:numId="31">
    <w:abstractNumId w:val="201339"/>
  </w:num>
  <w:num w:numId="32">
    <w:abstractNumId w:val="201340"/>
  </w:num>
  <w:num w:numId="33">
    <w:abstractNumId w:val="201341"/>
  </w:num>
  <w:num w:numId="34">
    <w:abstractNumId w:val="2013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2025-10-06T13:40:41Z</dcterms:created>
  <dc:creator>Apache POI</dc:creator>
</cp:coreProperties>
</file>