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1A9C79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赛题与数据集对应关系</w:t>
      </w:r>
    </w:p>
    <w:p w14:paraId="68C6AB0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分仓商品需求预测--智能分仓数据集</w:t>
      </w:r>
    </w:p>
    <w:p w14:paraId="492DF1A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仓储运营优化--仓储数据集</w:t>
      </w:r>
    </w:p>
    <w:p w14:paraId="78F5E73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配送中心选址优化--电子产品生产企业数据集</w:t>
      </w:r>
    </w:p>
    <w:p w14:paraId="4B51F82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快递企业客户群识别--快运企业数据</w:t>
      </w:r>
      <w:r>
        <w:rPr>
          <w:rFonts w:hint="eastAsia"/>
          <w:lang w:val="en-US" w:eastAsia="zh-CN"/>
        </w:rPr>
        <w:t>集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4DE96D2"/>
    <w:rsid w:val="7F7E46A9"/>
    <w:rsid w:val="F4DE9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Office_6.8.2.8850_F1E327BC-269C-435d-A152-05C5408002CA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2025-10-28T11:12:00Z</dcterms:created>
  <dc:creator>张薪薪</dc:creator>
  <cp:lastModifiedBy>张薪薪</cp:lastModifiedBy>
  <dcterms:modified xsi:type="dcterms:W3CDTF">2025-10-28T11:13:31Z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ICV">
    <vt:lpwstr>94027807CF3851C294340069367AAD1C_41</vt:lpwstr>
  </property>
</Properties>
</file>