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黑体" w:hAnsi="黑体" w:eastAsia="黑体"/>
          <w:b/>
          <w:sz w:val="52"/>
        </w:rPr>
        <w:t>郑商所杯模拟交易</w:t>
        <w:br/>
        <w:t>量化研究系统报告</w:t>
      </w:r>
    </w:p>
    <w:p/>
    <w:p>
      <w:pPr>
        <w:jc w:val="center"/>
      </w:pPr>
      <w:r>
        <w:rPr>
          <w:rFonts w:ascii="宋体" w:hAnsi="宋体" w:eastAsia="宋体"/>
          <w:b w:val="0"/>
          <w:sz w:val="30"/>
        </w:rPr>
        <w:t>数据管线 · 回测验证 · 风险管理</w:t>
      </w:r>
    </w:p>
    <w:p/>
    <w:p/>
    <w:p/>
    <w:p/>
    <w:p/>
    <w:p/>
    <w:p/>
    <w:p/>
    <w:p>
      <w:pPr>
        <w:jc w:val="center"/>
      </w:pPr>
      <w:r>
        <w:rPr>
          <w:rFonts w:ascii="宋体" w:hAnsi="宋体" w:eastAsia="宋体"/>
          <w:b w:val="0"/>
          <w:sz w:val="24"/>
        </w:rPr>
        <w:t>报告日期：2026年10月22日</w:t>
      </w:r>
    </w:p>
    <w:p>
      <w:pPr>
        <w:jc w:val="center"/>
      </w:pPr>
      <w:r>
        <w:rPr>
          <w:rFonts w:ascii="宋体" w:hAnsi="宋体" w:eastAsia="宋体"/>
          <w:b w:val="0"/>
          <w:sz w:val="21"/>
        </w:rPr>
        <w:t>说明：本报告为研究成果，不构成投资建议，不承诺收益。</w:t>
      </w:r>
    </w:p>
    <w:p>
      <w:r>
        <w:br w:type="page"/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摘要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报告记录了一套围绕第九届“郑商所杯”大学生金融衍生品专业能力大赛构建的量化研究系统，包含数据管线、合约与成本模型、回测引擎、风险审核层与信号卡。研究遵守三条纪律：不使用未来数据、不计入无法核实的成本、不为了回测好看而调参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系统检验了三类经济逻辑不同的假设：价格动量、低频动量（含绝对动量与状态过滤）、期限结构（展期收益）。在 2021 年 1 月至 2026 年 10 月的郑商所 20 个品种日线数据上，三者均未通过“统计显著性 + 交易成本 + 回撤约束”的联合门槛。因此本系统的当前输出是不交易（观望），而非强行生成信号。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数据规模：单合约 148,953 行、连续序列 63,361 行、逐日重建主力序列 24,522 行，覆盖 20 个品种、5,309 个交易日。工程侧共 63 项自动化测试通过。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一、研究背景与规则核实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本届大赛交易能力赛的计分方式为：收益率得分×80% + 回撤得分×10% + 活跃度得分×10%，初始虚拟保证金 50 万元，交易品种覆盖郑商所全部期货与期权，保证金按交易所标准、手续费按交易所标准的 1.5 倍收取，期货合约在交割月前一交易日停止交易，活跃交易日不少于 5 天。上述条款来自郑商函〔2026〕670 号通知，并经两处独立转载比对一致。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该计分结构决定了研究取向：回撤是显式扣分项，因此不能以高杠杆博取收益；手续费为交易所标准 1.5 倍，因此高频策略的成本压力被放大。这两点在后续所有回测中都被如实计入。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二、数据管线与质量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行情来自公开日线接口，采用“审计快照 + 增量刷新”双目录结构：快照保持不变以保证可复现，刷新文件覆盖同名序列以获得最新交易日，原始数据在任何情况下都不被修改。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数据集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行数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起止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重复日期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OHLC 违规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结算价缺失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零成交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单合约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148,953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2021-01-18 ~ 2026-10-21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133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</w:tr>
      <w:tr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主力连续(raw)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63,361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2005-01-04 ~ 2026-10-21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202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5920</w:t>
            </w:r>
          </w:p>
        </w:tc>
        <w:tc>
          <w:tcPr>
            <w:tcW w:type="dxa" w:w="129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714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两点重要发现：其一，单合约数据质量良好，OHLC 逻辑违规为 0、无重复日期、无零成交；结算价为 0 的 133 行被识别为源站缺值并置为缺失，未做插值。其二，主力连续序列（拼接序列）明显更脏，存在 202 行 OHLC 违规与 5920 行结算价缺失，因此回测中禁止使用其价格作为成交价。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系统按持仓量逐日重建了真实主力合约序列（24,522 行、换月 374 次）。以白糖为例，重建序列与拼接序列有 202 个交易日价格不同，换月当日最大价差 347 元/吨，按 10 吨/手计即每手 3,470 元的虚假跳空。这是“连续合约不等于可成交价格”的直接证据。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三、合约规格与成本模型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合约乘数、最小变动价位、交易时间、最后交易日等信息取自官方模拟终端内置的合约规格表，并以逐合约计费参数交叉验证。校验结果显示：11 个品种的终端计费恰好等于交易所标准 1.5 倍，12 个品种随合约月或价格变化，3 个品种恒定但与挂牌标准不等。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因此本研究的成本口径为：以终端逐合约参数为准（这是模拟盘的真实扣费），交易所挂牌标准仅作参照；两者冲突时以终端为准并在报告中声明。这一处理避免了用券商加价表或挂牌价低估成本。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四、回测系统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回测引擎的四条硬性约定：信号在 t 日收盘后生成、于 t+1 日开盘成交；盈亏按真实合约价格逐日结算，不做价格复权；换月当日盈亏归零并另计“平旧开新”往返成本；同时施加整数手、保证金占用上限、封板与零成交不成交等约束。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其中“不做复权”是经过修正的关键决策。早期版本采用差额复权，在红枣等价格大幅下移的品种上把历史价格推成负值（120 行为负，最大偏移 11,185 元），导致波动率计算失真。改为“真实价格结算 + 换月盈亏归零”后，该问题被彻底消除。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引擎通过截断重算验证了不存在未来数据泄漏：将数据截断至某一日后重新计算历史信号，结果与全样本完全一致。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五、三类假设的检验结果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5.1 价格动量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策略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样本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总收益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最大回撤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Sharpe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成交笔数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TSMOM_60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-7.17%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-33.91%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-0.086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1277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TSMOM_60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OOS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-12.86%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-24.34%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-0.403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792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XS-MOM_60_top3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5.04%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-16.41%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0.199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146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XS-MOM_60_top3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OOS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2.48%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-9.05%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0.193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93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BENCH_LONG_ALL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3.14%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-4.81%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0.261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40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BENCH_LONG_ALL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OOS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-2.32%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-5.91%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-0.261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32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TSMOM_40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17.75%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-19.44%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0.401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1594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TSMOM_60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-7.17%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-33.91%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-0.086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1277</w:t>
            </w:r>
          </w:p>
        </w:tc>
      </w:tr>
      <w:tr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TSMOM_120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IS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-18.53%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-38.45%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-0.456</w:t>
            </w:r>
          </w:p>
        </w:tc>
        <w:tc>
          <w:tcPr>
            <w:tcW w:type="dxa" w:w="151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968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时序动量在样本内外均亏损，且对回看窗口极度敏感：40 日为 +17.75%、60 日为 -7.17%、120 日为 -18.53%。同一策略在相邻参数间由盈转亏，说明收益主要来自噪声而非稳定规律。横截面动量虽在两个窗口均为正，但样本外仅 93 笔交易、年化约 1.4%，统计上与零无法区分。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5.2 低频动量与状态过滤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以 120 日动量、60 日调仓、绝对动量过滤与 200 日均线状态过滤构建四个候选。换手从 1,277 笔降至 67 笔，成本占比从 5.68% 降至 0.42%，但四个候选在样本内全部亏损（最好 -6.74%）。这说明亏损的主因不是成本，而是信号本身。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5.3 期限结构（展期收益）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按“近月与次近月价差年化”构造 carry 因子，分别测试最近月份配对与持仓量最大配对两种口径。后者使高 carry 组的方向与理论一致（20 日超额 +2.32%），但 t 值仅 0.37；组合层面 Sharpe 最高 0.24，未达预设门槛。</w:t>
      </w:r>
    </w:p>
    <w:p>
      <w:pPr>
        <w:spacing w:before="240" w:after="120"/>
      </w:pPr>
      <w:r>
        <w:rPr>
          <w:rFonts w:ascii="黑体" w:hAnsi="黑体" w:eastAsia="黑体"/>
          <w:b/>
          <w:sz w:val="28"/>
        </w:rPr>
        <w:t>5.4 信号有效性诊断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参数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选中组超额(年化)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胜率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t 值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20日回看 / 20日持有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3.59%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45.6%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20日回看 / 60日持有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3.17%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50.0%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0.52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60日回看 / 20日持有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-3.15%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39.4%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-0.41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60日回看 / 60日持有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-3.32%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36.4%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-0.40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120日回看 / 20日持有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-3.17%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41.3%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-0.37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120日回看 / 60日持有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-0.58%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42.9%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-0.06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200日回看 / 20日持有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-5.74%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39.0%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-0.87</w:t>
            </w:r>
          </w:p>
        </w:tc>
      </w:tr>
      <w:tr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200日回看 / 60日持有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-6.32%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31.6%</w:t>
            </w:r>
          </w:p>
        </w:tc>
        <w:tc>
          <w:tcPr>
            <w:tcW w:type="dxa" w:w="2268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-1.41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该诊断剥离了仓位与成本，直接检验“选中品种的未来收益是否高于全市场等权”。结果所有组合的 t 值绝对值均小于 1.5，最强一组为 0.52。这从机制上解释了前述亏损：问题不在执行，而在信号没有预测力。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六、风险管理框架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所有信号在进入执行前必须通过独立的风险审核层，该层默认拒绝，并返回通过与否、计算过程与拒绝理由。建议参数如下（需使用者确认）：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规则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建议阈值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单笔最大亏损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权益 0.5%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按计划止损价计算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单品种名义敞口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30%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防止单一品种过度集中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组合保证金占用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60%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留出缓冲应对跳空与追保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持仓品种数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5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控制相关性与管理复杂度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回撤熔断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8%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触及后停止开新仓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连续亏损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 笔后仓位减半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抑制连续犯错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流动性门槛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持仓≥1 万手、成交≥1 千手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保证可成交</w:t>
            </w:r>
          </w:p>
        </w:tc>
      </w:tr>
    </w:tbl>
    <w:p/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必须强调：止损是计划价格，不保证按该价格成交。系统在计算风险时使用计划止损价，但不会假设止损一定被执行；跳空、封板、流动性枯竭都可能使实际亏损超过计划值。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七、结论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本研究未能找到在扣除比赛成本后仍然稳健的期货交易信号。三类机制不同的假设、约 21 个配置的检验结果一致指向同一结论：在该数据集上，价格动量与期限结构都不具备可依赖的预测能力。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这不是失败，而是把“不可靠”排除掉的过程。系统的价值在于：任何新想法都能在数分钟内得到包含真实成本、真实回撤与样本外表现的评估；而在没有依据时，它输出观望，而不是编造一个看起来盈利的信号。</w:t>
      </w:r>
    </w:p>
    <w:p>
      <w:pPr>
        <w:spacing w:line="360" w:lineRule="auto"/>
        <w:ind w:firstLine="480"/>
        <w:jc w:val="both"/>
      </w:pPr>
      <w:r>
        <w:rPr>
          <w:rFonts w:ascii="宋体" w:hAnsi="宋体" w:eastAsia="宋体"/>
          <w:b w:val="0"/>
          <w:sz w:val="24"/>
        </w:rPr>
        <w:t>对于比赛，诚实的预期是：本系统难以带来超额收益，但能避免无依据交易造成的失分，并为风险控制与决策记录提供可复核的依据。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八、局限与未完成事项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样本仅约 5.8 年、单一交易所（郑商所）、20 个品种，统计功效有限，且期间经历商品牛市与回落。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仅有日线数据，无法建模盘中触发、部分成交与真实滑点分布。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无期权行情（行权价、权利金、隐含波动率、Greeks），期权策略完全未研究。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无账户成交记录，无法进行实盘复盘与归因。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官方模拟平台未提供程序化接口，系统仅用于离线研究，执行由人工完成。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· 保证金率存在两处数据源冲突，开仓当日需以终端显示为准。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附录 A　自动化测试清单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模块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测试数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黑体" w:hAnsi="黑体" w:eastAsia="黑体"/>
                <w:b/>
                <w:sz w:val="21"/>
              </w:rPr>
              <w:t>覆盖内容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数据管线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31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解析、字段校验、时间顺序、缺失值、主数据一致性、幂等性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回测引擎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9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未来数据隔离、成本单调性、整数手、保证金上限、确定性、指标自洽</w:t>
            </w:r>
          </w:p>
        </w:tc>
      </w:tr>
      <w:tr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风控与信号卡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23</w:t>
            </w:r>
          </w:p>
        </w:tc>
        <w:tc>
          <w:tcPr>
            <w:tcW w:type="dxa" w:w="3024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各类限额拒绝、熔断、连亏减仓、仓位反推、信号卡字段完整性</w:t>
            </w:r>
          </w:p>
        </w:tc>
      </w:tr>
    </w:tbl>
    <w:p/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合计 63 项测试全部通过。测试采用可重复运行方式，两次构建产物哈希一致。</w:t>
      </w:r>
    </w:p>
    <w:p>
      <w:pPr>
        <w:spacing w:before="240" w:after="120"/>
      </w:pPr>
      <w:r>
        <w:rPr>
          <w:rFonts w:ascii="黑体" w:hAnsi="黑体" w:eastAsia="黑体"/>
          <w:b/>
          <w:sz w:val="32"/>
        </w:rPr>
        <w:t>附录 B　复现方式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scripts\refresh_data.py        # 刷新最新交易日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scripts\build_dataset.py live  # 构建清洗数据集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scripts\run_baselines.py       # 基线回测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scripts\run_phase4b.py         # 低频动量与信号诊断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scripts\run_phase4c.py         # 期限结构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tests\test_pipeline.py         # 数据测试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tests\test_backtest.py         # 引擎测试</w:t>
      </w:r>
    </w:p>
    <w:p>
      <w:pPr>
        <w:spacing w:line="360" w:lineRule="auto"/>
        <w:jc w:val="both"/>
      </w:pPr>
      <w:r>
        <w:rPr>
          <w:rFonts w:ascii="宋体" w:hAnsi="宋体" w:eastAsia="宋体"/>
          <w:b w:val="0"/>
          <w:sz w:val="24"/>
        </w:rPr>
        <w:t>$py tests\test_risk.py             # 风控测试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