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48"/>
          <w:szCs w:val="48"/>
        </w:rPr>
        <w:t xml:space="preserve">航空安全事故致因分析系统</w:t>
      </w:r>
    </w:p>
    <w:p>
      <w:pPr>
        <w:spacing w:after="100"/>
        <w:jc w:val="center"/>
      </w:pPr>
      <w:r>
        <w:rPr>
          <w:rFonts w:ascii="WenQuanYi Micro Hei" w:cs="WenQuanYi Micro Hei" w:eastAsia="WenQuanYi Micro Hei" w:hAnsi="WenQuanYi Micro Hei"/>
          <w:color w:val="333333"/>
          <w:sz w:val="32"/>
          <w:szCs w:val="32"/>
        </w:rPr>
        <w:t xml:space="preserve">“航空事故致因抽取 + 知识图谱”评测方案</w:t>
      </w:r>
    </w:p>
    <w:p>
      <w:pPr>
        <w:spacing w:after="600"/>
        <w:jc w:val="center"/>
      </w:pPr>
      <w:r>
        <w:rPr>
          <w:rFonts w:ascii="WenQuanYi Micro Hei" w:cs="WenQuanYi Micro Hei" w:eastAsia="WenQuanYi Micro Hei" w:hAnsi="WenQuanYi Micro Hei"/>
          <w:i/>
          <w:iCs/>
          <w:color w:val="888888"/>
          <w:sz w:val="24"/>
          <w:szCs w:val="24"/>
        </w:rPr>
        <w:t xml:space="preserve">Project Evaluation Plan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before="400"/>
      </w:pPr>
    </w:p>
    <w:p>
      <w:pPr>
        <w:spacing w:after="120"/>
        <w:jc w:val="center"/>
      </w:pPr>
      <w:r>
        <w:rPr>
          <w:rFonts w:ascii="WenQuanYi Micro Hei" w:cs="WenQuanYi Micro Hei" w:eastAsia="WenQuanYi Micro Hei" w:hAnsi="WenQuanYi Micro Hei"/>
          <w:color w:val="555555"/>
          <w:sz w:val="24"/>
          <w:szCs w:val="24"/>
        </w:rPr>
        <w:t xml:space="preserve">编制单位：航空安全实验室</w:t>
      </w:r>
    </w:p>
    <w:p>
      <w:pPr>
        <w:spacing w:after="120"/>
        <w:jc w:val="center"/>
      </w:pPr>
      <w:r>
        <w:rPr>
          <w:rFonts w:ascii="WenQuanYi Micro Hei" w:cs="WenQuanYi Micro Hei" w:eastAsia="WenQuanYi Micro Hei" w:hAnsi="WenQuanYi Micro Hei"/>
          <w:color w:val="555555"/>
          <w:sz w:val="24"/>
          <w:szCs w:val="24"/>
        </w:rPr>
        <w:t xml:space="preserve">编 制 人：李海</w:t>
      </w:r>
    </w:p>
    <w:p>
      <w:pPr>
        <w:spacing w:after="120"/>
        <w:jc w:val="center"/>
      </w:pPr>
      <w:r>
        <w:rPr>
          <w:rFonts w:ascii="WenQuanYi Micro Hei" w:cs="WenQuanYi Micro Hei" w:eastAsia="WenQuanYi Micro Hei" w:hAnsi="WenQuanYi Micro Hei"/>
          <w:color w:val="555555"/>
          <w:sz w:val="24"/>
          <w:szCs w:val="24"/>
        </w:rPr>
        <w:t xml:space="preserve">编制日期：2026年7月10日</w:t>
      </w:r>
    </w:p>
    <w:p>
      <w:pPr>
        <w:spacing w:after="120"/>
        <w:jc w:val="center"/>
      </w:pPr>
      <w:r>
        <w:rPr>
          <w:rFonts w:ascii="WenQuanYi Micro Hei" w:cs="WenQuanYi Micro Hei" w:eastAsia="WenQuanYi Micro Hei" w:hAnsi="WenQuanYi Micro Hei"/>
          <w:color w:val="555555"/>
          <w:sz w:val="24"/>
          <w:szCs w:val="24"/>
        </w:rPr>
        <w:t xml:space="preserve">版    本：V1.0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一、评测目标</w:t>
      </w:r>
    </w:p>
    <w:p>
      <w:pPr>
        <w:spacing w:after="80" w:before="8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333333"/>
          <w:sz w:val="22"/>
          <w:szCs w:val="22"/>
        </w:rPr>
        <w:t xml:space="preserve">本评测方案旨在验证“基于LLM与知识图谱的航空安全事故致因分析系统”在航空事故调查报告处理上的核心能力，参考AeroMfg-QA（航空航天制造问答基准）和RepoSpace（航天软件仓库级代码基准）的评测方法论，结合工程实际需求设计。</w:t>
      </w:r>
    </w:p>
    <w:p>
      <w:pPr>
        <w:spacing w:after="80" w:before="8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333333"/>
          <w:sz w:val="22"/>
          <w:szCs w:val="22"/>
        </w:rPr>
        <w:t xml:space="preserve">评测聚焦以下三项核心能力：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文本理解能力：能否正确读懂事故经过、原因分析等关键段落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结构化抽取能力：能否稳定抽取出「实体–关系–事件」三元组</w:t>
      </w:r>
    </w:p>
    <w:p>
      <w:pPr>
        <w:pStyle w:val="ListParagraph"/>
        <w:numPr>
          <w:ilvl w:val="0"/>
          <w:numId w:val="2"/>
        </w:numPr>
        <w:spacing w:after="80" w:before="80" w:line="360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图谱一致性：抽取结果是否在Neo4j中形成合理、可追溯的致因传导路径</w:t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二、评测数据集设计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8"/>
          <w:szCs w:val="28"/>
        </w:rPr>
        <w:t xml:space="preserve">2.1 样本选取（共20份）</w:t>
      </w:r>
    </w:p>
    <w:p>
      <w:pPr>
        <w:spacing w:after="80" w:before="8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333333"/>
          <w:sz w:val="22"/>
          <w:szCs w:val="22"/>
        </w:rPr>
        <w:t xml:space="preserve">来源：项目已有的PDF格式航空事故调查报告。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熟悉样本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5份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已熟悉的报告（如SWCAAC-SIR-2018-1）</w:t>
            </w:r>
          </w:p>
          <w:p>
            <w:pPr>
              <w:spacing w:after="40" w:before="40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→ 用于调试与校准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中等复杂度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10份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典型机械/人为因素事故报告</w:t>
            </w:r>
          </w:p>
          <w:p>
            <w:pPr>
              <w:spacing w:after="40" w:before="40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→ 验证常规场景泛化能力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高复杂度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5份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多因素耦合、组织管理问题突出</w:t>
            </w:r>
          </w:p>
          <w:p>
            <w:pPr>
              <w:spacing w:after="40" w:before="40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→ 压力测试</w:t>
            </w:r>
          </w:p>
        </w:tc>
      </w:tr>
    </w:tbl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8"/>
          <w:szCs w:val="28"/>
        </w:rPr>
        <w:t xml:space="preserve">2.2 每份报告的“黄金标准”（Ground Truth）</w:t>
      </w:r>
    </w:p>
    <w:p>
      <w:pPr>
        <w:spacing w:after="80" w:before="8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333333"/>
          <w:sz w:val="22"/>
          <w:szCs w:val="22"/>
        </w:rPr>
        <w:t xml:space="preserve">由领域专家手工标注关键信息，仅标注最核心的内容，避免标注爆炸：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标注类型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标注内容示例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关键实体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飞行员、维修员、起落架、液压系统、雷雨、公司SOP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覆盖人/机/环/管/程序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关键关系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维修员–未按–SOP；液压泄漏–导致–起落架无法放下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明确的因果或关联关系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致因链条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管理松懈→培训不足→操作失误→液压泄漏→事故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主因果传导路径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事故后果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飞机损坏、人员受伤、航班取消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事故的直接后果</w:t>
            </w:r>
          </w:p>
        </w:tc>
      </w:tr>
    </w:tbl>
    <w:p>
      <w:pPr>
        <w:spacing w:after="80" w:before="80" w:line="36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标注原则：每份报告仅标注5–10个三元组 + 1条主致因链。</w:t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三、评测指标体系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8"/>
          <w:szCs w:val="28"/>
        </w:rPr>
        <w:t xml:space="preserve">3.1 实体抽取指标</w:t>
      </w:r>
    </w:p>
    <w:p>
      <w:pPr>
        <w:spacing w:after="80" w:before="8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333333"/>
          <w:sz w:val="22"/>
          <w:szCs w:val="22"/>
        </w:rPr>
        <w:t xml:space="preserve">参考信息抽取（IE）标准，评估系统从非结构化文本中识别关键实体的能力：</w:t>
      </w:r>
    </w:p>
    <w:tbl>
      <w:tblPr>
        <w:tblW w:type="dxa" w:w="10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3000"/>
        <w:gridCol w:w="25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公式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可接受阈值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实体精确率 Pₑ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正确实体数 / 系统抽出实体数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衡量“假实体”比例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≥ 0.75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实体召回率 Rₑ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正确实体数 / 人工标注实体数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衡量关键实体漏抽率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≥ 0.75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实体F1ₑ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2×Pₑ×Rₑ / (Pₑ+Rₑ)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综合性能指标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≥ 0.75</w:t>
            </w:r>
          </w:p>
        </w:tc>
      </w:tr>
    </w:tbl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8"/>
          <w:szCs w:val="28"/>
        </w:rPr>
        <w:t xml:space="preserve">3.2 关系抽取指标（核心）</w:t>
      </w:r>
    </w:p>
    <w:p>
      <w:pPr>
        <w:spacing w:after="80" w:before="8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333333"/>
          <w:sz w:val="22"/>
          <w:szCs w:val="22"/>
        </w:rPr>
        <w:t xml:space="preserve">关系抽取是整个系统的核心环节，直接影响知识图谱的质量：</w:t>
      </w:r>
    </w:p>
    <w:tbl>
      <w:tblPr>
        <w:tblW w:type="dxa" w:w="10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3000"/>
        <w:gridCol w:w="25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公式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可接受阈值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关系精确率 Pᵣ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正确三元组数 / 系统抽出三元组数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关系是否乱配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≥ 0.70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关系召回率 Rᵣ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正确三元组数 / 人工标注三元组数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关键因果是否遗漏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≥ 0.70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关系F1ᵣ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2×Pᵣ×Rᵣ / (Pᵣ+Rᵣ)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综合关系质量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≥ 0.70</w:t>
            </w:r>
          </w:p>
        </w:tc>
      </w:tr>
    </w:tbl>
    <w:p>
      <w:pPr>
        <w:spacing w:after="80" w:before="8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333333"/>
          <w:sz w:val="22"/>
          <w:szCs w:val="22"/>
        </w:rPr>
        <w:t xml:space="preserve">注：“正确三元组”要求头实体、关系、尾实体三者全部正确。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8"/>
          <w:szCs w:val="28"/>
        </w:rPr>
        <w:t xml:space="preserve">3.3 致因路径质量评估</w:t>
      </w:r>
    </w:p>
    <w:p>
      <w:pPr>
        <w:spacing w:after="80" w:before="8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333333"/>
          <w:sz w:val="22"/>
          <w:szCs w:val="22"/>
        </w:rPr>
        <w:t xml:space="preserve">参考AeroMfg-QA的人工评估思路，由领域专家对每条主致因链打分（1–5分）：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350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分数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判定标准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5分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路径完全符合报告逻辑，无错误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所有节点和箭头方向正确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4分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基本正确，个别非关键细节偏差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主干无误，次要分支有小偏差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3分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主干正确，但存在次要逻辑错误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核心链条对，但有遗漏或多余节点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2分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有明显因果倒置或缺失关键环节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链条断裂或方向错误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1分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完全错误或无意义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无法反映真实致因</w:t>
            </w:r>
          </w:p>
        </w:tc>
      </w:tr>
    </w:tbl>
    <w:p>
      <w:pPr>
        <w:spacing w:after="80" w:before="80" w:line="36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可接受阈值：平均得分 ≥ 4.0分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8"/>
          <w:szCs w:val="28"/>
        </w:rPr>
        <w:t xml:space="preserve">3.4 系统级指标（工程可用性）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PDF解析成功率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不因格式异常崩溃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端到端运行成功率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≥ 90%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从PDF输入到Neo4j写入不出错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平均单文件耗时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视GPU而定（建议 &lt; 5min/份）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工程落地可行性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四、评测流程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8"/>
          <w:szCs w:val="28"/>
        </w:rPr>
        <w:t xml:space="preserve">4.1 总体流程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4026"/>
        <w:gridCol w:w="22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① 准备阶段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第1周前2天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样本选取、标注规范制定、Ground Truth标注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标注数据集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② 调试阶段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第1周后3天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用5份熟悉报告调试Prompt和Schema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调优后的系统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③ 盲测阶段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第2周前3天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用15份未见报告跑系统，导出Neo4j数据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评测结果数据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④ 评估阶段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第2周后2天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定量指标计算 + 人工打分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评测报告</w:t>
            </w:r>
          </w:p>
        </w:tc>
      </w:tr>
    </w:tbl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8"/>
          <w:szCs w:val="28"/>
        </w:rPr>
        <w:t xml:space="preserve">4.2 详细步骤</w:t>
      </w:r>
    </w:p>
    <w:p>
      <w:pPr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4"/>
          <w:szCs w:val="24"/>
        </w:rPr>
        <w:t xml:space="preserve">步骤1：数据集准备</w:t>
      </w:r>
    </w:p>
    <w:p>
      <w:pPr>
        <w:pStyle w:val="ListParagraph"/>
        <w:numPr>
          <w:ilvl w:val="0"/>
          <w:numId w:val="3"/>
        </w:numPr>
        <w:spacing w:after="80" w:before="80" w:line="360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从报告库中选择20份代表性报告，按复杂度分层</w:t>
      </w:r>
    </w:p>
    <w:p>
      <w:pPr>
        <w:pStyle w:val="ListParagraph"/>
        <w:numPr>
          <w:ilvl w:val="0"/>
          <w:numId w:val="3"/>
        </w:numPr>
        <w:spacing w:after="80" w:before="80" w:line="360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领域专家对每份报告标注5–10个核心三元组 + 1条主致因链</w:t>
      </w:r>
    </w:p>
    <w:p>
      <w:pPr>
        <w:pStyle w:val="ListParagraph"/>
        <w:numPr>
          <w:ilvl w:val="0"/>
          <w:numId w:val="3"/>
        </w:numPr>
        <w:spacing w:after="80" w:before="80" w:line="360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标注结果以JSON格式存储，作为Ground Truth</w:t>
      </w:r>
    </w:p>
    <w:p>
      <w:pPr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4"/>
          <w:szCs w:val="24"/>
        </w:rPr>
        <w:t xml:space="preserve">步骤2：系统调试</w:t>
      </w:r>
    </w:p>
    <w:p>
      <w:pPr>
        <w:pStyle w:val="ListParagraph"/>
        <w:numPr>
          <w:ilvl w:val="0"/>
          <w:numId w:val="4"/>
        </w:numPr>
        <w:spacing w:after="80" w:before="80" w:line="360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使用5份熟悉报告，迭代优化Prompt设计</w:t>
      </w:r>
    </w:p>
    <w:p>
      <w:pPr>
        <w:pStyle w:val="ListParagraph"/>
        <w:numPr>
          <w:ilvl w:val="0"/>
          <w:numId w:val="4"/>
        </w:numPr>
        <w:spacing w:after="80" w:before="80" w:line="360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调整Neo4j图Schema（节点类型、关系类型）</w:t>
      </w:r>
    </w:p>
    <w:p>
      <w:pPr>
        <w:pStyle w:val="ListParagraph"/>
        <w:numPr>
          <w:ilvl w:val="0"/>
          <w:numId w:val="4"/>
        </w:numPr>
        <w:spacing w:after="80" w:before="80" w:line="360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验证端到端流程：PDF → 文本提取 → LLM抽取 → Neo4j写入</w:t>
      </w:r>
    </w:p>
    <w:p>
      <w:pPr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4"/>
          <w:szCs w:val="24"/>
        </w:rPr>
        <w:t xml:space="preserve">步骤3：盲测评估</w:t>
      </w:r>
    </w:p>
    <w:p>
      <w:pPr>
        <w:pStyle w:val="ListParagraph"/>
        <w:numPr>
          <w:ilvl w:val="0"/>
          <w:numId w:val="5"/>
        </w:numPr>
        <w:spacing w:after="80" w:before="80" w:line="360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用15份未见报告运行系统，记录运行日志</w:t>
      </w:r>
    </w:p>
    <w:p>
      <w:pPr>
        <w:pStyle w:val="ListParagraph"/>
        <w:numPr>
          <w:ilvl w:val="0"/>
          <w:numId w:val="5"/>
        </w:numPr>
        <w:spacing w:after="80" w:before="80" w:line="360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导出Neo4j图谱数据（节点、关系、属性）</w:t>
      </w:r>
    </w:p>
    <w:p>
      <w:pPr>
        <w:pStyle w:val="ListParagraph"/>
        <w:numPr>
          <w:ilvl w:val="0"/>
          <w:numId w:val="5"/>
        </w:numPr>
        <w:spacing w:after="80" w:before="80" w:line="360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自动比对系统输出与Ground Truth，计算F1指标</w:t>
      </w:r>
    </w:p>
    <w:p>
      <w:pPr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4"/>
          <w:szCs w:val="24"/>
        </w:rPr>
        <w:t xml:space="preserve">步骤4：综合评估与报告</w:t>
      </w:r>
    </w:p>
    <w:p>
      <w:pPr>
        <w:pStyle w:val="ListParagraph"/>
        <w:numPr>
          <w:ilvl w:val="0"/>
          <w:numId w:val="6"/>
        </w:numPr>
        <w:spacing w:after="80" w:before="80" w:line="360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计算实体抽取F1、关系抽取F1、致因路径平均分</w:t>
      </w:r>
    </w:p>
    <w:p>
      <w:pPr>
        <w:pStyle w:val="ListParagraph"/>
        <w:numPr>
          <w:ilvl w:val="0"/>
          <w:numId w:val="6"/>
        </w:numPr>
        <w:spacing w:after="80" w:before="80" w:line="360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领域专家对致因路径人工打分</w:t>
      </w:r>
    </w:p>
    <w:p>
      <w:pPr>
        <w:pStyle w:val="ListParagraph"/>
        <w:numPr>
          <w:ilvl w:val="0"/>
          <w:numId w:val="6"/>
        </w:numPr>
        <w:spacing w:after="80" w:before="80" w:line="360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输出《系统评测简报》（1–2页）</w:t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五、Prompt设计建议</w:t>
      </w:r>
    </w:p>
    <w:p>
      <w:pPr>
        <w:spacing w:after="80" w:before="8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333333"/>
          <w:sz w:val="22"/>
          <w:szCs w:val="22"/>
        </w:rPr>
        <w:t xml:space="preserve">Prompt质量直接决定抽取效果。建议约束为结构化输出格式：</w:t>
      </w:r>
    </w:p>
    <w:p>
      <w:pPr>
        <w:shd w:fill="F5F5F5" w:val="clear"/>
        <w:spacing w:after="40" w:before="12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0"/>
          <w:szCs w:val="20"/>
        </w:rPr>
        <w:t xml:space="preserve">你是一名航空安全分析师。请从事故报告中抽取以下信息：</w:t>
      </w:r>
    </w:p>
    <w:p>
      <w:pPr>
        <w:shd w:fill="F5F5F5" w:val="clear"/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0"/>
          <w:szCs w:val="20"/>
        </w:rPr>
        <w:t xml:space="preserve">1. 实体类型：人、设备、环境、组织、程序、事件</w:t>
      </w:r>
    </w:p>
    <w:p>
      <w:pPr>
        <w:shd w:fill="F5F5F5" w:val="clear"/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0"/>
          <w:szCs w:val="20"/>
        </w:rPr>
        <w:t xml:space="preserve">2. 关系类型：导致、受限于、违反、未执行、属于</w:t>
      </w:r>
    </w:p>
    <w:p>
      <w:pPr>
        <w:shd w:fill="F5F5F5" w:val="clear"/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0"/>
          <w:szCs w:val="20"/>
        </w:rPr>
        <w:t xml:space="preserve">3. 输出格式：JSON（entities + relations）</w:t>
      </w:r>
    </w:p>
    <w:p>
      <w:pPr>
        <w:shd w:fill="F5F5F5" w:val="clear"/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0"/>
          <w:szCs w:val="20"/>
        </w:rPr>
        <w:t xml:space="preserve">4. 要求：仅基于文本内容，禁止推测</w:t>
      </w:r>
    </w:p>
    <w:p>
      <w:pPr>
        <w:shd w:fill="F5F5F5" w:val="clear"/>
        <w:spacing w:after="12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0"/>
          <w:szCs w:val="20"/>
        </w:rPr>
        <w:t xml:space="preserve">5. 每个关系必须有明确文本依据</w:t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六、评估结果记录模板</w:t>
      </w:r>
    </w:p>
    <w:p>
      <w:pPr>
        <w:spacing w:after="80" w:before="8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333333"/>
          <w:sz w:val="22"/>
          <w:szCs w:val="22"/>
        </w:rPr>
        <w:t xml:space="preserve">评测完成后，按以下模板记录结果：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21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报告编号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实体F1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关系F1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路径得分</w:t>
            </w:r>
          </w:p>
        </w:tc>
        <w:tc>
          <w:tcPr>
            <w:tcW w:type="dxa" w:w="2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RPT-001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RPT-002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RPT-003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平均/总计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七、验收判定标准</w:t>
      </w:r>
    </w:p>
    <w:p>
      <w:pPr>
        <w:spacing w:after="80" w:before="80" w:line="360"/>
      </w:pPr>
      <w:r>
        <w:rPr>
          <w:rFonts w:ascii="WenQuanYi Micro Hei" w:cs="WenQuanYi Micro Hei" w:eastAsia="WenQuanYi Micro Hei" w:hAnsi="WenQuanYi Micro Hei"/>
          <w:b w:val="false"/>
          <w:bCs w:val="false"/>
          <w:color w:val="333333"/>
          <w:sz w:val="22"/>
          <w:szCs w:val="22"/>
        </w:rPr>
        <w:t xml:space="preserve">综合以下标准判定系统是否通过验收：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26"/>
        <w:gridCol w:w="240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判定项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实体抽取F1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≥ 0.75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关系抽取F1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≥ 0.70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致因路径平均得分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≥ 4.0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系统稳定性（端到端成功率）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≥ 90%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80" w:before="80" w:line="360"/>
      </w:pPr>
      <w:r>
        <w:rPr>
          <w:rFonts w:ascii="WenQuanYi Micro Hei" w:cs="WenQuanYi Micro Hei" w:eastAsia="WenQuanYi Micro Hei" w:hAnsi="WenQuanYi Micro Hei"/>
          <w:b/>
          <w:bCs/>
          <w:i w:val="false"/>
          <w:iCs w:val="false"/>
          <w:color w:val="2E75B6"/>
          <w:sz w:val="22"/>
          <w:szCs w:val="22"/>
        </w:rPr>
        <w:t xml:space="preserve">验收结论：</w:t>
      </w:r>
      <w:r>
        <w:rPr>
          <w:rFonts w:ascii="WenQuanYi Micro Hei" w:cs="WenQuanYi Micro Hei" w:eastAsia="WenQuanYi Micro Hei" w:hAnsi="WenQuanYi Micro 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四项指标全部达标 → 通过验收；任一项未达标 → 需返工整改。</w:t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八、附录：评测数据标注规范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8"/>
          <w:szCs w:val="28"/>
        </w:rPr>
        <w:t xml:space="preserve">8.1 实体类型定义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实体类型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人（Person）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涉及的人员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飞行员、维修员、调度员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设备（Equipment）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飞机系统/部件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起落架、液压系统、发动机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环境（Environment）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天气/环境因素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雷雨、低能见度、强风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组织（Organization）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公司/机构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航空公司、维修公司、民航局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程序（Procedure）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操作规程/手册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SOP、检查单、维修手册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事件（Event）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事故/事件本身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迫降、碰撞、鸟击</w:t>
            </w:r>
          </w:p>
        </w:tc>
      </w:tr>
    </w:tbl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8"/>
          <w:szCs w:val="28"/>
        </w:rPr>
        <w:t xml:space="preserve">8.2 关系类型定义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关系类型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导致（LeadTo）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直接因果关系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液压泄漏 → 起落架故障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受限于（LimitedBy）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受条件制约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能见度低 → 着陆困难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违反（Violate）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违规操作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维修员 → 未按SOP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未执行（NotExecuted）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应做未做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未执行 → 检查程序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属于（BelongsTo）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归属/分类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sz w:val="20"/>
                <w:szCs w:val="20"/>
              </w:rPr>
              <w:t xml:space="preserve">事件 → 某航空公司</w:t>
            </w:r>
          </w:p>
        </w:tc>
      </w:tr>
    </w:tbl>
    <w:p>
      <w:pPr>
        <w:spacing w:before="4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— END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WenQuanYi Micro Hei" w:cs="WenQuanYi Micro Hei" w:eastAsia="WenQuanYi Micro Hei" w:hAnsi="WenQuanYi Micro Hei"/>
        <w:color w:val="999999"/>
        <w:sz w:val="18"/>
        <w:szCs w:val="18"/>
      </w:rPr>
      <w:t xml:space="preserve">第 </w:t>
    </w:r>
    <w:r>
      <w:rPr>
        <w:rFonts w:ascii="WenQuanYi Micro Hei" w:cs="WenQuanYi Micro Hei" w:eastAsia="WenQuanYi Micro Hei" w:hAnsi="WenQuanYi Micro 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WenQuanYi Micro Hei" w:cs="WenQuanYi Micro Hei" w:eastAsia="WenQuanYi Micro Hei" w:hAnsi="WenQuanYi Micro 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WenQuanYi Micro Hei" w:cs="WenQuanYi Micro Hei" w:eastAsia="WenQuanYi Micro Hei" w:hAnsi="WenQuanYi Micro Hei"/>
        <w:i/>
        <w:iCs/>
        <w:color w:val="999999"/>
        <w:sz w:val="16"/>
        <w:szCs w:val="16"/>
      </w:rPr>
      <w:t xml:space="preserve">航空事故致因抽取 + 知识图谱 — 评测方案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enQuanYi Micro Hei" w:cs="WenQuanYi Micro Hei" w:eastAsia="WenQuanYi Micro Hei" w:hAnsi="WenQuanYi Micro 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WenQuanYi Micro Hei" w:cs="WenQuanYi Micro Hei" w:eastAsia="WenQuanYi Micro Hei" w:hAnsi="WenQuanYi Micro 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WenQuanYi Micro Hei" w:cs="WenQuanYi Micro Hei" w:eastAsia="WenQuanYi Micro Hei" w:hAnsi="WenQuanYi Micro 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2026-07-10T05:10:06.652Z</dcterms:created>
  <dcterms:modified xsi:type="dcterms:W3CDTF">2026-07-10T05:10:06.652Z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{"Label":"1","ContentProducer":"001191440300708461136T1WFUO","ProduceID":"c605173a90423d5777c418cba8f3151c-tQSA","ReservedCode1":"{\"Type\":\" TC260PG\",\"Version\":1,\"Bindings\":[{\"Type\":\"soft\",\"AlgID\":\"sm3\",\"Value\":\"0672ec74ae04f82515d045398b1abe18214571bd296fb6f07eaf40c6ebe40b19\"},{\"Type\":\"hash\",\"AlgID\":\"sm3\",\"Value\":\"d662c6da7ffccf7baeb4c0baf23f4613735546ffe29a30cc805a57a1d4a9a01e\"}],\"PubSD\":[{\"Type\":\"DS\",\"AlgID\":\"sm2\",\"TBSData\":{\"Type\":\"Binding\",\"BType\":\"hash\"},\"Signature\":\"304402203222a8a32a01966bbb1417d708617d8c4c2f2fd7b8bc857bc5a5a80f5b54ec8d0220241f4aecd6d0524e740eaf811e772cca58f4f7f014265c2f40114c10701c2458\"},{\"Type\":\"PubKey\",\"AlgID\":\"sm2\",\"KeyValue\":\"0407f79b28a17a752b3aae4305c98b48978213832729a2571850b1310b2bc9fe8fee039ccf25ebfeac27502414d9fcef792d777183c98893d226171c2f7a3289a2\"}],\"Extension\":{\"Timestamp\":1783660222,\"KeyVersion\":\"v1-TxLeOmf7bqU223\"}}","ContentPropagator":"001191440300708461136T1WFUO","PropagateID":"c605173a90423d5777c418cba8f3151c-tQSA","ReservedCode2":"{\"Type\":\" TC260PG\",\"Version\":1,\"Bindings\":[{\"Type\":\"soft\",\"AlgID\":\"sm3\",\"Value\":\"0672ec74ae04f82515d045398b1abe18214571bd296fb6f07eaf40c6ebe40b19\"},{\"Type\":\"hash\",\"AlgID\":\"sm3\",\"Value\":\"d662c6da7ffccf7baeb4c0baf23f4613735546ffe29a30cc805a57a1d4a9a01e\"}],\"PubSD\":[{\"Type\":\"DS\",\"AlgID\":\"sm2\",\"TBSData\":{\"Type\":\"Binding\",\"BType\":\"hash\"},\"Signature\":\"3045022100b083d2e14d71156a5b6cd85b58921dd2e573b03ea9f28f721a62ec547ff094e6022004df8db24376589dfa4cf7de71d1497461b888aa06844138660e03c130c37f89\"},{\"Type\":\"PubKey\",\"AlgID\":\"sm2\",\"KeyValue\":\"0407f79b28a17a752b3aae4305c98b48978213832729a2571850b1310b2bc9fe8fee039ccf25ebfeac27502414d9fcef792d777183c98893d226171c2f7a3289a2\"}],\"Extension\":{\"Timestamp\":1783660222,\"KeyVersion\":\"v1-TxLeOmf7bqU223\"}}"}</vt:lpwstr>
  </property>
</Properties>
</file>