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(3).partner: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:rsidR="00136C15" w:rsidRDefault="009C37BF">
      <w:pPr>
        <w:ind w:firstLine="420"/>
      </w:pPr>
      <w:r>
        <w:rPr>
          <w:noProof/>
        </w:rPr>
        <w:drawing>
          <wp:inline distT="0" distB="0" distL="0" distR="0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:rsidR="00136C15" w:rsidRDefault="00B63C12">
      <w:pPr>
        <w:ind w:left="420" w:firstLine="420"/>
      </w:pPr>
      <w:r>
        <w:rPr>
          <w:noProof/>
        </w:rPr>
        <w:drawing>
          <wp:inline distT="0" distB="0" distL="0" distR="0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:rsidR="00136C15" w:rsidRDefault="008E3FC3">
      <w:r>
        <w:rPr>
          <w:noProof/>
        </w:rPr>
        <w:drawing>
          <wp:inline distT="0" distB="0" distL="0" distR="0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:rsidR="008E3FC3" w:rsidRDefault="009B4ABE">
      <w:r>
        <w:rPr>
          <w:noProof/>
        </w:rPr>
        <w:lastRenderedPageBreak/>
        <w:drawing>
          <wp:inline distT="0" distB="0" distL="0" distR="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  <w:bookmarkEnd w:id="7"/>
      <w:bookmarkEnd w:id="8"/>
    </w:tbl>
    <w:p w:rsidR="00136C15" w:rsidRDefault="00136C15"/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:rsidR="00136C15" w:rsidRDefault="008C4F8F">
      <w:r>
        <w:rPr>
          <w:rFonts w:hint="eastAsia"/>
        </w:rPr>
        <w:t xml:space="preserve"> </w:t>
      </w:r>
      <w:r w:rsidR="006E2230">
        <w:rPr>
          <w:noProof/>
        </w:rPr>
        <w:drawing>
          <wp:inline distT="0" distB="0" distL="0" distR="0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:rsidR="00136C15" w:rsidRDefault="00F84647">
      <w:pPr>
        <w:ind w:firstLine="420"/>
      </w:pPr>
      <w:r>
        <w:rPr>
          <w:noProof/>
        </w:rPr>
        <w:drawing>
          <wp:inline distT="0" distB="0" distL="0" distR="0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9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9"/>
    <w:p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0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1" w:name="OLE_LINK8"/>
            <w:bookmarkEnd w:id="10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1"/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4. 错误码说明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136C15"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签名不正确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接口名称不正确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签名类型不正确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字符集不合法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加密秘钥不正确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支付服务器异常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网络请求异常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2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2"/>
    </w:p>
    <w:p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3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3"/>
    </w:p>
    <w:p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4" w:name="OLE_LINK6"/>
      <w:r>
        <w:rPr>
          <w:rFonts w:ascii="Calibri" w:hAnsi="Calibri" w:cs="Calibri"/>
          <w:sz w:val="32"/>
          <w:szCs w:val="32"/>
        </w:rPr>
        <w:t>●</w:t>
      </w:r>
      <w:bookmarkEnd w:id="1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:rsidR="00136C15" w:rsidRDefault="008C4F8F">
      <w:pPr>
        <w:ind w:firstLine="420"/>
        <w:rPr>
          <w:sz w:val="24"/>
        </w:rPr>
      </w:pPr>
      <w:bookmarkStart w:id="15" w:name="OLE_LINK11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lastRenderedPageBreak/>
        <w:t xml:space="preserve">string[] parameters={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6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6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Arial" w:eastAsia="楷体" w:hAnsi="Arial" w:hint="eastAsia"/>
          <w:color w:val="000000"/>
        </w:rPr>
        <w:t>4.P</w:t>
      </w:r>
      <w:r>
        <w:rPr>
          <w:rFonts w:ascii="楷体" w:eastAsia="楷体" w:hAnsi="楷体" w:hint="eastAsia"/>
          <w:color w:val="000000"/>
        </w:rPr>
        <w:t>协议要求，传递参数的值中如果存在特殊字符（如：</w:t>
      </w:r>
      <w:r>
        <w:rPr>
          <w:rFonts w:ascii="Arial" w:eastAsia="楷体" w:hAnsi="Arial" w:hint="eastAsia"/>
          <w:color w:val="000000"/>
        </w:rPr>
        <w:t>&amp;</w:t>
      </w:r>
      <w:r>
        <w:rPr>
          <w:rFonts w:ascii="楷体" w:eastAsia="楷体" w:hAnsi="楷体" w:hint="eastAsia"/>
          <w:color w:val="000000"/>
        </w:rPr>
        <w:t>、</w:t>
      </w:r>
      <w:r>
        <w:rPr>
          <w:rFonts w:ascii="Arial" w:eastAsia="楷体" w:hAnsi="Arial" w:hint="eastAsia"/>
          <w:color w:val="000000"/>
        </w:rPr>
        <w:t>@</w:t>
      </w:r>
      <w:r>
        <w:rPr>
          <w:rFonts w:ascii="楷体" w:eastAsia="楷体" w:hAnsi="楷体" w:hint="eastAsia"/>
          <w:color w:val="000000"/>
        </w:rPr>
        <w:t>等），那么该值需要做</w:t>
      </w:r>
      <w:r>
        <w:rPr>
          <w:rFonts w:ascii="Arial" w:eastAsia="楷体" w:hAnsi="Arial" w:hint="eastAsia"/>
          <w:color w:val="000000"/>
        </w:rPr>
        <w:t>URL Encoding</w:t>
      </w:r>
      <w:r>
        <w:rPr>
          <w:rFonts w:ascii="楷体" w:eastAsia="楷体" w:hAnsi="楷体" w:hint="eastAsia"/>
          <w:color w:val="000000"/>
        </w:rPr>
        <w:t>，这样请求接收方才能接收到正确的参数值。这种情况下，待签名数据应该是原始值而不是</w:t>
      </w:r>
      <w:r>
        <w:rPr>
          <w:rFonts w:ascii="Arial" w:eastAsia="楷体" w:hAnsi="Arial" w:hint="eastAsia"/>
          <w:color w:val="000000"/>
        </w:rPr>
        <w:t>encoding</w:t>
      </w:r>
      <w:r>
        <w:rPr>
          <w:rFonts w:ascii="楷体" w:eastAsia="楷体" w:hAnsi="楷体" w:hint="eastAsia"/>
          <w:color w:val="000000"/>
        </w:rPr>
        <w:t>之后的值。例如：调用某接口需要对请求参数</w:t>
      </w:r>
      <w:r>
        <w:rPr>
          <w:rFonts w:ascii="Arial" w:eastAsia="楷体" w:hAnsi="Arial" w:hint="eastAsia"/>
          <w:color w:val="000000"/>
        </w:rPr>
        <w:t>email</w:t>
      </w:r>
      <w:r>
        <w:rPr>
          <w:rFonts w:ascii="楷体" w:eastAsia="楷体" w:hAnsi="楷体" w:hint="eastAsia"/>
          <w:color w:val="000000"/>
        </w:rPr>
        <w:t>进行数字签名，那么待签名数据应该是</w:t>
      </w:r>
      <w:r>
        <w:rPr>
          <w:rFonts w:ascii="Arial" w:eastAsia="楷体" w:hAnsi="Arial" w:hint="eastAsia"/>
          <w:color w:val="000000"/>
        </w:rPr>
        <w:t>email=test@msn.com</w:t>
      </w:r>
      <w:r>
        <w:rPr>
          <w:rFonts w:ascii="楷体" w:eastAsia="楷体" w:hAnsi="楷体" w:hint="eastAsia"/>
          <w:color w:val="000000"/>
        </w:rPr>
        <w:t>，而不是</w:t>
      </w:r>
      <w:r>
        <w:rPr>
          <w:rFonts w:ascii="Arial" w:eastAsia="楷体" w:hAnsi="Arial" w:hint="eastAsia"/>
          <w:color w:val="000000"/>
        </w:rPr>
        <w:t>email=test%40msn.com</w:t>
      </w:r>
      <w:r>
        <w:rPr>
          <w:rFonts w:ascii="楷体" w:eastAsia="楷体" w:hAnsi="楷体" w:hint="eastAsia"/>
          <w:color w:val="000000"/>
        </w:rPr>
        <w:t>。</w:t>
      </w:r>
    </w:p>
    <w:p w:rsidR="00136C15" w:rsidRDefault="00136C15">
      <w:pPr>
        <w:jc w:val="left"/>
        <w:rPr>
          <w:rFonts w:ascii="楷体" w:eastAsia="楷体" w:hAnsi="楷体"/>
          <w:color w:val="000000"/>
        </w:rPr>
      </w:pPr>
    </w:p>
    <w:p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bookmarkStart w:id="17" w:name="_GoBack"/>
      <w:bookmarkEnd w:id="1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.2 MD5签名</w:t>
      </w:r>
    </w:p>
    <w:p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:rsidR="00136C15" w:rsidRDefault="00136C15">
      <w:pPr>
        <w:rPr>
          <w:sz w:val="24"/>
        </w:rPr>
      </w:pPr>
    </w:p>
    <w:p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136C15"/>
    <w:p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59D"/>
    <w:rsid w:val="00136C15"/>
    <w:rsid w:val="00172A27"/>
    <w:rsid w:val="001A5CD5"/>
    <w:rsid w:val="002313FE"/>
    <w:rsid w:val="002A3D97"/>
    <w:rsid w:val="0035272F"/>
    <w:rsid w:val="00450185"/>
    <w:rsid w:val="0048237D"/>
    <w:rsid w:val="004C62E5"/>
    <w:rsid w:val="00527D24"/>
    <w:rsid w:val="005F7D7A"/>
    <w:rsid w:val="00605A1A"/>
    <w:rsid w:val="00676D1E"/>
    <w:rsid w:val="006A012C"/>
    <w:rsid w:val="006E2230"/>
    <w:rsid w:val="006F7D1B"/>
    <w:rsid w:val="007C7707"/>
    <w:rsid w:val="00861763"/>
    <w:rsid w:val="008739C1"/>
    <w:rsid w:val="008C28CC"/>
    <w:rsid w:val="008C4F8F"/>
    <w:rsid w:val="008E3FC3"/>
    <w:rsid w:val="008F1EBE"/>
    <w:rsid w:val="009B4ABE"/>
    <w:rsid w:val="009C37BF"/>
    <w:rsid w:val="009D2C8F"/>
    <w:rsid w:val="00B07F19"/>
    <w:rsid w:val="00B466A2"/>
    <w:rsid w:val="00B63C12"/>
    <w:rsid w:val="00B65E05"/>
    <w:rsid w:val="00C0165F"/>
    <w:rsid w:val="00C91EF2"/>
    <w:rsid w:val="00CB515B"/>
    <w:rsid w:val="00CC6813"/>
    <w:rsid w:val="00CD0A4F"/>
    <w:rsid w:val="00CF5937"/>
    <w:rsid w:val="00DC49EA"/>
    <w:rsid w:val="00EB40BE"/>
    <w:rsid w:val="00EC2722"/>
    <w:rsid w:val="00ED59B8"/>
    <w:rsid w:val="00F12E38"/>
    <w:rsid w:val="00F147AE"/>
    <w:rsid w:val="00F84647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Char"/>
    <w:rsid w:val="009D2C8F"/>
    <w:rPr>
      <w:sz w:val="18"/>
      <w:szCs w:val="18"/>
    </w:rPr>
  </w:style>
  <w:style w:type="character" w:customStyle="1" w:styleId="Char">
    <w:name w:val="批注框文本 Char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0"/>
    <w:rsid w:val="009D2C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9D2C8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2016-10-17T02:31:00Z</dcterms:created>
  <dcterms:modified xsi:type="dcterms:W3CDTF">2016-11-13T06:51:00Z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