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operational controls</w:t>
      </w:r>
    </w:p>
    <w:p>
      <w:r>
        <w:t>Record QX-17 links to the receipt below. These are synthetic test facts.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Receipt</w:t>
            </w:r>
          </w:p>
        </w:tc>
      </w:tr>
      <w:tr>
        <w:tc>
          <w:tcPr>
            <w:tcW w:type="dxa" w:w="4320"/>
          </w:tcPr>
          <w:p>
            <w:r>
              <w:t>QX-17</w:t>
            </w:r>
          </w:p>
        </w:tc>
        <w:tc>
          <w:tcPr>
            <w:tcW w:type="dxa" w:w="4320"/>
          </w:tcPr>
          <w:p>
            <w:r>
              <w:t>R-082</w:t>
            </w:r>
          </w:p>
        </w:tc>
      </w:tr>
    </w:tbl>
    <w:p>
      <w:r>
        <w:t>The table is followed by a note: preserve the original identifier.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