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B9BEF">
      <w:pPr>
        <w:jc w:val="center"/>
        <w:rPr>
          <w:rFonts w:hint="eastAsia" w:eastAsia="方正小标宋简体" w:cs="方正小标宋简体"/>
          <w:sz w:val="44"/>
          <w:szCs w:val="44"/>
        </w:rPr>
      </w:pPr>
    </w:p>
    <w:p w14:paraId="0446C84A">
      <w:pPr>
        <w:jc w:val="center"/>
        <w:rPr>
          <w:rFonts w:hint="eastAsia" w:eastAsia="方正小标宋简体" w:cs="方正小标宋简体"/>
          <w:sz w:val="44"/>
          <w:szCs w:val="44"/>
        </w:rPr>
      </w:pPr>
    </w:p>
    <w:p w14:paraId="70E28AD0">
      <w:pPr>
        <w:jc w:val="center"/>
        <w:rPr>
          <w:rFonts w:hint="eastAsia" w:ascii="方正小标宋简体" w:hAnsi="方正小标宋简体" w:eastAsia="方正小标宋简体" w:cs="方正小标宋简体"/>
          <w:spacing w:val="-20"/>
          <w:sz w:val="56"/>
          <w:szCs w:val="56"/>
        </w:rPr>
      </w:pPr>
      <w:r>
        <w:rPr>
          <w:rFonts w:hint="eastAsia" w:ascii="方正小标宋简体" w:hAnsi="方正小标宋简体" w:eastAsia="方正小标宋简体" w:cs="方正小标宋简体"/>
          <w:spacing w:val="0"/>
          <w:sz w:val="56"/>
          <w:szCs w:val="56"/>
          <w:lang w:val="en-US" w:eastAsia="zh-CN"/>
        </w:rPr>
        <w:t>“捷交通”执法大模型</w:t>
      </w:r>
      <w:r>
        <w:rPr>
          <w:rFonts w:hint="eastAsia" w:ascii="方正小标宋简体" w:hAnsi="方正小标宋简体" w:eastAsia="方正小标宋简体" w:cs="方正小标宋简体"/>
          <w:spacing w:val="0"/>
          <w:sz w:val="56"/>
          <w:szCs w:val="56"/>
        </w:rPr>
        <w:t>调研</w:t>
      </w:r>
    </w:p>
    <w:p w14:paraId="0295ABE4">
      <w:pPr>
        <w:jc w:val="center"/>
        <w:rPr>
          <w:rFonts w:hint="eastAsia" w:eastAsia="方正小标宋_GBK" w:cs="方正小标宋_GBK"/>
          <w:spacing w:val="-20"/>
          <w:sz w:val="84"/>
          <w:szCs w:val="84"/>
        </w:rPr>
      </w:pPr>
    </w:p>
    <w:p w14:paraId="283E8F49">
      <w:pPr>
        <w:jc w:val="center"/>
        <w:rPr>
          <w:rFonts w:hint="eastAsia" w:ascii="方正小标宋简体" w:hAnsi="方正小标宋简体" w:eastAsia="方正小标宋简体" w:cs="方正小标宋简体"/>
          <w:spacing w:val="-20"/>
          <w:sz w:val="84"/>
          <w:szCs w:val="84"/>
        </w:rPr>
      </w:pPr>
      <w:r>
        <w:rPr>
          <w:rFonts w:hint="eastAsia" w:ascii="方正小标宋简体" w:hAnsi="方正小标宋简体" w:eastAsia="方正小标宋简体" w:cs="方正小标宋简体"/>
          <w:spacing w:val="-20"/>
          <w:sz w:val="84"/>
          <w:szCs w:val="84"/>
          <w:lang w:eastAsia="zh-CN"/>
        </w:rPr>
        <w:t>调</w:t>
      </w:r>
      <w:r>
        <w:rPr>
          <w:rFonts w:hint="eastAsia" w:ascii="方正小标宋简体" w:hAnsi="方正小标宋简体" w:eastAsia="方正小标宋简体" w:cs="方正小标宋简体"/>
          <w:spacing w:val="-20"/>
          <w:sz w:val="84"/>
          <w:szCs w:val="84"/>
        </w:rPr>
        <w:t xml:space="preserve"> </w:t>
      </w:r>
    </w:p>
    <w:p w14:paraId="366BE7DC">
      <w:pPr>
        <w:jc w:val="center"/>
        <w:rPr>
          <w:rFonts w:hint="eastAsia" w:ascii="方正小标宋简体" w:hAnsi="方正小标宋简体" w:eastAsia="方正小标宋简体" w:cs="方正小标宋简体"/>
          <w:spacing w:val="-20"/>
          <w:sz w:val="84"/>
          <w:szCs w:val="84"/>
          <w:lang w:eastAsia="zh-CN"/>
        </w:rPr>
      </w:pPr>
      <w:r>
        <w:rPr>
          <w:rFonts w:hint="eastAsia" w:ascii="方正小标宋简体" w:hAnsi="方正小标宋简体" w:eastAsia="方正小标宋简体" w:cs="方正小标宋简体"/>
          <w:spacing w:val="-20"/>
          <w:sz w:val="84"/>
          <w:szCs w:val="84"/>
          <w:lang w:eastAsia="zh-CN"/>
        </w:rPr>
        <w:t>研</w:t>
      </w:r>
    </w:p>
    <w:p w14:paraId="45B8CCD5">
      <w:pPr>
        <w:jc w:val="center"/>
        <w:rPr>
          <w:rFonts w:hint="eastAsia" w:ascii="方正小标宋简体" w:hAnsi="方正小标宋简体" w:eastAsia="方正小标宋简体" w:cs="方正小标宋简体"/>
          <w:spacing w:val="-20"/>
          <w:sz w:val="84"/>
          <w:szCs w:val="84"/>
          <w:lang w:eastAsia="zh-CN"/>
        </w:rPr>
      </w:pPr>
      <w:r>
        <w:rPr>
          <w:rFonts w:hint="eastAsia" w:ascii="方正小标宋简体" w:hAnsi="方正小标宋简体" w:eastAsia="方正小标宋简体" w:cs="方正小标宋简体"/>
          <w:spacing w:val="-20"/>
          <w:sz w:val="84"/>
          <w:szCs w:val="84"/>
          <w:lang w:eastAsia="zh-CN"/>
        </w:rPr>
        <w:t>手</w:t>
      </w:r>
    </w:p>
    <w:p w14:paraId="2E12E6C0">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pacing w:val="-20"/>
          <w:sz w:val="84"/>
          <w:szCs w:val="84"/>
          <w:lang w:eastAsia="zh-CN"/>
        </w:rPr>
        <w:t>册</w:t>
      </w:r>
    </w:p>
    <w:p w14:paraId="12DC998C">
      <w:pPr>
        <w:rPr>
          <w:rFonts w:eastAsia="方正小标宋_GBK"/>
          <w:sz w:val="32"/>
          <w:szCs w:val="32"/>
        </w:rPr>
      </w:pPr>
    </w:p>
    <w:p w14:paraId="26EA0BB2">
      <w:pPr>
        <w:jc w:val="center"/>
        <w:rPr>
          <w:rFonts w:eastAsia="楷体_GB2312"/>
          <w:sz w:val="32"/>
          <w:szCs w:val="32"/>
        </w:rPr>
      </w:pPr>
    </w:p>
    <w:p w14:paraId="0A9EF97A">
      <w:pPr>
        <w:pStyle w:val="5"/>
        <w:jc w:val="center"/>
        <w:rPr>
          <w:rFonts w:hint="eastAsia" w:ascii="楷体_GB2312" w:hAnsi="楷体_GB2312" w:eastAsia="楷体_GB2312" w:cs="楷体_GB2312"/>
          <w:spacing w:val="57"/>
          <w:sz w:val="32"/>
          <w:szCs w:val="32"/>
        </w:rPr>
      </w:pPr>
    </w:p>
    <w:p w14:paraId="6B156DBC">
      <w:pPr>
        <w:pStyle w:val="5"/>
        <w:jc w:val="center"/>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rPr>
        <w:t>河北省交通运输</w:t>
      </w:r>
      <w:r>
        <w:rPr>
          <w:rFonts w:hint="eastAsia" w:ascii="楷体_GB2312" w:hAnsi="楷体_GB2312" w:eastAsia="楷体_GB2312" w:cs="楷体_GB2312"/>
          <w:sz w:val="32"/>
          <w:szCs w:val="32"/>
          <w:lang w:val="en-US" w:eastAsia="zh-CN"/>
        </w:rPr>
        <w:t>综合执法监督局</w:t>
      </w:r>
    </w:p>
    <w:p w14:paraId="52B47F7D">
      <w:pPr>
        <w:pStyle w:val="5"/>
        <w:jc w:val="center"/>
        <w:rPr>
          <w:rFonts w:hint="eastAsia" w:ascii="黑体" w:hAnsi="黑体" w:eastAsia="黑体" w:cs="黑体"/>
          <w:sz w:val="32"/>
          <w:szCs w:val="32"/>
          <w:lang w:val="en-GB" w:eastAsia="zh-CN"/>
        </w:rPr>
        <w:sectPr>
          <w:headerReference r:id="rId3" w:type="default"/>
          <w:footerReference r:id="rId4" w:type="default"/>
          <w:pgSz w:w="11906" w:h="16838"/>
          <w:pgMar w:top="2098" w:right="1474" w:bottom="1984" w:left="1587" w:header="851" w:footer="992" w:gutter="0"/>
          <w:pgNumType w:fmt="decimal" w:start="1"/>
          <w:cols w:space="425" w:num="1"/>
          <w:docGrid w:type="lines" w:linePitch="312" w:charSpace="0"/>
        </w:sectPr>
      </w:pPr>
      <w:r>
        <w:rPr>
          <w:rFonts w:hint="eastAsia" w:ascii="楷体_GB2312" w:hAnsi="楷体_GB2312" w:eastAsia="楷体_GB2312" w:cs="楷体_GB2312"/>
          <w:spacing w:val="20"/>
          <w:sz w:val="32"/>
          <w:szCs w:val="32"/>
        </w:rPr>
        <w:t>二〇二六年</w:t>
      </w:r>
      <w:r>
        <w:rPr>
          <w:rFonts w:hint="eastAsia" w:ascii="楷体_GB2312" w:hAnsi="楷体_GB2312" w:eastAsia="楷体_GB2312" w:cs="楷体_GB2312"/>
          <w:spacing w:val="20"/>
          <w:sz w:val="32"/>
          <w:szCs w:val="32"/>
          <w:lang w:val="en-US" w:eastAsia="zh-CN"/>
        </w:rPr>
        <w:t>五</w:t>
      </w:r>
      <w:r>
        <w:rPr>
          <w:rFonts w:hint="eastAsia" w:ascii="楷体_GB2312" w:hAnsi="楷体_GB2312" w:eastAsia="楷体_GB2312" w:cs="楷体_GB2312"/>
          <w:spacing w:val="20"/>
          <w:sz w:val="32"/>
          <w:szCs w:val="32"/>
        </w:rPr>
        <w:t>月</w:t>
      </w:r>
    </w:p>
    <w:p w14:paraId="61BA3E3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黑体" w:cs="Times New Roman"/>
          <w:sz w:val="32"/>
          <w:szCs w:val="32"/>
          <w:lang w:val="en-US" w:eastAsia="zh-CN"/>
        </w:rPr>
      </w:pPr>
      <w:r>
        <w:rPr>
          <w:rFonts w:hint="eastAsia" w:ascii="黑体" w:hAnsi="黑体" w:eastAsia="黑体" w:cs="黑体"/>
          <w:sz w:val="32"/>
          <w:szCs w:val="32"/>
          <w:lang w:eastAsia="zh-CN"/>
        </w:rPr>
        <w:t>一、</w:t>
      </w:r>
      <w:r>
        <w:rPr>
          <w:rFonts w:hint="eastAsia" w:ascii="黑体" w:hAnsi="黑体" w:eastAsia="黑体" w:cs="黑体"/>
          <w:sz w:val="32"/>
          <w:szCs w:val="32"/>
        </w:rPr>
        <w:t>调研</w:t>
      </w:r>
      <w:r>
        <w:rPr>
          <w:rFonts w:hint="eastAsia" w:ascii="黑体" w:hAnsi="黑体" w:eastAsia="黑体" w:cs="黑体"/>
          <w:sz w:val="32"/>
          <w:szCs w:val="32"/>
          <w:lang w:val="en-US" w:eastAsia="zh-CN"/>
        </w:rPr>
        <w:t>时间</w:t>
      </w:r>
    </w:p>
    <w:p w14:paraId="4C132184">
      <w:pPr>
        <w:keepNext w:val="0"/>
        <w:keepLines w:val="0"/>
        <w:pageBreakBefore w:val="0"/>
        <w:widowControl w:val="0"/>
        <w:numPr>
          <w:ilvl w:val="0"/>
          <w:numId w:val="0"/>
        </w:numPr>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2026年5月7日</w:t>
      </w:r>
    </w:p>
    <w:p w14:paraId="5A7B861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w:t>
      </w:r>
      <w:r>
        <w:rPr>
          <w:rFonts w:hint="default" w:ascii="黑体" w:hAnsi="黑体" w:eastAsia="黑体" w:cs="黑体"/>
          <w:sz w:val="32"/>
          <w:szCs w:val="32"/>
        </w:rPr>
        <w:t>调研</w:t>
      </w:r>
      <w:r>
        <w:rPr>
          <w:rFonts w:hint="eastAsia" w:ascii="黑体" w:hAnsi="黑体" w:eastAsia="黑体" w:cs="黑体"/>
          <w:sz w:val="32"/>
          <w:szCs w:val="32"/>
          <w:lang w:val="en-US" w:eastAsia="zh-CN"/>
        </w:rPr>
        <w:t>地点</w:t>
      </w:r>
    </w:p>
    <w:p w14:paraId="1D94D0E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5月7日下午15</w:t>
      </w:r>
      <w:bookmarkStart w:id="0" w:name="_GoBack"/>
      <w:bookmarkEnd w:id="0"/>
      <w:r>
        <w:rPr>
          <w:rFonts w:hint="eastAsia" w:ascii="仿宋_GB2312" w:hAnsi="仿宋_GB2312" w:eastAsia="仿宋_GB2312" w:cs="仿宋_GB2312"/>
          <w:sz w:val="32"/>
          <w:szCs w:val="32"/>
          <w:lang w:val="en-US" w:eastAsia="zh-CN"/>
        </w:rPr>
        <w:t>：00在</w:t>
      </w:r>
      <w:r>
        <w:rPr>
          <w:rFonts w:hint="eastAsia" w:ascii="仿宋_GB2312" w:hAnsi="仿宋_GB2312" w:eastAsia="仿宋_GB2312" w:cs="仿宋_GB2312"/>
          <w:sz w:val="32"/>
          <w:szCs w:val="32"/>
        </w:rPr>
        <w:t>河北省交通运输综合执法监督局</w:t>
      </w:r>
      <w:r>
        <w:rPr>
          <w:rFonts w:hint="eastAsia" w:ascii="仿宋_GB2312" w:hAnsi="仿宋_GB2312" w:eastAsia="仿宋_GB2312" w:cs="仿宋_GB2312"/>
          <w:sz w:val="32"/>
          <w:szCs w:val="32"/>
          <w:lang w:val="en-US" w:eastAsia="zh-CN"/>
        </w:rPr>
        <w:t>二楼智能执法中心观看智能体应用演示，召开座谈交流会。</w:t>
      </w:r>
    </w:p>
    <w:p w14:paraId="347BEA6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三、议程安排</w:t>
      </w:r>
    </w:p>
    <w:p w14:paraId="0EEB91A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（一）参观“捷交通”人工智能实验室。</w:t>
      </w:r>
    </w:p>
    <w:p w14:paraId="7B9A34A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（二）介绍“捷交通”执法大模型建设历程。</w:t>
      </w:r>
    </w:p>
    <w:p w14:paraId="08CC025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（三）演示“捷交通”执法大模型应用场景功能。</w:t>
      </w:r>
    </w:p>
    <w:p w14:paraId="7B1B77A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w:t>
      </w:r>
      <w:r>
        <w:rPr>
          <w:rFonts w:hint="eastAsia" w:ascii="黑体" w:hAnsi="黑体" w:eastAsia="黑体" w:cs="黑体"/>
          <w:sz w:val="32"/>
          <w:szCs w:val="32"/>
          <w:lang w:eastAsia="zh-CN"/>
        </w:rPr>
        <w:t>、</w:t>
      </w:r>
      <w:r>
        <w:rPr>
          <w:rFonts w:hint="eastAsia" w:ascii="黑体" w:hAnsi="黑体" w:eastAsia="黑体" w:cs="黑体"/>
          <w:sz w:val="32"/>
          <w:szCs w:val="32"/>
          <w:lang w:val="en-US" w:eastAsia="zh-CN"/>
        </w:rPr>
        <w:t>参会人员</w:t>
      </w:r>
    </w:p>
    <w:p w14:paraId="5E8ECAD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sz w:val="32"/>
          <w:szCs w:val="32"/>
          <w:lang w:val="en-US" w:eastAsia="zh-CN"/>
        </w:rPr>
      </w:pPr>
      <w:r>
        <w:rPr>
          <w:rFonts w:hint="default" w:ascii="楷体_GB2312" w:hAnsi="楷体_GB2312" w:eastAsia="楷体_GB2312" w:cs="楷体_GB2312"/>
          <w:sz w:val="32"/>
          <w:szCs w:val="32"/>
          <w:lang w:val="en-US" w:eastAsia="zh-CN"/>
        </w:rPr>
        <w:t>（一）</w:t>
      </w:r>
      <w:r>
        <w:rPr>
          <w:rFonts w:hint="eastAsia" w:ascii="楷体_GB2312" w:hAnsi="楷体_GB2312" w:eastAsia="楷体_GB2312" w:cs="楷体_GB2312"/>
          <w:sz w:val="32"/>
          <w:szCs w:val="32"/>
          <w:lang w:val="en-US" w:eastAsia="zh-CN"/>
        </w:rPr>
        <w:t>湖北省</w:t>
      </w:r>
      <w:r>
        <w:rPr>
          <w:rFonts w:hint="default" w:ascii="楷体_GB2312" w:hAnsi="楷体_GB2312" w:eastAsia="楷体_GB2312" w:cs="楷体_GB2312"/>
          <w:sz w:val="32"/>
          <w:szCs w:val="32"/>
          <w:lang w:val="en-US" w:eastAsia="zh-CN"/>
        </w:rPr>
        <w:t>调研人员</w:t>
      </w:r>
    </w:p>
    <w:p w14:paraId="6BC7554D">
      <w:pPr>
        <w:keepNext w:val="0"/>
        <w:keepLines w:val="0"/>
        <w:pageBreakBefore w:val="0"/>
        <w:widowControl w:val="0"/>
        <w:kinsoku/>
        <w:wordWrap/>
        <w:overflowPunct/>
        <w:topLinePunct w:val="0"/>
        <w:autoSpaceDE/>
        <w:autoSpaceDN/>
        <w:bidi w:val="0"/>
        <w:adjustRightInd/>
        <w:snapToGrid/>
        <w:spacing w:line="560" w:lineRule="exact"/>
        <w:ind w:left="2558" w:leftChars="304" w:hanging="1920" w:hangingChars="6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张</w:t>
      </w: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羽</w:t>
      </w: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湖北省交通运输综合行政执法局直属支队副支队</w:t>
      </w:r>
    </w:p>
    <w:p w14:paraId="28737605">
      <w:pPr>
        <w:keepNext w:val="0"/>
        <w:keepLines w:val="0"/>
        <w:pageBreakBefore w:val="0"/>
        <w:widowControl w:val="0"/>
        <w:kinsoku/>
        <w:wordWrap/>
        <w:overflowPunct/>
        <w:topLinePunct w:val="0"/>
        <w:autoSpaceDE/>
        <w:autoSpaceDN/>
        <w:bidi w:val="0"/>
        <w:adjustRightInd/>
        <w:snapToGrid/>
        <w:spacing w:line="560" w:lineRule="exact"/>
        <w:ind w:left="2555" w:leftChars="912" w:hanging="640" w:hanging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长</w:t>
      </w:r>
    </w:p>
    <w:p w14:paraId="3FF78C16">
      <w:pPr>
        <w:keepNext w:val="0"/>
        <w:keepLines w:val="0"/>
        <w:pageBreakBefore w:val="0"/>
        <w:widowControl w:val="0"/>
        <w:kinsoku/>
        <w:wordWrap/>
        <w:overflowPunct/>
        <w:topLinePunct w:val="0"/>
        <w:autoSpaceDE/>
        <w:autoSpaceDN/>
        <w:bidi w:val="0"/>
        <w:adjustRightInd/>
        <w:snapToGrid/>
        <w:spacing w:line="560" w:lineRule="exact"/>
        <w:ind w:left="1918" w:leftChars="304" w:hanging="1280" w:hangingChars="4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张 </w:t>
      </w: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亮</w:t>
      </w: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湖北省交通运输综合行政执法总队高速公路路政执法四支队副支队长</w:t>
      </w:r>
    </w:p>
    <w:p w14:paraId="5B1F417A">
      <w:pPr>
        <w:keepNext w:val="0"/>
        <w:keepLines w:val="0"/>
        <w:pageBreakBefore w:val="0"/>
        <w:widowControl w:val="0"/>
        <w:kinsoku/>
        <w:wordWrap/>
        <w:overflowPunct/>
        <w:topLinePunct w:val="0"/>
        <w:autoSpaceDE/>
        <w:autoSpaceDN/>
        <w:bidi w:val="0"/>
        <w:adjustRightInd/>
        <w:snapToGrid/>
        <w:spacing w:line="560" w:lineRule="exact"/>
        <w:ind w:left="1918" w:leftChars="304" w:hanging="1280" w:hangingChars="4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赵晓伟 </w:t>
      </w: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湖北省交通运输综合行政执法总队高速公路路政执法三支队二大队大队长</w:t>
      </w:r>
    </w:p>
    <w:p w14:paraId="64DAAAA0">
      <w:pPr>
        <w:keepNext w:val="0"/>
        <w:keepLines w:val="0"/>
        <w:pageBreakBefore w:val="0"/>
        <w:widowControl w:val="0"/>
        <w:kinsoku/>
        <w:wordWrap/>
        <w:overflowPunct/>
        <w:topLinePunct w:val="0"/>
        <w:autoSpaceDE/>
        <w:autoSpaceDN/>
        <w:bidi w:val="0"/>
        <w:adjustRightInd/>
        <w:snapToGrid/>
        <w:spacing w:line="560" w:lineRule="exact"/>
        <w:ind w:left="1918" w:leftChars="304" w:hanging="1280" w:hangingChars="4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张</w:t>
      </w: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 xml:space="preserve"> 宝</w:t>
      </w: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湖北省交通运输综合行政执法总队高速公路路政执法四支队三大队大队长</w:t>
      </w:r>
    </w:p>
    <w:p w14:paraId="6BF1F779">
      <w:pPr>
        <w:keepNext w:val="0"/>
        <w:keepLines w:val="0"/>
        <w:pageBreakBefore w:val="0"/>
        <w:widowControl w:val="0"/>
        <w:kinsoku/>
        <w:wordWrap/>
        <w:overflowPunct/>
        <w:topLinePunct w:val="0"/>
        <w:autoSpaceDE/>
        <w:autoSpaceDN/>
        <w:bidi w:val="0"/>
        <w:adjustRightInd/>
        <w:snapToGrid/>
        <w:spacing w:line="560" w:lineRule="exact"/>
        <w:ind w:left="1918" w:leftChars="304" w:hanging="1280" w:hangingChars="4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魏国华</w:t>
      </w:r>
      <w:r>
        <w:rPr>
          <w:rFonts w:hint="eastAsia"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湖北省交通运输综合行政执法总队高速公路路政执法四支队三大队外业主任</w:t>
      </w:r>
    </w:p>
    <w:p w14:paraId="7262DCAB">
      <w:pPr>
        <w:keepNext w:val="0"/>
        <w:keepLines w:val="0"/>
        <w:pageBreakBefore w:val="0"/>
        <w:widowControl w:val="0"/>
        <w:kinsoku/>
        <w:wordWrap/>
        <w:overflowPunct/>
        <w:topLinePunct w:val="0"/>
        <w:autoSpaceDE/>
        <w:autoSpaceDN/>
        <w:bidi w:val="0"/>
        <w:adjustRightInd/>
        <w:snapToGrid/>
        <w:spacing w:line="560" w:lineRule="exact"/>
        <w:ind w:left="1918" w:leftChars="304" w:hanging="1280" w:hangingChars="400"/>
        <w:textAlignment w:val="auto"/>
        <w:rPr>
          <w:rFonts w:hint="default" w:ascii="Times New Roman" w:hAnsi="Times New Roman" w:eastAsia="仿宋_GB2312" w:cs="Times New Roman"/>
          <w:sz w:val="32"/>
          <w:szCs w:val="32"/>
          <w:lang w:val="en-US" w:eastAsia="zh-CN"/>
        </w:rPr>
      </w:pPr>
    </w:p>
    <w:p w14:paraId="1102D73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（二）河北省执法局参会人员</w:t>
      </w:r>
    </w:p>
    <w:p w14:paraId="595947B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王建堂</w:t>
      </w:r>
      <w:r>
        <w:rPr>
          <w:rFonts w:hint="eastAsia" w:eastAsia="仿宋_GB2312" w:cs="Times New Roman"/>
          <w:sz w:val="32"/>
          <w:szCs w:val="32"/>
          <w:lang w:val="en-US" w:eastAsia="zh-CN"/>
        </w:rPr>
        <w:t xml:space="preserve"> </w:t>
      </w:r>
      <w:r>
        <w:rPr>
          <w:rFonts w:hint="eastAsia" w:ascii="仿宋_GB2312" w:hAnsi="仿宋_GB2312" w:eastAsia="仿宋_GB2312" w:cs="仿宋_GB2312"/>
          <w:kern w:val="2"/>
          <w:sz w:val="32"/>
          <w:szCs w:val="32"/>
          <w:lang w:val="en-US" w:eastAsia="zh-CN" w:bidi="ar-SA"/>
        </w:rPr>
        <w:t>河北省交通运输综合执法监督局装备财务处</w:t>
      </w:r>
      <w:r>
        <w:rPr>
          <w:rFonts w:hint="default" w:ascii="Times New Roman" w:hAnsi="Times New Roman" w:eastAsia="仿宋_GB2312" w:cs="Times New Roman"/>
          <w:sz w:val="32"/>
          <w:szCs w:val="32"/>
          <w:lang w:val="en-US" w:eastAsia="zh-CN"/>
        </w:rPr>
        <w:t>处长</w:t>
      </w:r>
    </w:p>
    <w:p w14:paraId="2503F550">
      <w:pPr>
        <w:keepNext w:val="0"/>
        <w:keepLines w:val="0"/>
        <w:pageBreakBefore w:val="0"/>
        <w:widowControl w:val="0"/>
        <w:kinsoku/>
        <w:wordWrap/>
        <w:overflowPunct/>
        <w:topLinePunct w:val="0"/>
        <w:autoSpaceDE/>
        <w:autoSpaceDN/>
        <w:bidi w:val="0"/>
        <w:adjustRightInd/>
        <w:snapToGrid/>
        <w:spacing w:line="560" w:lineRule="exact"/>
        <w:ind w:left="2238" w:leftChars="304" w:hanging="1600" w:hangingChars="5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陈春阳 </w:t>
      </w:r>
      <w:r>
        <w:rPr>
          <w:rFonts w:hint="eastAsia" w:ascii="仿宋_GB2312" w:hAnsi="仿宋_GB2312" w:eastAsia="仿宋_GB2312" w:cs="仿宋_GB2312"/>
          <w:kern w:val="2"/>
          <w:sz w:val="32"/>
          <w:szCs w:val="32"/>
          <w:lang w:val="en-US" w:eastAsia="zh-CN" w:bidi="ar-SA"/>
        </w:rPr>
        <w:t>河北省交通运输综合执法监督局装备财务处</w:t>
      </w:r>
      <w:r>
        <w:rPr>
          <w:rFonts w:hint="default" w:ascii="Times New Roman" w:hAnsi="Times New Roman" w:eastAsia="仿宋_GB2312" w:cs="Times New Roman"/>
          <w:sz w:val="32"/>
          <w:szCs w:val="32"/>
          <w:lang w:val="en-US" w:eastAsia="zh-CN"/>
        </w:rPr>
        <w:t>副处长</w:t>
      </w:r>
    </w:p>
    <w:p w14:paraId="5527CB8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孙浩博 </w:t>
      </w:r>
      <w:r>
        <w:rPr>
          <w:rFonts w:hint="eastAsia" w:ascii="仿宋_GB2312" w:hAnsi="仿宋_GB2312" w:eastAsia="仿宋_GB2312" w:cs="仿宋_GB2312"/>
          <w:kern w:val="2"/>
          <w:sz w:val="32"/>
          <w:szCs w:val="32"/>
          <w:lang w:val="en-US" w:eastAsia="zh-CN" w:bidi="ar-SA"/>
        </w:rPr>
        <w:t>河北省交通运输综合执法监督局装备财务处</w:t>
      </w:r>
      <w:r>
        <w:rPr>
          <w:rFonts w:hint="eastAsia" w:eastAsia="仿宋_GB2312" w:cs="Times New Roman"/>
          <w:sz w:val="32"/>
          <w:szCs w:val="32"/>
          <w:lang w:val="en-US" w:eastAsia="zh-CN"/>
        </w:rPr>
        <w:t>科员</w:t>
      </w:r>
    </w:p>
    <w:p w14:paraId="0AA1667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3CF1EFE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46C3563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68C25DB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680E463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58268FA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39EE838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3E3C950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0519A6E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3761E6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3EE8351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08E177D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46CE338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180073A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7DFED41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3CC0DA4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70EB4C5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cs="Times New Roman"/>
          <w:sz w:val="32"/>
          <w:szCs w:val="32"/>
          <w:lang w:val="en-US" w:eastAsia="zh-CN"/>
        </w:rPr>
      </w:pPr>
    </w:p>
    <w:p w14:paraId="03D0185D">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eastAsia="仿宋_GB2312" w:cs="Times New Roman"/>
          <w:sz w:val="32"/>
          <w:szCs w:val="32"/>
          <w:lang w:val="en-US" w:eastAsia="zh-CN"/>
        </w:rPr>
      </w:pPr>
    </w:p>
    <w:p w14:paraId="1A7A4985">
      <w:pPr>
        <w:keepNext w:val="0"/>
        <w:keepLines w:val="0"/>
        <w:pageBreakBefore w:val="0"/>
        <w:widowControl w:val="0"/>
        <w:kinsoku/>
        <w:wordWrap/>
        <w:overflowPunct/>
        <w:topLinePunct w:val="0"/>
        <w:autoSpaceDE/>
        <w:autoSpaceDN/>
        <w:bidi w:val="0"/>
        <w:adjustRightInd/>
        <w:snapToGrid/>
        <w:spacing w:after="469" w:afterLines="150" w:line="56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河北省交通运输综合执法监督局简介</w:t>
      </w:r>
    </w:p>
    <w:p w14:paraId="613493D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河北省交通运输综合执法监督局2021年2月设立，同年11月18日挂牌，机构规格为副厅级，性质为机关（行政执法机构），暂时使用事业编制。主要有以下6个工作职责：（一）统筹协调和监督指导全省交通运输系统公路路政、道路运政、水路运政、航道行政、港口行政、地方海事行政、工程质量安全监督管理7个执法门类的行政处罚以及与行政处罚相关的行政检查、行政强制工作。（二）参与拟订交通运输综合行政执法相关政策和标准。（三）以省交通运输厅名义查处交通运输领域重大案件、承担省管高速公路领域交通运输综合行政执法事项以及法律法规规定应当由省级承担的交通运输综合行政执法事项。（四）组织协调跨区域交通运输综合行政执法工作，按程序调用市、县交通运输综合行政执法队伍人员力量。（五）指导全省交通运输综合行政执法队伍建设和信息化建设有关工作。（六）完成河北省交通运输厅交办的其他任务。</w:t>
      </w:r>
    </w:p>
    <w:p w14:paraId="0D2248A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共设6个正处级内设机构，分别是：办公室、人事处（党委办公室）、装备财务处、陆上执法监督处、水上执法监督处、工程质量安全监督处，下设12个副处级路政支队（涵盖河北省11个地级市和雄安新区）、81个路政大队，负责全省6136公里省管高速公路路政执法工作。</w:t>
      </w:r>
    </w:p>
    <w:p w14:paraId="28F68BD8">
      <w:pPr>
        <w:jc w:val="left"/>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br w:type="page"/>
      </w:r>
    </w:p>
    <w:p w14:paraId="4300228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“捷交通”执法大模型介绍</w:t>
      </w:r>
    </w:p>
    <w:p w14:paraId="65CF699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0"/>
          <w:szCs w:val="30"/>
          <w:lang w:val="en-GB"/>
        </w:rPr>
      </w:pPr>
      <w:r>
        <w:rPr>
          <w:rFonts w:hint="eastAsia" w:ascii="黑体" w:hAnsi="黑体" w:eastAsia="黑体" w:cs="黑体"/>
          <w:sz w:val="30"/>
          <w:szCs w:val="30"/>
        </w:rPr>
        <w:t>——全流程自动辅助交通运输执法的大模型</w:t>
      </w:r>
    </w:p>
    <w:p w14:paraId="4B067402">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仿宋_GB2312" w:cs="Times New Roman"/>
          <w:sz w:val="28"/>
          <w:szCs w:val="28"/>
        </w:rPr>
      </w:pPr>
      <w:r>
        <w:rPr>
          <w:rFonts w:hint="default" w:ascii="Times New Roman" w:hAnsi="Times New Roman" w:eastAsia="仿宋_GB2312" w:cs="Times New Roman"/>
          <w:sz w:val="30"/>
          <w:szCs w:val="30"/>
        </w:rPr>
        <w:t>　　</w:t>
      </w:r>
      <w:r>
        <w:rPr>
          <w:rFonts w:hint="default" w:ascii="Times New Roman" w:hAnsi="Times New Roman" w:eastAsia="仿宋_GB2312" w:cs="Times New Roman"/>
          <w:sz w:val="28"/>
          <w:szCs w:val="28"/>
        </w:rPr>
        <w:t>“捷交通”执法大模型，是已上线运行、服务超300万人次、覆盖数万卷执法文书的智能体集合。它接入部省市县18类97项交通执法数据，嵌入执法人员办案终端，既是可全流程自动作业的</w:t>
      </w:r>
      <w:r>
        <w:rPr>
          <w:rFonts w:hint="eastAsia" w:ascii="仿宋_GB2312" w:hAnsi="仿宋_GB2312" w:eastAsia="仿宋_GB2312" w:cs="仿宋_GB2312"/>
          <w:sz w:val="28"/>
          <w:szCs w:val="28"/>
        </w:rPr>
        <w:t>“执法分身”，也是能分析研判、生成报告的“决策助手”，</w:t>
      </w:r>
      <w:r>
        <w:rPr>
          <w:rFonts w:hint="default" w:ascii="Times New Roman" w:hAnsi="Times New Roman" w:eastAsia="仿宋_GB2312" w:cs="Times New Roman"/>
          <w:sz w:val="28"/>
          <w:szCs w:val="28"/>
        </w:rPr>
        <w:t>专为破解交通执法行业痛点打造。</w:t>
      </w:r>
    </w:p>
    <w:p w14:paraId="20414D93">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　　针对执法文书制作不规范、非现场治超线索审核效率低、执法决策缺乏数据支撑、当事人办事跑腿多、跨区域协同流转不畅五大核心痛点，我们搭建了</w:t>
      </w:r>
      <w:r>
        <w:rPr>
          <w:rFonts w:hint="eastAsia" w:ascii="仿宋_GB2312" w:hAnsi="仿宋_GB2312" w:eastAsia="仿宋_GB2312" w:cs="仿宋_GB2312"/>
          <w:sz w:val="28"/>
          <w:szCs w:val="28"/>
        </w:rPr>
        <w:t>“</w:t>
      </w:r>
      <w:r>
        <w:rPr>
          <w:rFonts w:hint="default" w:ascii="Times New Roman" w:hAnsi="Times New Roman" w:eastAsia="仿宋_GB2312" w:cs="Times New Roman"/>
          <w:sz w:val="28"/>
          <w:szCs w:val="28"/>
        </w:rPr>
        <w:t>1+5</w:t>
      </w:r>
      <w:r>
        <w:rPr>
          <w:rFonts w:hint="eastAsia" w:ascii="仿宋_GB2312" w:hAnsi="仿宋_GB2312" w:eastAsia="仿宋_GB2312" w:cs="仿宋_GB2312"/>
          <w:sz w:val="28"/>
          <w:szCs w:val="28"/>
        </w:rPr>
        <w:t>”智能体开发整体架构。其中“</w:t>
      </w:r>
      <w:r>
        <w:rPr>
          <w:rFonts w:hint="default" w:ascii="Times New Roman" w:hAnsi="Times New Roman" w:eastAsia="仿宋_GB2312" w:cs="Times New Roman"/>
          <w:sz w:val="28"/>
          <w:szCs w:val="28"/>
        </w:rPr>
        <w:t>1</w:t>
      </w:r>
      <w:r>
        <w:rPr>
          <w:rFonts w:hint="eastAsia" w:ascii="仿宋_GB2312" w:hAnsi="仿宋_GB2312" w:eastAsia="仿宋_GB2312" w:cs="仿宋_GB2312"/>
          <w:sz w:val="28"/>
          <w:szCs w:val="28"/>
        </w:rPr>
        <w:t>”</w:t>
      </w:r>
      <w:r>
        <w:rPr>
          <w:rFonts w:hint="default" w:ascii="Times New Roman" w:hAnsi="Times New Roman" w:eastAsia="仿宋_GB2312" w:cs="Times New Roman"/>
          <w:sz w:val="28"/>
          <w:szCs w:val="28"/>
        </w:rPr>
        <w:t>是整合多维度执法数据打造的高质量执法数据集；“5”对应自动办案、案卷评查、案情分析、违法处理、智能协同五大执法全流程场景，围绕场景开发了21类60余个执法智能体，构成完整的大模型体系。</w:t>
      </w:r>
    </w:p>
    <w:p w14:paraId="06B55195">
      <w:pPr>
        <w:keepNext w:val="0"/>
        <w:keepLines w:val="0"/>
        <w:pageBreakBefore w:val="0"/>
        <w:widowControl w:val="0"/>
        <w:kinsoku/>
        <w:wordWrap/>
        <w:overflowPunct/>
        <w:topLinePunct w:val="0"/>
        <w:autoSpaceDE/>
        <w:autoSpaceDN/>
        <w:bidi w:val="0"/>
        <w:adjustRightInd/>
        <w:snapToGrid/>
        <w:spacing w:line="480" w:lineRule="exact"/>
        <w:ind w:firstLine="651"/>
        <w:jc w:val="left"/>
        <w:textAlignment w:val="auto"/>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在核心执法场景中，该大模型实现了全流程赋能：自动办案环节，智能体嵌入交通运输全部57个执法文书，可自动填写案卷、核验内容规范性，解决了文书制作不规范的行业难题；非现场治超审核场景，经授权的智能分身可自主完成从数据筛选、信息识别、合规核查到文书制作、审签归档的全流程办案，案卷差错率几乎为零；案情分析环节，智能体可快速响应决策需求，调取对应数据并生成可视化分析报告，为执法管理提供精准数据支撑；违法处理环节，打通线上办理通道，当事人可通过</w:t>
      </w:r>
      <w:r>
        <w:rPr>
          <w:rFonts w:hint="eastAsia" w:ascii="仿宋_GB2312" w:hAnsi="仿宋_GB2312" w:eastAsia="仿宋_GB2312" w:cs="仿宋_GB2312"/>
          <w:sz w:val="28"/>
          <w:szCs w:val="28"/>
        </w:rPr>
        <w:t>“</w:t>
      </w:r>
      <w:r>
        <w:rPr>
          <w:rFonts w:hint="default" w:ascii="Times New Roman" w:hAnsi="Times New Roman" w:eastAsia="仿宋_GB2312" w:cs="Times New Roman"/>
          <w:sz w:val="28"/>
          <w:szCs w:val="28"/>
        </w:rPr>
        <w:t>捷交通APP</w:t>
      </w:r>
      <w:r>
        <w:rPr>
          <w:rFonts w:hint="eastAsia" w:ascii="仿宋_GB2312" w:hAnsi="仿宋_GB2312" w:eastAsia="仿宋_GB2312" w:cs="仿宋_GB2312"/>
          <w:sz w:val="28"/>
          <w:szCs w:val="28"/>
        </w:rPr>
        <w:t>”</w:t>
      </w:r>
      <w:r>
        <w:rPr>
          <w:rFonts w:hint="default" w:ascii="Times New Roman" w:hAnsi="Times New Roman" w:eastAsia="仿宋_GB2312" w:cs="Times New Roman"/>
          <w:sz w:val="28"/>
          <w:szCs w:val="28"/>
        </w:rPr>
        <w:t>完成违法事项全流程办理，实现“零跑腿、掌上办”；智能协同环节，可自动完成线索的接收、判别、分级分发，同时支持跨省违法线索自动推送，实现跨区域执法协作自动化。</w:t>
      </w:r>
    </w:p>
    <w:p w14:paraId="3E0720B3">
      <w:pPr>
        <w:keepNext w:val="0"/>
        <w:keepLines w:val="0"/>
        <w:pageBreakBefore w:val="0"/>
        <w:widowControl w:val="0"/>
        <w:kinsoku/>
        <w:wordWrap/>
        <w:overflowPunct/>
        <w:topLinePunct w:val="0"/>
        <w:autoSpaceDE/>
        <w:autoSpaceDN/>
        <w:bidi w:val="0"/>
        <w:adjustRightInd/>
        <w:snapToGrid/>
        <w:spacing w:line="480" w:lineRule="exact"/>
        <w:ind w:firstLine="651"/>
        <w:jc w:val="left"/>
        <w:textAlignment w:val="auto"/>
        <w:rPr>
          <w:rFonts w:hint="default" w:ascii="Times New Roman" w:hAnsi="Times New Roman" w:eastAsia="仿宋_GB2312" w:cs="Times New Roman"/>
          <w:sz w:val="28"/>
          <w:szCs w:val="28"/>
        </w:rPr>
        <w:sectPr>
          <w:footerReference r:id="rId5" w:type="default"/>
          <w:pgSz w:w="11906" w:h="16838"/>
          <w:pgMar w:top="2098" w:right="1474" w:bottom="1984" w:left="1587" w:header="851" w:footer="992" w:gutter="0"/>
          <w:pgNumType w:fmt="decimal" w:start="1"/>
          <w:cols w:space="425" w:num="1"/>
          <w:docGrid w:type="lines" w:linePitch="312" w:charSpace="0"/>
        </w:sectPr>
      </w:pPr>
      <w:r>
        <w:rPr>
          <w:rFonts w:hint="default" w:ascii="Times New Roman" w:hAnsi="Times New Roman" w:eastAsia="仿宋_GB2312" w:cs="Times New Roman"/>
          <w:sz w:val="28"/>
          <w:szCs w:val="28"/>
        </w:rPr>
        <w:t>上线运行以来，大模型应用成效显著。经实测，非现场治超线索审核时间降低90%，执法案卷评查速度提升1倍，案卷制作时间平均缩减50%，案件规范性、违法情形识别效率等核心指标均实现大幅提升，为交通执法数字化转型提供了坚实支撑。</w:t>
      </w:r>
    </w:p>
    <w:p w14:paraId="26CB12D7">
      <w:pPr>
        <w:keepNext w:val="0"/>
        <w:keepLines w:val="0"/>
        <w:pageBreakBefore w:val="0"/>
        <w:widowControl w:val="0"/>
        <w:kinsoku/>
        <w:wordWrap/>
        <w:overflowPunct/>
        <w:topLinePunct w:val="0"/>
        <w:autoSpaceDE/>
        <w:autoSpaceDN/>
        <w:bidi w:val="0"/>
        <w:adjustRightInd/>
        <w:snapToGrid/>
        <w:spacing w:line="480" w:lineRule="exact"/>
        <w:ind w:firstLine="651"/>
        <w:jc w:val="left"/>
        <w:textAlignment w:val="auto"/>
        <w:rPr>
          <w:rFonts w:hint="eastAsia" w:ascii="Times New Roman" w:hAnsi="Times New Roman" w:eastAsia="宋体" w:cs="Times New Roman"/>
          <w:sz w:val="28"/>
          <w:szCs w:val="28"/>
          <w:lang w:val="en-US" w:eastAsia="zh-CN"/>
        </w:rPr>
      </w:pPr>
    </w:p>
    <w:p w14:paraId="3F21C920">
      <w:pPr>
        <w:keepNext w:val="0"/>
        <w:keepLines w:val="0"/>
        <w:pageBreakBefore w:val="0"/>
        <w:widowControl w:val="0"/>
        <w:kinsoku/>
        <w:wordWrap/>
        <w:overflowPunct/>
        <w:topLinePunct w:val="0"/>
        <w:autoSpaceDE/>
        <w:autoSpaceDN/>
        <w:bidi w:val="0"/>
        <w:adjustRightInd/>
        <w:snapToGrid/>
        <w:spacing w:line="480" w:lineRule="exact"/>
        <w:ind w:firstLine="651"/>
        <w:jc w:val="left"/>
        <w:textAlignment w:val="auto"/>
        <w:rPr>
          <w:rFonts w:hint="eastAsia" w:ascii="Times New Roman" w:hAnsi="Times New Roman" w:eastAsia="宋体" w:cs="Times New Roman"/>
          <w:sz w:val="28"/>
          <w:szCs w:val="28"/>
          <w:lang w:val="en-US" w:eastAsia="zh-CN"/>
        </w:rPr>
      </w:pPr>
      <w:r>
        <w:rPr>
          <w:sz w:val="28"/>
        </w:rPr>
        <mc:AlternateContent>
          <mc:Choice Requires="wps">
            <w:drawing>
              <wp:anchor distT="0" distB="0" distL="114300" distR="114300" simplePos="0" relativeHeight="251659264" behindDoc="0" locked="0" layoutInCell="1" allowOverlap="1">
                <wp:simplePos x="0" y="0"/>
                <wp:positionH relativeFrom="column">
                  <wp:posOffset>2736215</wp:posOffset>
                </wp:positionH>
                <wp:positionV relativeFrom="paragraph">
                  <wp:posOffset>5951855</wp:posOffset>
                </wp:positionV>
                <wp:extent cx="2835275" cy="1302385"/>
                <wp:effectExtent l="0" t="0" r="3175" b="12065"/>
                <wp:wrapNone/>
                <wp:docPr id="2" name="文本框 2"/>
                <wp:cNvGraphicFramePr/>
                <a:graphic xmlns:a="http://schemas.openxmlformats.org/drawingml/2006/main">
                  <a:graphicData uri="http://schemas.microsoft.com/office/word/2010/wordprocessingShape">
                    <wps:wsp>
                      <wps:cNvSpPr txBox="1"/>
                      <wps:spPr>
                        <a:xfrm>
                          <a:off x="0" y="0"/>
                          <a:ext cx="2835275" cy="13023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7C1C603">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河北省交通运输综合执法监督局</w:t>
                            </w:r>
                          </w:p>
                          <w:p w14:paraId="777258EE">
                            <w:pPr>
                              <w:ind w:firstLine="560" w:firstLineChars="200"/>
                              <w:rPr>
                                <w:rFonts w:hint="default" w:ascii="Times New Roman" w:hAnsi="Times New Roman" w:eastAsia="仿宋_GB2312" w:cs="Times New Roman"/>
                                <w:sz w:val="28"/>
                                <w:szCs w:val="28"/>
                                <w:lang w:val="en-US" w:eastAsia="zh-CN"/>
                              </w:rPr>
                            </w:pPr>
                            <w:r>
                              <w:rPr>
                                <w:rFonts w:hint="eastAsia" w:ascii="仿宋_GB2312" w:hAnsi="仿宋_GB2312" w:eastAsia="仿宋_GB2312" w:cs="仿宋_GB2312"/>
                                <w:sz w:val="28"/>
                                <w:szCs w:val="28"/>
                                <w:lang w:val="en-US" w:eastAsia="zh-CN"/>
                              </w:rPr>
                              <w:t>电话：</w:t>
                            </w:r>
                            <w:r>
                              <w:rPr>
                                <w:rFonts w:hint="default" w:ascii="Times New Roman" w:hAnsi="Times New Roman" w:eastAsia="仿宋_GB2312" w:cs="Times New Roman"/>
                                <w:sz w:val="28"/>
                                <w:szCs w:val="28"/>
                                <w:lang w:val="en-US" w:eastAsia="zh-CN"/>
                              </w:rPr>
                              <w:t>0311-66726900</w:t>
                            </w:r>
                          </w:p>
                          <w:p w14:paraId="760CD103">
                            <w:pPr>
                              <w:ind w:firstLine="560" w:firstLineChars="200"/>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传真：0311-66726914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45pt;margin-top:468.65pt;height:102.55pt;width:223.25pt;z-index:251659264;mso-width-relative:page;mso-height-relative:page;" fillcolor="#FFFFFF [3201]" filled="t" stroked="f" coordsize="21600,21600" o:gfxdata="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GRRh62AAAAAwBAAAP&#10;AAAAAAAAAAEAIAAAACIAAABkcnMvZG93bnJldi54bWxQSwECFAAUAAAACACHTuJAyS4BYVECAACQ&#10;BAAADgAAAAAAAAABACAAAAAnAQAAZHJzL2Uyb0RvYy54bWxQSwUGAAAAAAYABgBZAQAA6gUAAAAA&#10;">
                <v:fill on="t" focussize="0,0"/>
                <v:stroke on="f" weight="0.5pt"/>
                <v:imagedata o:title=""/>
                <o:lock v:ext="edit" aspectratio="f"/>
                <v:textbox>
                  <w:txbxContent>
                    <w:p w14:paraId="67C1C603">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河北省交通运输综合执法监督局</w:t>
                      </w:r>
                    </w:p>
                    <w:p w14:paraId="777258EE">
                      <w:pPr>
                        <w:ind w:firstLine="560" w:firstLineChars="200"/>
                        <w:rPr>
                          <w:rFonts w:hint="default" w:ascii="Times New Roman" w:hAnsi="Times New Roman" w:eastAsia="仿宋_GB2312" w:cs="Times New Roman"/>
                          <w:sz w:val="28"/>
                          <w:szCs w:val="28"/>
                          <w:lang w:val="en-US" w:eastAsia="zh-CN"/>
                        </w:rPr>
                      </w:pPr>
                      <w:r>
                        <w:rPr>
                          <w:rFonts w:hint="eastAsia" w:ascii="仿宋_GB2312" w:hAnsi="仿宋_GB2312" w:eastAsia="仿宋_GB2312" w:cs="仿宋_GB2312"/>
                          <w:sz w:val="28"/>
                          <w:szCs w:val="28"/>
                          <w:lang w:val="en-US" w:eastAsia="zh-CN"/>
                        </w:rPr>
                        <w:t>电话：</w:t>
                      </w:r>
                      <w:r>
                        <w:rPr>
                          <w:rFonts w:hint="default" w:ascii="Times New Roman" w:hAnsi="Times New Roman" w:eastAsia="仿宋_GB2312" w:cs="Times New Roman"/>
                          <w:sz w:val="28"/>
                          <w:szCs w:val="28"/>
                          <w:lang w:val="en-US" w:eastAsia="zh-CN"/>
                        </w:rPr>
                        <w:t>0311-66726900</w:t>
                      </w:r>
                    </w:p>
                    <w:p w14:paraId="760CD103">
                      <w:pPr>
                        <w:ind w:firstLine="560" w:firstLineChars="200"/>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传真：0311-66726914</w:t>
                      </w:r>
                    </w:p>
                  </w:txbxContent>
                </v:textbox>
              </v:shape>
            </w:pict>
          </mc:Fallback>
        </mc:AlternateContent>
      </w:r>
    </w:p>
    <w:sectPr>
      <w:footerReference r:id="rId6" w:type="default"/>
      <w:pgSz w:w="11906" w:h="16838"/>
      <w:pgMar w:top="2098" w:right="1474" w:bottom="1984" w:left="158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A33187C-93E1-4B8B-880E-4310B353A1A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85B19A0B-9A1B-4B94-8BD7-476685DBC537}"/>
  </w:font>
  <w:font w:name="Cambria">
    <w:panose1 w:val="02040503050406030204"/>
    <w:charset w:val="00"/>
    <w:family w:val="roman"/>
    <w:pitch w:val="default"/>
    <w:sig w:usb0="E00006FF" w:usb1="420024FF" w:usb2="02000000" w:usb3="00000000" w:csb0="2000019F" w:csb1="00000000"/>
  </w:font>
  <w:font w:name="方正小标宋简体">
    <w:panose1 w:val="03000509000000000000"/>
    <w:charset w:val="86"/>
    <w:family w:val="script"/>
    <w:pitch w:val="default"/>
    <w:sig w:usb0="00000001" w:usb1="080E0000" w:usb2="00000000" w:usb3="00000000" w:csb0="00040000" w:csb1="00000000"/>
    <w:embedRegular r:id="rId3" w:fontKey="{64F9FBCC-492D-4E0A-A1C4-C3BE3894332E}"/>
  </w:font>
  <w:font w:name="方正小标宋_GBK">
    <w:panose1 w:val="03000509000000000000"/>
    <w:charset w:val="86"/>
    <w:family w:val="script"/>
    <w:pitch w:val="default"/>
    <w:sig w:usb0="00000001" w:usb1="080E0000" w:usb2="00000000" w:usb3="00000000" w:csb0="00040000" w:csb1="00000000"/>
    <w:embedRegular r:id="rId4" w:fontKey="{46D12D9F-7E8A-423E-9A01-23DCB5063FC8}"/>
  </w:font>
  <w:font w:name="楷体_GB2312">
    <w:panose1 w:val="02010609030101010101"/>
    <w:charset w:val="86"/>
    <w:family w:val="modern"/>
    <w:pitch w:val="default"/>
    <w:sig w:usb0="00000001" w:usb1="080E0000" w:usb2="00000000" w:usb3="00000000" w:csb0="00040000" w:csb1="00000000"/>
    <w:embedRegular r:id="rId5" w:fontKey="{903A104E-D971-4F14-AAA4-1F8CFCC20E1D}"/>
  </w:font>
  <w:font w:name="仿宋_GB2312">
    <w:panose1 w:val="02010609030101010101"/>
    <w:charset w:val="86"/>
    <w:family w:val="auto"/>
    <w:pitch w:val="default"/>
    <w:sig w:usb0="00000001" w:usb1="080E0000" w:usb2="00000000" w:usb3="00000000" w:csb0="00040000" w:csb1="00000000"/>
    <w:embedRegular r:id="rId6" w:fontKey="{41EE010C-5BFD-4598-A8DE-8911791C5AE9}"/>
  </w:font>
  <w:font w:name="WPSEMBED1">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9E046">
    <w:pPr>
      <w:pStyle w:val="6"/>
      <w:ind w:right="210" w:rightChars="100"/>
      <w:jc w:val="center"/>
      <w:rPr>
        <w:rFonts w:ascii="宋体" w:hAnsi="宋体" w:cs="宋体"/>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6E633">
    <w:pPr>
      <w:pStyle w:val="6"/>
      <w:ind w:right="210" w:rightChars="100"/>
      <w:jc w:val="center"/>
      <w:rPr>
        <w:rFonts w:ascii="宋体" w:hAnsi="宋体" w:cs="宋体"/>
        <w:sz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60B87E">
                          <w:pPr>
                            <w:pStyle w:val="6"/>
                            <w:rPr>
                              <w:rFonts w:hint="default"/>
                              <w:sz w:val="28"/>
                              <w:szCs w:val="28"/>
                              <w:lang w:val="en-GB"/>
                            </w:rPr>
                          </w:pPr>
                          <w:r>
                            <w:rPr>
                              <w:rFonts w:hint="default"/>
                              <w:sz w:val="28"/>
                              <w:szCs w:val="28"/>
                              <w:lang w:val="en-GB"/>
                            </w:rPr>
                            <w:t xml:space="preserve">— </w:t>
                          </w:r>
                          <w:r>
                            <w:rPr>
                              <w:rFonts w:hint="default"/>
                              <w:sz w:val="28"/>
                              <w:szCs w:val="28"/>
                              <w:lang w:val="en-GB"/>
                            </w:rPr>
                            <w:fldChar w:fldCharType="begin"/>
                          </w:r>
                          <w:r>
                            <w:rPr>
                              <w:rFonts w:hint="default"/>
                              <w:sz w:val="28"/>
                              <w:szCs w:val="28"/>
                              <w:lang w:val="en-GB"/>
                            </w:rPr>
                            <w:instrText xml:space="preserve"> PAGE  \* MERGEFORMAT </w:instrText>
                          </w:r>
                          <w:r>
                            <w:rPr>
                              <w:rFonts w:hint="default"/>
                              <w:sz w:val="28"/>
                              <w:szCs w:val="28"/>
                              <w:lang w:val="en-GB"/>
                            </w:rPr>
                            <w:fldChar w:fldCharType="separate"/>
                          </w:r>
                          <w:r>
                            <w:rPr>
                              <w:rFonts w:hint="default"/>
                              <w:sz w:val="28"/>
                              <w:szCs w:val="28"/>
                              <w:lang w:val="en-GB"/>
                            </w:rPr>
                            <w:t>1</w:t>
                          </w:r>
                          <w:r>
                            <w:rPr>
                              <w:rFonts w:hint="default"/>
                              <w:sz w:val="28"/>
                              <w:szCs w:val="28"/>
                              <w:lang w:val="en-GB"/>
                            </w:rPr>
                            <w:fldChar w:fldCharType="end"/>
                          </w:r>
                          <w:r>
                            <w:rPr>
                              <w:rFonts w:hint="default"/>
                              <w:sz w:val="28"/>
                              <w:szCs w:val="28"/>
                              <w:lang w:val="en-GB"/>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560B87E">
                    <w:pPr>
                      <w:pStyle w:val="6"/>
                      <w:rPr>
                        <w:rFonts w:hint="default"/>
                        <w:sz w:val="28"/>
                        <w:szCs w:val="28"/>
                        <w:lang w:val="en-GB"/>
                      </w:rPr>
                    </w:pPr>
                    <w:r>
                      <w:rPr>
                        <w:rFonts w:hint="default"/>
                        <w:sz w:val="28"/>
                        <w:szCs w:val="28"/>
                        <w:lang w:val="en-GB"/>
                      </w:rPr>
                      <w:t xml:space="preserve">— </w:t>
                    </w:r>
                    <w:r>
                      <w:rPr>
                        <w:rFonts w:hint="default"/>
                        <w:sz w:val="28"/>
                        <w:szCs w:val="28"/>
                        <w:lang w:val="en-GB"/>
                      </w:rPr>
                      <w:fldChar w:fldCharType="begin"/>
                    </w:r>
                    <w:r>
                      <w:rPr>
                        <w:rFonts w:hint="default"/>
                        <w:sz w:val="28"/>
                        <w:szCs w:val="28"/>
                        <w:lang w:val="en-GB"/>
                      </w:rPr>
                      <w:instrText xml:space="preserve"> PAGE  \* MERGEFORMAT </w:instrText>
                    </w:r>
                    <w:r>
                      <w:rPr>
                        <w:rFonts w:hint="default"/>
                        <w:sz w:val="28"/>
                        <w:szCs w:val="28"/>
                        <w:lang w:val="en-GB"/>
                      </w:rPr>
                      <w:fldChar w:fldCharType="separate"/>
                    </w:r>
                    <w:r>
                      <w:rPr>
                        <w:rFonts w:hint="default"/>
                        <w:sz w:val="28"/>
                        <w:szCs w:val="28"/>
                        <w:lang w:val="en-GB"/>
                      </w:rPr>
                      <w:t>1</w:t>
                    </w:r>
                    <w:r>
                      <w:rPr>
                        <w:rFonts w:hint="default"/>
                        <w:sz w:val="28"/>
                        <w:szCs w:val="28"/>
                        <w:lang w:val="en-GB"/>
                      </w:rPr>
                      <w:fldChar w:fldCharType="end"/>
                    </w:r>
                    <w:r>
                      <w:rPr>
                        <w:rFonts w:hint="default"/>
                        <w:sz w:val="28"/>
                        <w:szCs w:val="28"/>
                        <w:lang w:val="en-GB"/>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C5C64">
    <w:pPr>
      <w:pStyle w:val="6"/>
      <w:ind w:right="210" w:rightChars="100"/>
      <w:jc w:val="center"/>
      <w:rPr>
        <w:rFonts w:ascii="宋体" w:hAnsi="宋体" w:cs="宋体"/>
        <w:sz w:val="2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57517">
    <w:pPr>
      <w:pStyle w:val="7"/>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5NzE2OTBlYzYyN2RlOWZmNjBhNTg2NzczNmI0MzQifQ=="/>
    <w:docVar w:name="KSO_WPS_MARK_KEY" w:val="e82c044c-0451-4add-9624-82eedaa1c237"/>
  </w:docVars>
  <w:rsids>
    <w:rsidRoot w:val="6CD83053"/>
    <w:rsid w:val="00025901"/>
    <w:rsid w:val="000A4972"/>
    <w:rsid w:val="000D0C8E"/>
    <w:rsid w:val="00123207"/>
    <w:rsid w:val="001944F2"/>
    <w:rsid w:val="0031065E"/>
    <w:rsid w:val="0033140D"/>
    <w:rsid w:val="00430F17"/>
    <w:rsid w:val="00504FDF"/>
    <w:rsid w:val="007968B8"/>
    <w:rsid w:val="0094034C"/>
    <w:rsid w:val="009F6431"/>
    <w:rsid w:val="00ED7B50"/>
    <w:rsid w:val="00EE6BFA"/>
    <w:rsid w:val="021B6523"/>
    <w:rsid w:val="025C499C"/>
    <w:rsid w:val="02D731F5"/>
    <w:rsid w:val="02F97BBA"/>
    <w:rsid w:val="03747CE2"/>
    <w:rsid w:val="03D96696"/>
    <w:rsid w:val="04D76CFF"/>
    <w:rsid w:val="04E1798A"/>
    <w:rsid w:val="058D621B"/>
    <w:rsid w:val="06B34F7C"/>
    <w:rsid w:val="06CD42C4"/>
    <w:rsid w:val="06DC5D38"/>
    <w:rsid w:val="07456242"/>
    <w:rsid w:val="07794964"/>
    <w:rsid w:val="08085C57"/>
    <w:rsid w:val="08905F02"/>
    <w:rsid w:val="09363C3C"/>
    <w:rsid w:val="09D60AF4"/>
    <w:rsid w:val="0A3E7253"/>
    <w:rsid w:val="0A852CC9"/>
    <w:rsid w:val="0ABE1DE3"/>
    <w:rsid w:val="0BBE7610"/>
    <w:rsid w:val="0CBD4408"/>
    <w:rsid w:val="0D1A040A"/>
    <w:rsid w:val="0D487EFC"/>
    <w:rsid w:val="0DB77FCA"/>
    <w:rsid w:val="0E276029"/>
    <w:rsid w:val="0ECC2169"/>
    <w:rsid w:val="10705EBC"/>
    <w:rsid w:val="10EA5315"/>
    <w:rsid w:val="112E324F"/>
    <w:rsid w:val="11760167"/>
    <w:rsid w:val="122537DD"/>
    <w:rsid w:val="12A460C1"/>
    <w:rsid w:val="13B339E0"/>
    <w:rsid w:val="143F2815"/>
    <w:rsid w:val="14563E08"/>
    <w:rsid w:val="159A348B"/>
    <w:rsid w:val="15E313C3"/>
    <w:rsid w:val="175B4E3D"/>
    <w:rsid w:val="18A52D74"/>
    <w:rsid w:val="199C421B"/>
    <w:rsid w:val="19FA2E06"/>
    <w:rsid w:val="1A2E4226"/>
    <w:rsid w:val="1DE3552F"/>
    <w:rsid w:val="1E976DB2"/>
    <w:rsid w:val="1F090362"/>
    <w:rsid w:val="1F3201CE"/>
    <w:rsid w:val="1F9A0F77"/>
    <w:rsid w:val="222A51FB"/>
    <w:rsid w:val="224D2AFB"/>
    <w:rsid w:val="224E4947"/>
    <w:rsid w:val="22B77ADB"/>
    <w:rsid w:val="235637C8"/>
    <w:rsid w:val="24C87FCB"/>
    <w:rsid w:val="24E862E1"/>
    <w:rsid w:val="253D547C"/>
    <w:rsid w:val="266E2A68"/>
    <w:rsid w:val="269D0607"/>
    <w:rsid w:val="278F3F71"/>
    <w:rsid w:val="28C4137D"/>
    <w:rsid w:val="29512EB2"/>
    <w:rsid w:val="29783ADA"/>
    <w:rsid w:val="2A2475C2"/>
    <w:rsid w:val="2A3A138D"/>
    <w:rsid w:val="2A532CDC"/>
    <w:rsid w:val="2AD50494"/>
    <w:rsid w:val="2B3F3C62"/>
    <w:rsid w:val="2B797086"/>
    <w:rsid w:val="2C0D0B2D"/>
    <w:rsid w:val="2C896109"/>
    <w:rsid w:val="2C8C69D4"/>
    <w:rsid w:val="2CAD69E6"/>
    <w:rsid w:val="2CB57B15"/>
    <w:rsid w:val="2CBD3CF7"/>
    <w:rsid w:val="2CF61855"/>
    <w:rsid w:val="2D6F5F94"/>
    <w:rsid w:val="2D8811E0"/>
    <w:rsid w:val="2DBA7890"/>
    <w:rsid w:val="2E2B04C1"/>
    <w:rsid w:val="2E687FB0"/>
    <w:rsid w:val="2E94588D"/>
    <w:rsid w:val="2F943855"/>
    <w:rsid w:val="300775D5"/>
    <w:rsid w:val="309B365B"/>
    <w:rsid w:val="30DB71A0"/>
    <w:rsid w:val="3103720C"/>
    <w:rsid w:val="310A52EE"/>
    <w:rsid w:val="31921AAF"/>
    <w:rsid w:val="31D8304C"/>
    <w:rsid w:val="31E23763"/>
    <w:rsid w:val="32225ABD"/>
    <w:rsid w:val="32E638BD"/>
    <w:rsid w:val="33042538"/>
    <w:rsid w:val="3347587A"/>
    <w:rsid w:val="34BF15A7"/>
    <w:rsid w:val="34EB4506"/>
    <w:rsid w:val="3769197C"/>
    <w:rsid w:val="376F5CBF"/>
    <w:rsid w:val="386A1AF0"/>
    <w:rsid w:val="39302DA0"/>
    <w:rsid w:val="3949460E"/>
    <w:rsid w:val="39DB75C7"/>
    <w:rsid w:val="39F846FD"/>
    <w:rsid w:val="3A5705BF"/>
    <w:rsid w:val="3A8F4429"/>
    <w:rsid w:val="3AA53473"/>
    <w:rsid w:val="3BF55114"/>
    <w:rsid w:val="3CDB7594"/>
    <w:rsid w:val="3D1C3195"/>
    <w:rsid w:val="3D9E5306"/>
    <w:rsid w:val="3E08054C"/>
    <w:rsid w:val="3EE9754F"/>
    <w:rsid w:val="40014083"/>
    <w:rsid w:val="403F4F87"/>
    <w:rsid w:val="40A04BB6"/>
    <w:rsid w:val="40EA412C"/>
    <w:rsid w:val="41831E52"/>
    <w:rsid w:val="425B27E6"/>
    <w:rsid w:val="43401D6E"/>
    <w:rsid w:val="43C7777E"/>
    <w:rsid w:val="43C80358"/>
    <w:rsid w:val="45B416F0"/>
    <w:rsid w:val="45C12BB7"/>
    <w:rsid w:val="45CC3A6D"/>
    <w:rsid w:val="4626592D"/>
    <w:rsid w:val="46456C98"/>
    <w:rsid w:val="47EE44FB"/>
    <w:rsid w:val="48077AAC"/>
    <w:rsid w:val="481A43C5"/>
    <w:rsid w:val="484F437A"/>
    <w:rsid w:val="48D365FB"/>
    <w:rsid w:val="49504DE0"/>
    <w:rsid w:val="498156F5"/>
    <w:rsid w:val="4AE03559"/>
    <w:rsid w:val="4AF62644"/>
    <w:rsid w:val="4BC907D4"/>
    <w:rsid w:val="4C3117E7"/>
    <w:rsid w:val="4C450921"/>
    <w:rsid w:val="4C57272E"/>
    <w:rsid w:val="4C6A3A6A"/>
    <w:rsid w:val="4C6B4F7E"/>
    <w:rsid w:val="4C8F6EBF"/>
    <w:rsid w:val="4CBD05CF"/>
    <w:rsid w:val="4D0B2449"/>
    <w:rsid w:val="4D3C2948"/>
    <w:rsid w:val="4D7A191D"/>
    <w:rsid w:val="4DD23507"/>
    <w:rsid w:val="4E5E57A4"/>
    <w:rsid w:val="4E6E6153"/>
    <w:rsid w:val="4EC91DF1"/>
    <w:rsid w:val="4F2E0C11"/>
    <w:rsid w:val="50140BF6"/>
    <w:rsid w:val="501E4F72"/>
    <w:rsid w:val="50686C3E"/>
    <w:rsid w:val="525302C6"/>
    <w:rsid w:val="527E5404"/>
    <w:rsid w:val="52F672F0"/>
    <w:rsid w:val="53486019"/>
    <w:rsid w:val="54843081"/>
    <w:rsid w:val="54D933CD"/>
    <w:rsid w:val="55CA1F86"/>
    <w:rsid w:val="563E5B8C"/>
    <w:rsid w:val="571043D8"/>
    <w:rsid w:val="57DB1A6E"/>
    <w:rsid w:val="593F318B"/>
    <w:rsid w:val="5974434C"/>
    <w:rsid w:val="59ED47BA"/>
    <w:rsid w:val="5ABF3603"/>
    <w:rsid w:val="5C043425"/>
    <w:rsid w:val="5C1B7101"/>
    <w:rsid w:val="5C822F51"/>
    <w:rsid w:val="5CC873E4"/>
    <w:rsid w:val="5ED6138F"/>
    <w:rsid w:val="5F716E4A"/>
    <w:rsid w:val="5FD14A46"/>
    <w:rsid w:val="60384AFD"/>
    <w:rsid w:val="611856CC"/>
    <w:rsid w:val="615B0C56"/>
    <w:rsid w:val="621E5325"/>
    <w:rsid w:val="62830E1C"/>
    <w:rsid w:val="65675520"/>
    <w:rsid w:val="65961F6D"/>
    <w:rsid w:val="65A25658"/>
    <w:rsid w:val="65D20576"/>
    <w:rsid w:val="669246C7"/>
    <w:rsid w:val="678F6080"/>
    <w:rsid w:val="694C7E98"/>
    <w:rsid w:val="6B107A9A"/>
    <w:rsid w:val="6BBB4543"/>
    <w:rsid w:val="6BCB697A"/>
    <w:rsid w:val="6BEA3CBA"/>
    <w:rsid w:val="6C237EF1"/>
    <w:rsid w:val="6CD83053"/>
    <w:rsid w:val="6D962C6C"/>
    <w:rsid w:val="6DE41497"/>
    <w:rsid w:val="6E3E686F"/>
    <w:rsid w:val="6E8E6B7E"/>
    <w:rsid w:val="6EC76DEF"/>
    <w:rsid w:val="6ED76A48"/>
    <w:rsid w:val="6F67089A"/>
    <w:rsid w:val="715A25F5"/>
    <w:rsid w:val="7183251B"/>
    <w:rsid w:val="71E37631"/>
    <w:rsid w:val="72744FEC"/>
    <w:rsid w:val="727E63BB"/>
    <w:rsid w:val="73303B9B"/>
    <w:rsid w:val="73D61EF2"/>
    <w:rsid w:val="73DD13CA"/>
    <w:rsid w:val="74C91279"/>
    <w:rsid w:val="76ED52EC"/>
    <w:rsid w:val="789314F2"/>
    <w:rsid w:val="78EF0B61"/>
    <w:rsid w:val="79566778"/>
    <w:rsid w:val="79764D6B"/>
    <w:rsid w:val="7A764272"/>
    <w:rsid w:val="7A880F23"/>
    <w:rsid w:val="7A8E4025"/>
    <w:rsid w:val="7C19535D"/>
    <w:rsid w:val="7CAE45D4"/>
    <w:rsid w:val="7E58331D"/>
    <w:rsid w:val="7E690418"/>
    <w:rsid w:val="7E6A0F61"/>
    <w:rsid w:val="7E81419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576" w:lineRule="auto"/>
      <w:outlineLvl w:val="0"/>
    </w:pPr>
    <w:rPr>
      <w:b/>
      <w:kern w:val="44"/>
      <w:sz w:val="44"/>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b/>
      <w:kern w:val="0"/>
      <w:sz w:val="24"/>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rPr>
      <w:rFonts w:asciiTheme="minorHAnsi" w:hAnsiTheme="minorHAnsi" w:eastAsiaTheme="minorEastAsia" w:cstheme="minorBidi"/>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4"/>
    <w:basedOn w:val="1"/>
    <w:next w:val="1"/>
    <w:qFormat/>
    <w:uiPriority w:val="0"/>
    <w:pPr>
      <w:ind w:left="1260"/>
    </w:pPr>
  </w:style>
  <w:style w:type="paragraph" w:styleId="9">
    <w:name w:val="Normal (Web)"/>
    <w:basedOn w:val="1"/>
    <w:qFormat/>
    <w:uiPriority w:val="0"/>
    <w:pPr>
      <w:spacing w:beforeAutospacing="1" w:afterAutospacing="1"/>
      <w:jc w:val="left"/>
    </w:pPr>
    <w:rPr>
      <w:kern w:val="0"/>
      <w:sz w:val="24"/>
    </w:rPr>
  </w:style>
  <w:style w:type="paragraph" w:styleId="10">
    <w:name w:val="Title"/>
    <w:basedOn w:val="1"/>
    <w:next w:val="1"/>
    <w:qFormat/>
    <w:uiPriority w:val="0"/>
    <w:pPr>
      <w:jc w:val="center"/>
      <w:outlineLvl w:val="0"/>
    </w:pPr>
    <w:rPr>
      <w:rFonts w:ascii="Cambria" w:hAnsi="Cambria"/>
      <w:b/>
      <w:bCs/>
      <w:kern w:val="0"/>
      <w:sz w:val="32"/>
      <w:szCs w:val="32"/>
    </w:rPr>
  </w:style>
  <w:style w:type="character" w:styleId="13">
    <w:name w:val="Strong"/>
    <w:basedOn w:val="12"/>
    <w:qFormat/>
    <w:uiPriority w:val="0"/>
    <w:rPr>
      <w:b/>
    </w:rPr>
  </w:style>
  <w:style w:type="character" w:styleId="14">
    <w:name w:val="page number"/>
    <w:basedOn w:val="12"/>
    <w:qFormat/>
    <w:uiPriority w:val="0"/>
  </w:style>
  <w:style w:type="paragraph" w:customStyle="1" w:styleId="15">
    <w:name w:val="正文部分 Char Char Char"/>
    <w:basedOn w:val="5"/>
    <w:next w:val="16"/>
    <w:qFormat/>
    <w:uiPriority w:val="0"/>
    <w:pPr>
      <w:adjustRightInd w:val="0"/>
      <w:snapToGrid w:val="0"/>
      <w:spacing w:line="460" w:lineRule="exact"/>
      <w:textAlignment w:val="baseline"/>
    </w:pPr>
    <w:rPr>
      <w:rFonts w:hAnsi="Calibri"/>
      <w:sz w:val="24"/>
    </w:rPr>
  </w:style>
  <w:style w:type="paragraph" w:customStyle="1" w:styleId="16">
    <w:name w:val="章标题"/>
    <w:basedOn w:val="10"/>
    <w:qFormat/>
    <w:uiPriority w:val="0"/>
    <w:pPr>
      <w:spacing w:line="360" w:lineRule="auto"/>
    </w:pPr>
    <w:rPr>
      <w:rFonts w:ascii="Times New Roman" w:hAnsi="Times New Roman"/>
    </w:rPr>
  </w:style>
  <w:style w:type="paragraph" w:customStyle="1" w:styleId="17">
    <w:name w:val="页脚1"/>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6</Pages>
  <Words>224</Words>
  <Characters>231</Characters>
  <Lines>6</Lines>
  <Paragraphs>1</Paragraphs>
  <TotalTime>1437</TotalTime>
  <ScaleCrop>false</ScaleCrop>
  <LinksUpToDate>false</LinksUpToDate>
  <CharactersWithSpaces>236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2022-03-02T07:06:00Z</dcterms:created>
  <dc:creator>不器</dc:creator>
  <cp:lastModifiedBy>金宇</cp:lastModifiedBy>
  <cp:lastPrinted>2026-03-11T07:55:00Z</cp:lastPrinted>
  <dcterms:modified xsi:type="dcterms:W3CDTF">2026-04-28T07:56:04Z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AF06CD20FB034EF49D5462E87E1C0307_13</vt:lpwstr>
  </property>
  <property fmtid="{D5CDD505-2E9C-101B-9397-08002B2CF9AE}" pid="4" name="KSOSaveFontToCloudKey">
    <vt:lpwstr>1478871926_cloud</vt:lpwstr>
  </property>
  <property fmtid="{D5CDD505-2E9C-101B-9397-08002B2CF9AE}" pid="5" name="KSOTemplateDocerSaveRecord">
    <vt:lpwstr>eyJoZGlkIjoiNjkzNGI2ZWI3ZjNkZGJkYmVkNmQyZWUxMjFmMTU4MDYiLCJ1c2VySWQiOiI1ODMyNTI0NTkifQ==</vt:lpwstr>
  </property>
</Properties>
</file>