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43FD42">
      <w:pPr>
        <w:jc w:val="center"/>
      </w:pPr>
      <w:bookmarkStart w:id="72" w:name="_GoBack"/>
      <w:bookmarkEnd w:id="72"/>
      <w:r>
        <w:pict>
          <v:shape id="_x0000_i1025" o:spt="75" alt="绿" type="#_x0000_t75" style="height:72.05pt;width:311.25pt;" filled="f" o:preferrelative="t" stroked="f" coordsize="21600,21600">
            <v:path/>
            <v:fill on="f" focussize="0,0"/>
            <v:stroke on="f"/>
            <v:imagedata r:id="rId16" grayscale="t" bilevel="t" o:title="绿"/>
            <o:lock v:ext="edit" aspectratio="t"/>
            <w10:wrap type="none"/>
            <w10:anchorlock/>
          </v:shape>
        </w:pict>
      </w:r>
    </w:p>
    <w:p w14:paraId="78F8E57E">
      <w:pPr>
        <w:jc w:val="center"/>
      </w:pPr>
    </w:p>
    <w:p w14:paraId="123F7488"/>
    <w:p w14:paraId="250C281A">
      <w:pPr>
        <w:jc w:val="center"/>
        <w:outlineLvl w:val="0"/>
        <w:rPr>
          <w:spacing w:val="62"/>
          <w:kern w:val="84"/>
          <w:sz w:val="72"/>
          <w:szCs w:val="72"/>
        </w:rPr>
      </w:pPr>
      <w:bookmarkStart w:id="0" w:name="_Toc14890"/>
      <w:bookmarkStart w:id="1" w:name="_Toc2071"/>
      <w:r>
        <w:rPr>
          <w:rFonts w:eastAsia="黑体"/>
          <w:b/>
          <w:bCs/>
          <w:spacing w:val="62"/>
          <w:kern w:val="84"/>
          <w:sz w:val="72"/>
          <w:szCs w:val="72"/>
        </w:rPr>
        <w:t>本科毕业设计(论文)</w:t>
      </w:r>
      <w:bookmarkEnd w:id="0"/>
      <w:bookmarkEnd w:id="1"/>
    </w:p>
    <w:p w14:paraId="6A0B1729">
      <w:pPr>
        <w:rPr>
          <w:sz w:val="44"/>
          <w:szCs w:val="44"/>
        </w:rPr>
      </w:pPr>
    </w:p>
    <w:p w14:paraId="00918F72">
      <w:pPr>
        <w:rPr>
          <w:sz w:val="44"/>
          <w:szCs w:val="44"/>
        </w:rPr>
      </w:pPr>
    </w:p>
    <w:p w14:paraId="4837E52D">
      <w:pPr>
        <w:rPr>
          <w:sz w:val="40"/>
          <w:szCs w:val="40"/>
        </w:rPr>
      </w:pPr>
      <w:r>
        <w:rPr>
          <w:b/>
          <w:bCs/>
          <w:sz w:val="44"/>
          <w:szCs w:val="44"/>
        </w:rPr>
        <w:t>课题名称</w:t>
      </w:r>
      <w:r>
        <w:rPr>
          <w:sz w:val="44"/>
          <w:szCs w:val="44"/>
        </w:rPr>
        <w:t>:</w:t>
      </w:r>
      <w:r>
        <w:rPr>
          <w:sz w:val="44"/>
          <w:szCs w:val="44"/>
          <w:u w:val="single"/>
        </w:rPr>
        <w:t xml:space="preserve">                            </w:t>
      </w:r>
      <w:r>
        <w:rPr>
          <w:sz w:val="40"/>
          <w:szCs w:val="40"/>
        </w:rPr>
        <w:t xml:space="preserve">        </w:t>
      </w:r>
      <w:r>
        <w:rPr>
          <w:u w:val="single"/>
        </w:rPr>
        <w:t>　基于事件驱动与市场情绪的A股仓位决策闭环与刻度校准研究——StockSignal平台的设计与实现　</w:t>
      </w:r>
    </w:p>
    <w:p w14:paraId="5BF94A7E">
      <w:pPr>
        <w:rPr>
          <w:sz w:val="40"/>
          <w:szCs w:val="40"/>
        </w:rPr>
      </w:pPr>
    </w:p>
    <w:p w14:paraId="61BD07A8">
      <w:pPr>
        <w:rPr>
          <w:sz w:val="40"/>
          <w:szCs w:val="40"/>
        </w:rPr>
      </w:pPr>
    </w:p>
    <w:p w14:paraId="544F3851">
      <w:pPr>
        <w:rPr>
          <w:sz w:val="40"/>
          <w:szCs w:val="40"/>
        </w:rPr>
      </w:pPr>
    </w:p>
    <w:p w14:paraId="69BBCF72">
      <w:pPr>
        <w:spacing w:line="600" w:lineRule="auto"/>
        <w:ind w:firstLine="800" w:firstLineChars="200"/>
        <w:rPr>
          <w:b/>
          <w:bCs/>
          <w:sz w:val="40"/>
          <w:szCs w:val="40"/>
        </w:rPr>
      </w:pPr>
      <w:r>
        <w:rPr>
          <w:b/>
          <w:bCs/>
          <w:sz w:val="40"/>
          <w:szCs w:val="40"/>
        </w:rPr>
        <w:t>学    院</w:t>
      </w:r>
      <w:r>
        <w:rPr>
          <w:b/>
          <w:bCs/>
          <w:sz w:val="40"/>
          <w:szCs w:val="40"/>
          <w:u w:val="single"/>
        </w:rPr>
        <w:t xml:space="preserve">                           </w:t>
      </w:r>
      <w:r>
        <w:rPr>
          <w:b/>
          <w:bCs/>
          <w:sz w:val="40"/>
          <w:szCs w:val="40"/>
        </w:rPr>
        <w:t xml:space="preserve">  </w:t>
      </w:r>
      <w:r>
        <w:rPr>
          <w:u w:val="single"/>
        </w:rPr>
        <w:t>　计算机学院　</w:t>
      </w:r>
    </w:p>
    <w:p w14:paraId="32ACD973">
      <w:pPr>
        <w:spacing w:line="600" w:lineRule="auto"/>
        <w:ind w:firstLine="800" w:firstLineChars="200"/>
        <w:rPr>
          <w:b/>
          <w:bCs/>
          <w:sz w:val="40"/>
          <w:szCs w:val="40"/>
        </w:rPr>
      </w:pPr>
      <w:r>
        <w:rPr>
          <w:b/>
          <w:bCs/>
          <w:sz w:val="40"/>
          <w:szCs w:val="40"/>
        </w:rPr>
        <w:t>专    业</w:t>
      </w:r>
      <w:r>
        <w:rPr>
          <w:b/>
          <w:bCs/>
          <w:sz w:val="40"/>
          <w:szCs w:val="40"/>
          <w:u w:val="single"/>
        </w:rPr>
        <w:t xml:space="preserve">                           </w:t>
      </w:r>
      <w:r>
        <w:rPr>
          <w:b/>
          <w:bCs/>
          <w:sz w:val="40"/>
          <w:szCs w:val="40"/>
        </w:rPr>
        <w:t xml:space="preserve">  </w:t>
      </w:r>
      <w:r>
        <w:rPr>
          <w:u w:val="single"/>
        </w:rPr>
        <w:t>　计算机科学与技术　</w:t>
      </w:r>
    </w:p>
    <w:p w14:paraId="1D4C4204">
      <w:pPr>
        <w:spacing w:line="600" w:lineRule="auto"/>
        <w:ind w:firstLine="800" w:firstLineChars="200"/>
        <w:rPr>
          <w:b/>
          <w:bCs/>
          <w:sz w:val="40"/>
          <w:szCs w:val="40"/>
        </w:rPr>
      </w:pPr>
      <w:r>
        <w:rPr>
          <w:b/>
          <w:bCs/>
          <w:sz w:val="40"/>
          <w:szCs w:val="40"/>
        </w:rPr>
        <w:t>班    级</w:t>
      </w:r>
      <w:r>
        <w:rPr>
          <w:b/>
          <w:bCs/>
          <w:sz w:val="40"/>
          <w:szCs w:val="40"/>
          <w:u w:val="single"/>
        </w:rPr>
        <w:t xml:space="preserve">            </w:t>
      </w:r>
      <w:r>
        <w:rPr>
          <w:b/>
          <w:bCs/>
          <w:sz w:val="40"/>
          <w:szCs w:val="40"/>
        </w:rPr>
        <w:t>学号</w:t>
      </w:r>
      <w:r>
        <w:rPr>
          <w:b/>
          <w:bCs/>
          <w:sz w:val="40"/>
          <w:szCs w:val="40"/>
          <w:u w:val="single"/>
        </w:rPr>
        <w:t xml:space="preserve">           </w:t>
      </w:r>
      <w:r>
        <w:rPr>
          <w:b/>
          <w:bCs/>
          <w:sz w:val="40"/>
          <w:szCs w:val="40"/>
        </w:rPr>
        <w:t xml:space="preserve"> </w:t>
      </w:r>
      <w:r>
        <w:rPr>
          <w:u w:val="single"/>
        </w:rPr>
        <w:t>　　231042Y133</w:t>
      </w:r>
    </w:p>
    <w:p w14:paraId="1B95024C">
      <w:pPr>
        <w:spacing w:line="600" w:lineRule="auto"/>
        <w:ind w:firstLine="800" w:firstLineChars="200"/>
        <w:rPr>
          <w:b/>
          <w:bCs/>
          <w:sz w:val="40"/>
          <w:szCs w:val="40"/>
        </w:rPr>
      </w:pPr>
      <w:r>
        <w:rPr>
          <w:b/>
          <w:bCs/>
          <w:sz w:val="40"/>
          <w:szCs w:val="40"/>
        </w:rPr>
        <w:t>学生姓名</w:t>
      </w:r>
      <w:r>
        <w:rPr>
          <w:b/>
          <w:bCs/>
          <w:sz w:val="40"/>
          <w:szCs w:val="40"/>
          <w:u w:val="single"/>
        </w:rPr>
        <w:t xml:space="preserve">                           </w:t>
      </w:r>
      <w:r>
        <w:rPr>
          <w:b/>
          <w:bCs/>
          <w:sz w:val="40"/>
          <w:szCs w:val="40"/>
        </w:rPr>
        <w:t xml:space="preserve"> </w:t>
      </w:r>
      <w:r>
        <w:rPr>
          <w:u w:val="single"/>
        </w:rPr>
        <w:t>　黄子州　</w:t>
      </w:r>
    </w:p>
    <w:p w14:paraId="22897352">
      <w:pPr>
        <w:adjustRightInd w:val="0"/>
        <w:snapToGrid w:val="0"/>
        <w:spacing w:line="360" w:lineRule="auto"/>
        <w:ind w:firstLine="800" w:firstLineChars="200"/>
        <w:jc w:val="left"/>
        <w:rPr>
          <w:b/>
          <w:bCs/>
          <w:sz w:val="40"/>
          <w:szCs w:val="40"/>
          <w:u w:val="single"/>
        </w:rPr>
      </w:pPr>
      <w:r>
        <w:rPr>
          <w:b/>
          <w:bCs/>
          <w:sz w:val="40"/>
          <w:szCs w:val="40"/>
        </w:rPr>
        <w:t>指导教师</w:t>
      </w:r>
      <w:r>
        <w:rPr>
          <w:b/>
          <w:bCs/>
          <w:sz w:val="40"/>
          <w:szCs w:val="40"/>
          <w:u w:val="single"/>
        </w:rPr>
        <w:t xml:space="preserve">                           </w:t>
      </w:r>
      <w:r>
        <w:rPr>
          <w:u w:val="single"/>
        </w:rPr>
        <w:t>　刘云翔 / 陈丽琼（待定）　</w:t>
      </w:r>
    </w:p>
    <w:p w14:paraId="133879AE">
      <w:pPr>
        <w:adjustRightInd w:val="0"/>
        <w:snapToGrid w:val="0"/>
        <w:spacing w:line="360" w:lineRule="auto"/>
        <w:ind w:firstLine="800" w:firstLineChars="200"/>
        <w:rPr>
          <w:b/>
          <w:bCs/>
          <w:sz w:val="40"/>
          <w:szCs w:val="40"/>
          <w:u w:val="single"/>
        </w:rPr>
      </w:pPr>
      <w:r>
        <w:rPr>
          <w:b/>
          <w:bCs/>
          <w:sz w:val="40"/>
          <w:szCs w:val="40"/>
        </w:rPr>
        <w:t>起止日期</w:t>
      </w:r>
      <w:r>
        <w:rPr>
          <w:b/>
          <w:bCs/>
          <w:sz w:val="40"/>
          <w:szCs w:val="40"/>
          <w:u w:val="single"/>
        </w:rPr>
        <w:t xml:space="preserve">                           </w:t>
      </w:r>
      <w:r>
        <w:rPr>
          <w:u w:val="single"/>
        </w:rPr>
        <w:t>　2025-11 至 2026-06　</w:t>
      </w:r>
    </w:p>
    <w:p w14:paraId="4DAEC539">
      <w:pPr>
        <w:adjustRightInd w:val="0"/>
        <w:snapToGrid w:val="0"/>
        <w:spacing w:line="360" w:lineRule="auto"/>
        <w:rPr>
          <w:b/>
          <w:bCs/>
          <w:sz w:val="44"/>
          <w:szCs w:val="44"/>
        </w:rPr>
        <w:sectPr>
          <w:headerReference r:id="rId5" w:type="default"/>
          <w:footerReference r:id="rId7" w:type="default"/>
          <w:headerReference r:id="rId6" w:type="even"/>
          <w:footerReference r:id="rId8" w:type="even"/>
          <w:pgSz w:w="11906" w:h="16838"/>
          <w:pgMar w:top="1588" w:right="1247" w:bottom="1361" w:left="1418" w:header="851" w:footer="907" w:gutter="0"/>
          <w:pgNumType w:fmt="upperRoman"/>
          <w:cols w:space="720" w:num="1"/>
          <w:docGrid w:type="linesAndChars" w:linePitch="312" w:charSpace="0"/>
        </w:sectPr>
      </w:pPr>
    </w:p>
    <w:p w14:paraId="63557FA2">
      <w:pPr>
        <w:adjustRightInd w:val="0"/>
        <w:snapToGrid w:val="0"/>
        <w:spacing w:line="360" w:lineRule="auto"/>
        <w:jc w:val="center"/>
        <w:rPr>
          <w:sz w:val="44"/>
          <w:szCs w:val="44"/>
        </w:rPr>
      </w:pPr>
    </w:p>
    <w:p w14:paraId="53C25427">
      <w:pPr>
        <w:adjustRightInd w:val="0"/>
        <w:snapToGrid w:val="0"/>
        <w:spacing w:line="360" w:lineRule="auto"/>
        <w:jc w:val="center"/>
        <w:outlineLvl w:val="0"/>
        <w:rPr>
          <w:sz w:val="44"/>
          <w:szCs w:val="44"/>
        </w:rPr>
      </w:pPr>
      <w:bookmarkStart w:id="2" w:name="_Toc5315"/>
      <w:bookmarkStart w:id="3" w:name="_Toc9537"/>
      <w:r>
        <w:rPr>
          <w:sz w:val="44"/>
          <w:szCs w:val="44"/>
        </w:rPr>
        <w:t>毕业设计（论文）独创性声明</w:t>
      </w:r>
      <w:bookmarkEnd w:id="2"/>
      <w:bookmarkEnd w:id="3"/>
    </w:p>
    <w:p w14:paraId="1FA0329F">
      <w:pPr>
        <w:adjustRightInd w:val="0"/>
        <w:snapToGrid w:val="0"/>
        <w:spacing w:line="360" w:lineRule="auto"/>
        <w:ind w:firstLine="467" w:firstLineChars="167"/>
        <w:jc w:val="center"/>
        <w:rPr>
          <w:sz w:val="28"/>
          <w:szCs w:val="28"/>
        </w:rPr>
      </w:pPr>
    </w:p>
    <w:p w14:paraId="63C970B2">
      <w:pPr>
        <w:adjustRightInd w:val="0"/>
        <w:snapToGrid w:val="0"/>
        <w:spacing w:line="360" w:lineRule="auto"/>
        <w:ind w:firstLine="560" w:firstLineChars="200"/>
        <w:rPr>
          <w:sz w:val="28"/>
          <w:szCs w:val="28"/>
        </w:rPr>
      </w:pPr>
      <w:r>
        <w:rPr>
          <w:sz w:val="28"/>
          <w:szCs w:val="28"/>
        </w:rPr>
        <w:t>本人所呈交的毕业论文是在指导教师指导下进行的工作及取得的成果。除文中已经注明的内容外，本论文不包含其他个人已经发表或撰写过的研究成果。对本文的研究做出重要贡献的个人和集体，均已在文中作了明确说明并表示谢意。</w:t>
      </w:r>
    </w:p>
    <w:p w14:paraId="418D7208">
      <w:pPr>
        <w:adjustRightInd w:val="0"/>
        <w:snapToGrid w:val="0"/>
        <w:spacing w:line="360" w:lineRule="auto"/>
        <w:ind w:left="5250" w:leftChars="2500"/>
        <w:jc w:val="left"/>
        <w:rPr>
          <w:sz w:val="28"/>
          <w:szCs w:val="28"/>
        </w:rPr>
      </w:pPr>
    </w:p>
    <w:p w14:paraId="3606B0FE">
      <w:pPr>
        <w:adjustRightInd w:val="0"/>
        <w:snapToGrid w:val="0"/>
        <w:spacing w:line="360" w:lineRule="auto"/>
        <w:ind w:left="5250" w:leftChars="2500"/>
        <w:jc w:val="left"/>
        <w:rPr>
          <w:sz w:val="28"/>
          <w:szCs w:val="28"/>
        </w:rPr>
      </w:pPr>
    </w:p>
    <w:p w14:paraId="2BEE7323">
      <w:pPr>
        <w:adjustRightInd w:val="0"/>
        <w:snapToGrid w:val="0"/>
        <w:spacing w:line="360" w:lineRule="auto"/>
        <w:ind w:left="5250" w:leftChars="2500"/>
        <w:jc w:val="left"/>
        <w:rPr>
          <w:sz w:val="28"/>
          <w:szCs w:val="28"/>
        </w:rPr>
      </w:pPr>
    </w:p>
    <w:p w14:paraId="1D460597">
      <w:pPr>
        <w:adjustRightInd w:val="0"/>
        <w:snapToGrid w:val="0"/>
        <w:spacing w:line="360" w:lineRule="auto"/>
        <w:ind w:left="5250" w:leftChars="2500"/>
        <w:jc w:val="left"/>
        <w:rPr>
          <w:sz w:val="28"/>
          <w:szCs w:val="28"/>
        </w:rPr>
      </w:pPr>
    </w:p>
    <w:p w14:paraId="5F63307D">
      <w:pPr>
        <w:adjustRightInd w:val="0"/>
        <w:snapToGrid w:val="0"/>
        <w:spacing w:line="360" w:lineRule="auto"/>
        <w:ind w:left="5250" w:leftChars="2500"/>
        <w:jc w:val="left"/>
        <w:rPr>
          <w:sz w:val="28"/>
          <w:szCs w:val="28"/>
        </w:rPr>
      </w:pPr>
    </w:p>
    <w:p w14:paraId="74A679D3">
      <w:pPr>
        <w:adjustRightInd w:val="0"/>
        <w:snapToGrid w:val="0"/>
        <w:spacing w:line="360" w:lineRule="auto"/>
        <w:ind w:left="5250" w:leftChars="2500"/>
        <w:jc w:val="left"/>
        <w:rPr>
          <w:sz w:val="28"/>
          <w:szCs w:val="28"/>
        </w:rPr>
      </w:pPr>
    </w:p>
    <w:p w14:paraId="02601684">
      <w:pPr>
        <w:adjustRightInd w:val="0"/>
        <w:snapToGrid w:val="0"/>
        <w:spacing w:line="360" w:lineRule="auto"/>
        <w:ind w:left="5250" w:leftChars="2500"/>
        <w:jc w:val="left"/>
        <w:rPr>
          <w:sz w:val="28"/>
          <w:szCs w:val="28"/>
        </w:rPr>
      </w:pPr>
      <w:r>
        <w:rPr>
          <w:sz w:val="28"/>
          <w:szCs w:val="28"/>
        </w:rPr>
        <w:t>作者签名：</w:t>
      </w:r>
    </w:p>
    <w:p w14:paraId="3CEDF273">
      <w:pPr>
        <w:adjustRightInd w:val="0"/>
        <w:snapToGrid w:val="0"/>
        <w:spacing w:line="360" w:lineRule="auto"/>
        <w:ind w:left="5250" w:leftChars="2500"/>
        <w:jc w:val="left"/>
        <w:rPr>
          <w:sz w:val="28"/>
          <w:szCs w:val="28"/>
        </w:rPr>
      </w:pPr>
      <w:r>
        <w:rPr>
          <w:sz w:val="28"/>
          <w:szCs w:val="28"/>
        </w:rPr>
        <w:t>日    期：</w:t>
      </w:r>
    </w:p>
    <w:p w14:paraId="53AFBAF2">
      <w:pPr>
        <w:jc w:val="left"/>
        <w:rPr>
          <w:color w:val="0000FF"/>
          <w:sz w:val="24"/>
          <w:szCs w:val="24"/>
        </w:rPr>
        <w:sectPr>
          <w:footerReference r:id="rId9" w:type="default"/>
          <w:footerReference r:id="rId10" w:type="even"/>
          <w:pgSz w:w="11906" w:h="16838"/>
          <w:pgMar w:top="1588" w:right="1247" w:bottom="1361" w:left="1418" w:header="851" w:footer="907" w:gutter="0"/>
          <w:pgNumType w:fmt="upperRoman" w:start="1"/>
          <w:cols w:space="720" w:num="1"/>
          <w:docGrid w:type="linesAndChars" w:linePitch="312" w:charSpace="0"/>
        </w:sectPr>
      </w:pPr>
      <w:r>
        <w:rPr>
          <w:bCs/>
          <w:color w:val="000000"/>
          <w:sz w:val="28"/>
          <w:szCs w:val="28"/>
        </w:rPr>
        <w:pict>
          <v:shape id="_x0000_s1070" o:spid="_x0000_s1070" o:spt="61" type="#_x0000_t61" style="position:absolute;left:0pt;margin-left:179.65pt;margin-top:125.35pt;height:25.45pt;width:154.95pt;z-index:251667456;mso-width-relative:page;mso-height-relative:page;" fillcolor="#FFFFFF" filled="t" stroked="t" coordsize="21600,21600" adj="-10837,76428">
            <v:path/>
            <v:fill on="t" focussize="0,0"/>
            <v:stroke/>
            <v:imagedata o:title=""/>
            <o:lock v:ext="edit" aspectratio="f"/>
            <v:textbox>
              <w:txbxContent>
                <w:p w14:paraId="18EFD531">
                  <w:pPr>
                    <w:rPr>
                      <w:rFonts w:hint="eastAsia" w:ascii="宋体" w:hAnsi="宋体" w:cs="宋体"/>
                      <w:color w:val="0000FF"/>
                      <w:sz w:val="24"/>
                      <w:szCs w:val="24"/>
                    </w:rPr>
                  </w:pPr>
                  <w:r>
                    <w:rPr>
                      <w:rFonts w:hint="eastAsia" w:ascii="宋体" w:hAnsi="宋体" w:cs="宋体"/>
                      <w:color w:val="0000FF"/>
                      <w:sz w:val="24"/>
                      <w:szCs w:val="24"/>
                    </w:rPr>
                    <w:t>末尾插入分节符（下一页）</w:t>
                  </w:r>
                </w:p>
              </w:txbxContent>
            </v:textbox>
          </v:shape>
        </w:pict>
      </w:r>
    </w:p>
    <w:p w14:paraId="79F0113F">
      <w:pPr>
        <w:spacing w:line="300" w:lineRule="auto"/>
        <w:jc w:val="center"/>
        <w:rPr>
          <w:b/>
          <w:bCs/>
          <w:sz w:val="36"/>
        </w:rPr>
      </w:pPr>
      <w:r>
        <w:rPr>
          <w:b/>
          <w:bCs/>
          <w:sz w:val="36"/>
        </w:rPr>
        <w:t>上海应用技术大学毕业设计（论文）任务书</w:t>
      </w:r>
    </w:p>
    <w:tbl>
      <w:tblPr>
        <w:tblStyle w:val="20"/>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7923"/>
      </w:tblGrid>
      <w:tr w14:paraId="16E57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648" w:type="dxa"/>
            <w:gridSpan w:val="2"/>
            <w:noWrap w:val="0"/>
            <w:vAlign w:val="center"/>
          </w:tcPr>
          <w:p w14:paraId="46250D0F">
            <w:pPr>
              <w:pStyle w:val="7"/>
              <w:spacing w:line="300" w:lineRule="auto"/>
              <w:rPr>
                <w:sz w:val="24"/>
              </w:rPr>
            </w:pPr>
            <w:r>
              <w:rPr>
                <w:sz w:val="24"/>
              </w:rPr>
              <w:t xml:space="preserve">题目：  </w:t>
            </w:r>
            <w:r>
              <w:rPr>
                <w:sz w:val="24"/>
              </w:rPr>
              <w:fldChar w:fldCharType="begin"/>
            </w:r>
            <w:r>
              <w:rPr>
                <w:sz w:val="24"/>
              </w:rPr>
              <w:instrText xml:space="preserve"> HYPERLINK "JavaScript:showArticle('2336385e-e532-4bc6-ae42-2a8a32c59484')" </w:instrText>
            </w:r>
            <w:r>
              <w:rPr>
                <w:sz w:val="24"/>
              </w:rPr>
              <w:fldChar w:fldCharType="separate"/>
            </w:r>
            <w:r>
              <w:rPr>
                <w:rStyle w:val="23"/>
                <w:sz w:val="24"/>
              </w:rPr>
              <w:t>JavaScript:showArticle('2336385e-e532-4bc6-ae42-2a8a32c59484')</w:t>
            </w:r>
            <w:r>
              <w:rPr>
                <w:sz w:val="24"/>
              </w:rPr>
              <w:fldChar w:fldCharType="end"/>
            </w:r>
            <w:r>
              <w:rPr>
                <w:sz w:val="24"/>
              </w:rPr>
              <w:t xml:space="preserve">   </w:t>
            </w:r>
          </w:p>
        </w:tc>
      </w:tr>
      <w:tr w14:paraId="6C7A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648" w:type="dxa"/>
            <w:gridSpan w:val="2"/>
            <w:noWrap w:val="0"/>
            <w:vAlign w:val="top"/>
          </w:tcPr>
          <w:p w14:paraId="6AE045B2">
            <w:pPr>
              <w:pStyle w:val="7"/>
              <w:spacing w:line="300" w:lineRule="auto"/>
              <w:rPr>
                <w:sz w:val="24"/>
              </w:rPr>
            </w:pPr>
            <w:r>
              <w:rPr>
                <w:sz w:val="24"/>
              </w:rPr>
              <w:t>学生姓名：          学号：                   专业：</w:t>
            </w:r>
          </w:p>
        </w:tc>
      </w:tr>
      <w:tr w14:paraId="1A2A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648" w:type="dxa"/>
            <w:gridSpan w:val="2"/>
            <w:noWrap w:val="0"/>
            <w:vAlign w:val="center"/>
          </w:tcPr>
          <w:p w14:paraId="0443C369">
            <w:pPr>
              <w:pStyle w:val="7"/>
              <w:spacing w:line="300" w:lineRule="auto"/>
              <w:rPr>
                <w:sz w:val="24"/>
              </w:rPr>
            </w:pPr>
            <w:r>
              <w:rPr>
                <w:sz w:val="24"/>
              </w:rPr>
              <w:t xml:space="preserve">任务起止日期：     </w:t>
            </w:r>
          </w:p>
        </w:tc>
      </w:tr>
      <w:tr w14:paraId="49F4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2" w:hRule="atLeast"/>
        </w:trPr>
        <w:tc>
          <w:tcPr>
            <w:tcW w:w="9648" w:type="dxa"/>
            <w:gridSpan w:val="2"/>
            <w:noWrap w:val="0"/>
            <w:vAlign w:val="top"/>
          </w:tcPr>
          <w:p w14:paraId="502C0934">
            <w:pPr>
              <w:pStyle w:val="7"/>
              <w:numPr>
                <w:ilvl w:val="0"/>
                <w:numId w:val="1"/>
              </w:numPr>
              <w:spacing w:after="0" w:line="300" w:lineRule="auto"/>
              <w:rPr>
                <w:sz w:val="24"/>
              </w:rPr>
            </w:pPr>
            <w:r>
              <w:rPr>
                <w:sz w:val="24"/>
              </w:rPr>
              <w:t>课题的任务内容：</w:t>
            </w:r>
          </w:p>
          <w:p w14:paraId="656A43E1">
            <w:pPr>
              <w:widowControl/>
              <w:adjustRightInd w:val="0"/>
              <w:snapToGrid w:val="0"/>
              <w:spacing w:line="300" w:lineRule="auto"/>
              <w:ind w:firstLine="480" w:firstLineChars="200"/>
              <w:rPr>
                <w:sz w:val="24"/>
                <w:szCs w:val="28"/>
              </w:rPr>
            </w:pPr>
          </w:p>
        </w:tc>
      </w:tr>
      <w:tr w14:paraId="2BCB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9648" w:type="dxa"/>
            <w:gridSpan w:val="2"/>
            <w:noWrap w:val="0"/>
            <w:vAlign w:val="top"/>
          </w:tcPr>
          <w:p w14:paraId="66DB9E56">
            <w:pPr>
              <w:pStyle w:val="7"/>
              <w:spacing w:line="300" w:lineRule="auto"/>
              <w:rPr>
                <w:sz w:val="24"/>
              </w:rPr>
            </w:pPr>
            <w:r>
              <w:rPr>
                <w:sz w:val="24"/>
              </w:rPr>
              <w:t>二、原始条件及数据：</w:t>
            </w:r>
          </w:p>
          <w:p w14:paraId="3F3BA359">
            <w:pPr>
              <w:pStyle w:val="7"/>
              <w:spacing w:line="300" w:lineRule="auto"/>
              <w:rPr>
                <w:sz w:val="24"/>
              </w:rPr>
            </w:pPr>
          </w:p>
        </w:tc>
      </w:tr>
      <w:tr w14:paraId="086C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1" w:hRule="atLeast"/>
        </w:trPr>
        <w:tc>
          <w:tcPr>
            <w:tcW w:w="9648" w:type="dxa"/>
            <w:gridSpan w:val="2"/>
            <w:noWrap w:val="0"/>
            <w:vAlign w:val="top"/>
          </w:tcPr>
          <w:p w14:paraId="466040F4">
            <w:pPr>
              <w:pStyle w:val="7"/>
              <w:spacing w:line="300" w:lineRule="auto"/>
              <w:rPr>
                <w:sz w:val="24"/>
              </w:rPr>
            </w:pPr>
            <w:r>
              <w:rPr>
                <w:sz w:val="24"/>
              </w:rPr>
              <w:t>三、设计的技术要求（论文的研究要求）：</w:t>
            </w:r>
          </w:p>
          <w:p w14:paraId="20137FC8">
            <w:pPr>
              <w:spacing w:line="300" w:lineRule="auto"/>
              <w:rPr>
                <w:sz w:val="24"/>
              </w:rPr>
            </w:pPr>
          </w:p>
        </w:tc>
      </w:tr>
      <w:tr w14:paraId="3110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trPr>
        <w:tc>
          <w:tcPr>
            <w:tcW w:w="9648" w:type="dxa"/>
            <w:gridSpan w:val="2"/>
            <w:tcBorders>
              <w:bottom w:val="single" w:color="auto" w:sz="4" w:space="0"/>
            </w:tcBorders>
            <w:noWrap w:val="0"/>
            <w:vAlign w:val="top"/>
          </w:tcPr>
          <w:p w14:paraId="63AD3B0B">
            <w:pPr>
              <w:pStyle w:val="7"/>
              <w:spacing w:line="300" w:lineRule="auto"/>
              <w:rPr>
                <w:sz w:val="24"/>
              </w:rPr>
            </w:pPr>
            <w:r>
              <w:rPr>
                <w:sz w:val="24"/>
              </w:rPr>
              <w:t>四、毕业设计（论文）应完成的具体工作：</w:t>
            </w:r>
          </w:p>
          <w:p w14:paraId="67C0D475">
            <w:pPr>
              <w:pStyle w:val="7"/>
              <w:spacing w:line="300" w:lineRule="auto"/>
              <w:rPr>
                <w:sz w:val="24"/>
              </w:rPr>
            </w:pPr>
          </w:p>
          <w:p w14:paraId="2FF4AD5B">
            <w:pPr>
              <w:pStyle w:val="7"/>
              <w:spacing w:line="300" w:lineRule="auto"/>
              <w:rPr>
                <w:sz w:val="24"/>
              </w:rPr>
            </w:pPr>
          </w:p>
          <w:p w14:paraId="2B33A951">
            <w:pPr>
              <w:pStyle w:val="7"/>
              <w:spacing w:line="300" w:lineRule="auto"/>
              <w:rPr>
                <w:sz w:val="24"/>
              </w:rPr>
            </w:pPr>
          </w:p>
          <w:p w14:paraId="40AD07EA">
            <w:pPr>
              <w:pStyle w:val="7"/>
              <w:spacing w:line="300" w:lineRule="auto"/>
              <w:rPr>
                <w:sz w:val="24"/>
              </w:rPr>
            </w:pPr>
          </w:p>
          <w:p w14:paraId="4D348955">
            <w:pPr>
              <w:pStyle w:val="7"/>
              <w:spacing w:line="300" w:lineRule="auto"/>
              <w:rPr>
                <w:sz w:val="24"/>
              </w:rPr>
            </w:pPr>
            <w:r>
              <w:rPr>
                <w:sz w:val="24"/>
              </w:rPr>
              <w:t>软硬件名称、内容及主要的技术指标（可按以下类型选择）：</w:t>
            </w:r>
          </w:p>
        </w:tc>
      </w:tr>
      <w:tr w14:paraId="010E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725" w:type="dxa"/>
            <w:noWrap w:val="0"/>
            <w:vAlign w:val="center"/>
          </w:tcPr>
          <w:p w14:paraId="6EFCC894">
            <w:pPr>
              <w:pStyle w:val="7"/>
              <w:spacing w:line="300" w:lineRule="auto"/>
              <w:ind w:firstLine="120" w:firstLineChars="50"/>
              <w:rPr>
                <w:sz w:val="24"/>
              </w:rPr>
            </w:pPr>
            <w:r>
              <w:rPr>
                <w:sz w:val="24"/>
              </w:rPr>
              <w:t>计算机软件</w:t>
            </w:r>
          </w:p>
        </w:tc>
        <w:tc>
          <w:tcPr>
            <w:tcW w:w="7923" w:type="dxa"/>
            <w:noWrap w:val="0"/>
            <w:vAlign w:val="top"/>
          </w:tcPr>
          <w:p w14:paraId="0B318733">
            <w:pPr>
              <w:pStyle w:val="7"/>
              <w:spacing w:line="300" w:lineRule="auto"/>
              <w:ind w:left="7512"/>
              <w:rPr>
                <w:sz w:val="24"/>
              </w:rPr>
            </w:pPr>
          </w:p>
        </w:tc>
      </w:tr>
      <w:tr w14:paraId="18CE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725" w:type="dxa"/>
            <w:noWrap w:val="0"/>
            <w:vAlign w:val="center"/>
          </w:tcPr>
          <w:p w14:paraId="6A43914B">
            <w:pPr>
              <w:pStyle w:val="7"/>
              <w:spacing w:line="300" w:lineRule="auto"/>
              <w:ind w:firstLine="120" w:firstLineChars="50"/>
              <w:rPr>
                <w:sz w:val="24"/>
              </w:rPr>
            </w:pPr>
            <w:r>
              <w:rPr>
                <w:sz w:val="24"/>
              </w:rPr>
              <w:t>图      纸</w:t>
            </w:r>
          </w:p>
        </w:tc>
        <w:tc>
          <w:tcPr>
            <w:tcW w:w="7923" w:type="dxa"/>
            <w:noWrap w:val="0"/>
            <w:vAlign w:val="top"/>
          </w:tcPr>
          <w:p w14:paraId="783B434F">
            <w:pPr>
              <w:pStyle w:val="7"/>
              <w:spacing w:line="300" w:lineRule="auto"/>
              <w:ind w:left="7392"/>
              <w:rPr>
                <w:sz w:val="24"/>
              </w:rPr>
            </w:pPr>
          </w:p>
        </w:tc>
      </w:tr>
      <w:tr w14:paraId="4EBE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725" w:type="dxa"/>
            <w:noWrap w:val="0"/>
            <w:vAlign w:val="center"/>
          </w:tcPr>
          <w:p w14:paraId="74BE2A2D">
            <w:pPr>
              <w:pStyle w:val="7"/>
              <w:spacing w:line="300" w:lineRule="auto"/>
              <w:ind w:firstLine="120" w:firstLineChars="50"/>
              <w:rPr>
                <w:sz w:val="24"/>
              </w:rPr>
            </w:pPr>
            <w:r>
              <w:rPr>
                <w:sz w:val="24"/>
              </w:rPr>
              <w:t>电  路  板</w:t>
            </w:r>
          </w:p>
        </w:tc>
        <w:tc>
          <w:tcPr>
            <w:tcW w:w="7923" w:type="dxa"/>
            <w:noWrap w:val="0"/>
            <w:vAlign w:val="top"/>
          </w:tcPr>
          <w:p w14:paraId="7101D334">
            <w:pPr>
              <w:pStyle w:val="7"/>
              <w:spacing w:line="300" w:lineRule="auto"/>
              <w:ind w:left="7632"/>
              <w:rPr>
                <w:sz w:val="24"/>
              </w:rPr>
            </w:pPr>
          </w:p>
        </w:tc>
      </w:tr>
      <w:tr w14:paraId="2F7238A7">
        <w:tblPrEx>
          <w:tblCellMar>
            <w:top w:w="0" w:type="dxa"/>
            <w:left w:w="108" w:type="dxa"/>
            <w:bottom w:w="0" w:type="dxa"/>
            <w:right w:w="108" w:type="dxa"/>
          </w:tblCellMar>
        </w:tblPrEx>
        <w:trPr>
          <w:trHeight w:val="465" w:hRule="atLeast"/>
        </w:trPr>
        <w:tc>
          <w:tcPr>
            <w:tcW w:w="1725" w:type="dxa"/>
            <w:noWrap w:val="0"/>
            <w:vAlign w:val="center"/>
          </w:tcPr>
          <w:p w14:paraId="318607D2">
            <w:pPr>
              <w:pStyle w:val="7"/>
              <w:spacing w:line="300" w:lineRule="auto"/>
              <w:ind w:firstLine="120" w:firstLineChars="50"/>
              <w:rPr>
                <w:sz w:val="24"/>
              </w:rPr>
            </w:pPr>
            <w:r>
              <w:rPr>
                <w:sz w:val="24"/>
              </w:rPr>
              <w:t>机</w:t>
            </w:r>
            <w:r>
              <w:rPr>
                <w:sz w:val="18"/>
                <w:szCs w:val="18"/>
              </w:rPr>
              <w:t xml:space="preserve"> </w:t>
            </w:r>
            <w:r>
              <w:rPr>
                <w:sz w:val="24"/>
              </w:rPr>
              <w:t>电</w:t>
            </w:r>
            <w:r>
              <w:rPr>
                <w:sz w:val="18"/>
                <w:szCs w:val="18"/>
              </w:rPr>
              <w:t xml:space="preserve"> </w:t>
            </w:r>
            <w:r>
              <w:rPr>
                <w:sz w:val="24"/>
              </w:rPr>
              <w:t>装</w:t>
            </w:r>
            <w:r>
              <w:rPr>
                <w:sz w:val="18"/>
                <w:szCs w:val="18"/>
              </w:rPr>
              <w:t xml:space="preserve"> </w:t>
            </w:r>
            <w:r>
              <w:rPr>
                <w:sz w:val="24"/>
              </w:rPr>
              <w:t>置</w:t>
            </w:r>
          </w:p>
        </w:tc>
        <w:tc>
          <w:tcPr>
            <w:tcW w:w="7923" w:type="dxa"/>
            <w:noWrap w:val="0"/>
            <w:vAlign w:val="top"/>
          </w:tcPr>
          <w:p w14:paraId="1D93871D">
            <w:pPr>
              <w:pStyle w:val="7"/>
              <w:spacing w:line="300" w:lineRule="auto"/>
              <w:rPr>
                <w:sz w:val="24"/>
              </w:rPr>
            </w:pPr>
          </w:p>
        </w:tc>
      </w:tr>
      <w:tr w14:paraId="6F87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725" w:type="dxa"/>
            <w:noWrap w:val="0"/>
            <w:vAlign w:val="center"/>
          </w:tcPr>
          <w:p w14:paraId="5A6B5774">
            <w:pPr>
              <w:pStyle w:val="7"/>
              <w:spacing w:line="300" w:lineRule="auto"/>
              <w:ind w:firstLine="120" w:firstLineChars="50"/>
              <w:rPr>
                <w:sz w:val="24"/>
              </w:rPr>
            </w:pPr>
            <w:r>
              <w:rPr>
                <w:sz w:val="24"/>
              </w:rPr>
              <w:t>新材料制剂</w:t>
            </w:r>
          </w:p>
        </w:tc>
        <w:tc>
          <w:tcPr>
            <w:tcW w:w="7923" w:type="dxa"/>
            <w:noWrap w:val="0"/>
            <w:vAlign w:val="top"/>
          </w:tcPr>
          <w:p w14:paraId="2FCA58AA">
            <w:pPr>
              <w:pStyle w:val="7"/>
              <w:spacing w:line="300" w:lineRule="auto"/>
              <w:ind w:left="7392"/>
              <w:rPr>
                <w:sz w:val="24"/>
              </w:rPr>
            </w:pPr>
          </w:p>
        </w:tc>
      </w:tr>
      <w:tr w14:paraId="7514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1725" w:type="dxa"/>
            <w:noWrap w:val="0"/>
            <w:vAlign w:val="center"/>
          </w:tcPr>
          <w:p w14:paraId="7727056C">
            <w:pPr>
              <w:pStyle w:val="7"/>
              <w:spacing w:line="300" w:lineRule="auto"/>
              <w:ind w:firstLine="120" w:firstLineChars="50"/>
              <w:rPr>
                <w:sz w:val="24"/>
              </w:rPr>
            </w:pPr>
            <w:r>
              <w:rPr>
                <w:sz w:val="24"/>
              </w:rPr>
              <w:t>结</w:t>
            </w:r>
            <w:r>
              <w:rPr>
                <w:sz w:val="18"/>
                <w:szCs w:val="18"/>
              </w:rPr>
              <w:t xml:space="preserve"> </w:t>
            </w:r>
            <w:r>
              <w:rPr>
                <w:sz w:val="24"/>
              </w:rPr>
              <w:t>构</w:t>
            </w:r>
            <w:r>
              <w:rPr>
                <w:sz w:val="18"/>
                <w:szCs w:val="18"/>
              </w:rPr>
              <w:t xml:space="preserve"> </w:t>
            </w:r>
            <w:r>
              <w:rPr>
                <w:sz w:val="24"/>
              </w:rPr>
              <w:t>模</w:t>
            </w:r>
            <w:r>
              <w:rPr>
                <w:sz w:val="18"/>
                <w:szCs w:val="18"/>
              </w:rPr>
              <w:t xml:space="preserve"> </w:t>
            </w:r>
            <w:r>
              <w:rPr>
                <w:sz w:val="24"/>
              </w:rPr>
              <w:t>型</w:t>
            </w:r>
          </w:p>
        </w:tc>
        <w:tc>
          <w:tcPr>
            <w:tcW w:w="7923" w:type="dxa"/>
            <w:noWrap w:val="0"/>
            <w:vAlign w:val="top"/>
          </w:tcPr>
          <w:p w14:paraId="3C8412CC">
            <w:pPr>
              <w:pStyle w:val="7"/>
              <w:spacing w:line="300" w:lineRule="auto"/>
              <w:ind w:left="7392"/>
              <w:rPr>
                <w:sz w:val="24"/>
              </w:rPr>
            </w:pPr>
          </w:p>
        </w:tc>
      </w:tr>
      <w:tr w14:paraId="135F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725" w:type="dxa"/>
            <w:noWrap w:val="0"/>
            <w:vAlign w:val="center"/>
          </w:tcPr>
          <w:p w14:paraId="770CDD4B">
            <w:pPr>
              <w:pStyle w:val="7"/>
              <w:spacing w:line="300" w:lineRule="auto"/>
              <w:ind w:firstLine="120" w:firstLineChars="50"/>
              <w:rPr>
                <w:sz w:val="24"/>
              </w:rPr>
            </w:pPr>
            <w:r>
              <w:rPr>
                <w:sz w:val="24"/>
              </w:rPr>
              <w:t>其      他</w:t>
            </w:r>
          </w:p>
        </w:tc>
        <w:tc>
          <w:tcPr>
            <w:tcW w:w="7923" w:type="dxa"/>
            <w:noWrap w:val="0"/>
            <w:vAlign w:val="top"/>
          </w:tcPr>
          <w:p w14:paraId="0F8162C3">
            <w:pPr>
              <w:pStyle w:val="7"/>
              <w:spacing w:line="300" w:lineRule="auto"/>
              <w:rPr>
                <w:sz w:val="24"/>
              </w:rPr>
            </w:pPr>
          </w:p>
        </w:tc>
      </w:tr>
      <w:tr w14:paraId="04BBD1F5">
        <w:tblPrEx>
          <w:tblCellMar>
            <w:top w:w="0" w:type="dxa"/>
            <w:left w:w="108" w:type="dxa"/>
            <w:bottom w:w="0" w:type="dxa"/>
            <w:right w:w="108" w:type="dxa"/>
          </w:tblCellMar>
        </w:tblPrEx>
        <w:trPr>
          <w:trHeight w:val="2945" w:hRule="atLeast"/>
        </w:trPr>
        <w:tc>
          <w:tcPr>
            <w:tcW w:w="9648" w:type="dxa"/>
            <w:gridSpan w:val="2"/>
            <w:noWrap w:val="0"/>
            <w:vAlign w:val="top"/>
          </w:tcPr>
          <w:p w14:paraId="1163EF83">
            <w:pPr>
              <w:spacing w:line="300" w:lineRule="auto"/>
              <w:rPr>
                <w:sz w:val="24"/>
              </w:rPr>
            </w:pPr>
            <w:r>
              <w:rPr>
                <w:sz w:val="24"/>
                <w:szCs w:val="28"/>
              </w:rPr>
              <w:t>五、</w:t>
            </w:r>
            <w:r>
              <w:rPr>
                <w:sz w:val="24"/>
              </w:rPr>
              <w:t>查阅文献要求及主要的参考文献：</w:t>
            </w:r>
          </w:p>
          <w:p w14:paraId="5D7BB1B4">
            <w:pPr>
              <w:spacing w:line="300" w:lineRule="auto"/>
              <w:rPr>
                <w:sz w:val="24"/>
              </w:rPr>
            </w:pPr>
          </w:p>
        </w:tc>
      </w:tr>
      <w:tr w14:paraId="5D83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4" w:hRule="atLeast"/>
        </w:trPr>
        <w:tc>
          <w:tcPr>
            <w:tcW w:w="9648" w:type="dxa"/>
            <w:gridSpan w:val="2"/>
            <w:noWrap w:val="0"/>
            <w:vAlign w:val="top"/>
          </w:tcPr>
          <w:p w14:paraId="0AB70E5C">
            <w:pPr>
              <w:spacing w:line="300" w:lineRule="auto"/>
              <w:rPr>
                <w:sz w:val="24"/>
                <w:szCs w:val="28"/>
              </w:rPr>
            </w:pPr>
            <w:r>
              <w:rPr>
                <w:sz w:val="24"/>
                <w:szCs w:val="28"/>
              </w:rPr>
              <w:t>六、进度安排：（设计或论文各阶段的要求，时间安排）：</w:t>
            </w:r>
          </w:p>
          <w:p w14:paraId="722DB6B5">
            <w:pPr>
              <w:tabs>
                <w:tab w:val="left" w:pos="540"/>
                <w:tab w:val="left" w:pos="840"/>
              </w:tabs>
              <w:spacing w:after="62" w:afterLines="20" w:line="276" w:lineRule="auto"/>
              <w:rPr>
                <w:sz w:val="24"/>
              </w:rPr>
            </w:pPr>
          </w:p>
        </w:tc>
      </w:tr>
      <w:tr w14:paraId="79FC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9648" w:type="dxa"/>
            <w:gridSpan w:val="2"/>
            <w:noWrap w:val="0"/>
            <w:vAlign w:val="top"/>
          </w:tcPr>
          <w:p w14:paraId="41F56B82">
            <w:pPr>
              <w:spacing w:line="300" w:lineRule="auto"/>
              <w:rPr>
                <w:sz w:val="24"/>
                <w:szCs w:val="18"/>
              </w:rPr>
            </w:pPr>
            <w:r>
              <w:rPr>
                <w:sz w:val="24"/>
                <w:szCs w:val="28"/>
              </w:rPr>
              <w:t xml:space="preserve">指导教师： </w:t>
            </w:r>
            <w:r>
              <w:rPr>
                <w:sz w:val="24"/>
                <w:szCs w:val="28"/>
                <w:u w:val="single"/>
              </w:rPr>
              <w:t xml:space="preserve">                </w:t>
            </w:r>
            <w:r>
              <w:rPr>
                <w:sz w:val="24"/>
                <w:szCs w:val="28"/>
              </w:rPr>
              <w:t xml:space="preserve">                        年    月   日</w:t>
            </w:r>
            <w:r>
              <w:rPr>
                <w:sz w:val="24"/>
                <w:szCs w:val="18"/>
              </w:rPr>
              <w:t xml:space="preserve">  </w:t>
            </w:r>
          </w:p>
        </w:tc>
      </w:tr>
      <w:tr w14:paraId="2C82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648" w:type="dxa"/>
            <w:gridSpan w:val="2"/>
            <w:noWrap w:val="0"/>
            <w:vAlign w:val="top"/>
          </w:tcPr>
          <w:p w14:paraId="43E6E263">
            <w:pPr>
              <w:spacing w:line="300" w:lineRule="auto"/>
              <w:rPr>
                <w:sz w:val="24"/>
                <w:szCs w:val="18"/>
              </w:rPr>
            </w:pPr>
            <w:r>
              <w:rPr>
                <w:sz w:val="24"/>
                <w:szCs w:val="18"/>
              </w:rPr>
              <w:t xml:space="preserve">审核意见： </w:t>
            </w:r>
          </w:p>
          <w:p w14:paraId="2B7010F0">
            <w:pPr>
              <w:spacing w:line="300" w:lineRule="auto"/>
              <w:rPr>
                <w:sz w:val="24"/>
                <w:szCs w:val="18"/>
              </w:rPr>
            </w:pPr>
            <w:r>
              <w:rPr>
                <w:sz w:val="24"/>
                <w:szCs w:val="18"/>
              </w:rPr>
              <w:t xml:space="preserve">教研室主任： </w:t>
            </w:r>
            <w:r>
              <w:rPr>
                <w:sz w:val="24"/>
                <w:szCs w:val="18"/>
                <w:u w:val="single"/>
              </w:rPr>
              <w:t xml:space="preserve">            </w:t>
            </w:r>
            <w:r>
              <w:rPr>
                <w:sz w:val="24"/>
                <w:szCs w:val="18"/>
              </w:rPr>
              <w:t xml:space="preserve">                          年    月   日</w:t>
            </w:r>
          </w:p>
        </w:tc>
      </w:tr>
    </w:tbl>
    <w:p w14:paraId="7696CA56">
      <w:pPr>
        <w:spacing w:line="300" w:lineRule="auto"/>
      </w:pPr>
      <w:r>
        <w:rPr>
          <w:color w:val="0000FF"/>
          <w:sz w:val="24"/>
          <w:szCs w:val="24"/>
        </w:rPr>
        <w:pict>
          <v:shape id="_x0000_s1071" o:spid="_x0000_s1071" o:spt="61" type="#_x0000_t61" style="position:absolute;left:0pt;margin-left:191.65pt;margin-top:97.55pt;height:25.45pt;width:154.95pt;z-index:251668480;mso-width-relative:page;mso-height-relative:page;" fillcolor="#FFFFFF" filled="t" stroked="t" coordsize="21600,21600" adj="-10837,76428">
            <v:path/>
            <v:fill on="t" focussize="0,0"/>
            <v:stroke/>
            <v:imagedata o:title=""/>
            <o:lock v:ext="edit" aspectratio="f"/>
            <v:textbox>
              <w:txbxContent>
                <w:p w14:paraId="2E4F7B82">
                  <w:pPr>
                    <w:rPr>
                      <w:rFonts w:hint="eastAsia" w:ascii="宋体" w:hAnsi="宋体" w:cs="宋体"/>
                      <w:color w:val="0000FF"/>
                      <w:sz w:val="24"/>
                      <w:szCs w:val="24"/>
                    </w:rPr>
                  </w:pPr>
                  <w:r>
                    <w:rPr>
                      <w:rFonts w:hint="eastAsia" w:ascii="宋体" w:hAnsi="宋体" w:cs="宋体"/>
                      <w:color w:val="0000FF"/>
                      <w:sz w:val="24"/>
                      <w:szCs w:val="24"/>
                    </w:rPr>
                    <w:t>末尾插入分节符（下一页）</w:t>
                  </w:r>
                </w:p>
              </w:txbxContent>
            </v:textbox>
          </v:shape>
        </w:pict>
      </w:r>
    </w:p>
    <w:p w14:paraId="08582DA9">
      <w:pPr>
        <w:jc w:val="left"/>
        <w:rPr>
          <w:color w:val="0000FF"/>
          <w:sz w:val="24"/>
          <w:szCs w:val="24"/>
        </w:rPr>
        <w:sectPr>
          <w:pgSz w:w="11906" w:h="16838"/>
          <w:pgMar w:top="1588" w:right="1247" w:bottom="1361" w:left="1418" w:header="851" w:footer="907" w:gutter="0"/>
          <w:pgNumType w:fmt="upperRoman"/>
          <w:cols w:space="720" w:num="1"/>
          <w:docGrid w:type="linesAndChars" w:linePitch="312" w:charSpace="0"/>
        </w:sectPr>
      </w:pPr>
    </w:p>
    <w:p w14:paraId="27E55BC9">
      <w:pPr>
        <w:spacing w:before="312" w:beforeLines="100" w:after="312" w:afterLines="100" w:line="300" w:lineRule="auto"/>
        <w:jc w:val="center"/>
        <w:outlineLvl w:val="0"/>
        <w:rPr>
          <w:rFonts w:eastAsia="黑体"/>
          <w:b/>
          <w:sz w:val="36"/>
          <w:szCs w:val="36"/>
        </w:rPr>
      </w:pPr>
      <w:commentRangeStart w:id="0"/>
      <w:bookmarkStart w:id="4" w:name="_Toc31912"/>
      <w:bookmarkStart w:id="5" w:name="_Toc17029"/>
      <w:r>
        <w:rPr>
          <w:rFonts w:eastAsia="黑体"/>
          <w:b/>
          <w:sz w:val="36"/>
          <w:szCs w:val="36"/>
        </w:rPr>
        <w:t>毕业设计（论文）题目</w:t>
      </w:r>
      <w:commentRangeEnd w:id="0"/>
      <w:bookmarkEnd w:id="4"/>
      <w:r>
        <w:rPr>
          <w:rFonts w:eastAsia="黑体"/>
          <w:b/>
          <w:sz w:val="36"/>
          <w:szCs w:val="36"/>
        </w:rPr>
        <w:commentReference w:id="0"/>
      </w:r>
      <w:bookmarkEnd w:id="5"/>
    </w:p>
    <w:p w14:paraId="030B1A95">
      <w:pPr>
        <w:spacing w:line="300" w:lineRule="auto"/>
        <w:jc w:val="left"/>
        <w:rPr>
          <w:sz w:val="18"/>
        </w:rPr>
      </w:pPr>
      <w:r>
        <w:t>摘要：A 股市场情绪驱动特征显著，个人投资者在信息过载与情绪噪声中难以形成稳定决策。本文以"事件驱动 + 市场情绪"为差异化主线，设计并实现了 StockSignal——一套面向 A 股的市场广度与情绪温度计分析平台，并提出"决策闭环 + 刻度校准"的方法论框架：先以全市场广度指标重建六阶段情绪周期，再据此推导可调仓位建议，最后用真实历史数据反向校准仓位刻度常数。</w:t>
      </w:r>
      <w:r>
        <w:br w:type="textWrapping"/>
      </w:r>
      <w:r>
        <w:br w:type="textWrapping"/>
      </w:r>
      <w:r>
        <w:t>论文的核心贡献在于把"拍脑袋"的仓位经验转化为可验证、可校准的闭环。为验证该框架，本文重建了覆盖 2007–2026 年共 4798 个真实交易日的 A 股全市场广度与情绪历史（其中 2009-11 起方向可评分口径 4092 日）（离线可复现、防覆盖双备份）。在该数据上回测完整决策链路得到两个关键实证结论：（1）情绪周期对次日方向的预测≈随机（方向命中率 49.1%，已按“平盘=无方向信息”口径剔除 177 个平盘日），如实界定了系统能力边界——不宣称"猜对明天涨跌"；（2）仓位建议随情绪周期显著分化（进攻期平均 57.8% 对比防守期 35.0%，价差 22.8 个百分点），证明闭环是一台"市场状态驱动的风险缩放器"。进一步用回测分组统计驱动刻度校准模块，验证原有 CYCLE_ADJ 常数在统计意义上基本合理，校准机制在噪音阈值内选择"不动"，且小样本被硬性门槛拦截以防过拟合。</w:t>
      </w:r>
      <w:r>
        <w:br w:type="textWrapping"/>
      </w:r>
      <w:r>
        <w:br w:type="textWrapping"/>
      </w:r>
      <w:r>
        <w:t>本文表明：在日频方向不可预测的现实下，把有限的可预测性配置在"仓位刻度"这一更稳健的维度、并以数据驱动方式持续校准，是事件驱动情绪类策略更诚实、更可持续的工程化路径。</w:t>
      </w:r>
    </w:p>
    <w:p w14:paraId="2175C11B">
      <w:pPr>
        <w:spacing w:before="312" w:beforeLines="100" w:line="300" w:lineRule="auto"/>
        <w:jc w:val="left"/>
        <w:rPr>
          <w:sz w:val="24"/>
          <w:szCs w:val="24"/>
        </w:rPr>
      </w:pPr>
      <w:r>
        <w:t>关键词： A 股；市场广度；情绪周期；决策闭环；刻度校准；回测；StockSignal</w:t>
      </w:r>
    </w:p>
    <w:p w14:paraId="00B47FEF">
      <w:pPr>
        <w:pStyle w:val="7"/>
        <w:rPr>
          <w:sz w:val="24"/>
        </w:rPr>
      </w:pPr>
      <w:r>
        <w:rPr>
          <w:rFonts w:eastAsia="黑体"/>
          <w:b/>
          <w:bCs/>
          <w:color w:val="0000FF"/>
        </w:rPr>
        <w:pict>
          <v:shape id="_x0000_s1060" o:spid="_x0000_s1060" o:spt="61" type="#_x0000_t61" style="position:absolute;left:0pt;margin-left:182.85pt;margin-top:8.4pt;height:36.65pt;width:217.3pt;z-index:251663360;mso-width-relative:page;mso-height-relative:page;" fillcolor="#FFFFFF" filled="t" stroked="t" coordsize="21600,21600" adj="1208,-8309">
            <v:path/>
            <v:fill on="t" focussize="0,0"/>
            <v:stroke/>
            <v:imagedata o:title=""/>
            <o:lock v:ext="edit" aspectratio="f"/>
            <v:textbox>
              <w:txbxContent>
                <w:p w14:paraId="64B5B05C">
                  <w:r>
                    <w:rPr>
                      <w:rFonts w:hint="eastAsia" w:ascii="宋体" w:hAnsi="宋体" w:cs="宋体"/>
                      <w:color w:val="0000FF"/>
                      <w:sz w:val="24"/>
                      <w:szCs w:val="24"/>
                    </w:rPr>
                    <w:t>（内容用宋体小四号，含3~5个字或词组，间隔用分号，结束无标点符号。）</w:t>
                  </w:r>
                </w:p>
              </w:txbxContent>
            </v:textbox>
          </v:shape>
        </w:pict>
      </w:r>
    </w:p>
    <w:p w14:paraId="60628A7F">
      <w:pPr>
        <w:pStyle w:val="7"/>
        <w:rPr>
          <w:color w:val="0000FF"/>
          <w:sz w:val="24"/>
          <w:szCs w:val="24"/>
        </w:rPr>
      </w:pPr>
      <w:r>
        <w:rPr>
          <w:color w:val="0000FF"/>
          <w:sz w:val="24"/>
          <w:szCs w:val="24"/>
        </w:rPr>
        <w:t>（</w:t>
      </w:r>
      <w:r>
        <w:rPr>
          <w:rFonts w:eastAsia="楷体_GB2312"/>
          <w:color w:val="0000FF"/>
          <w:sz w:val="24"/>
          <w:szCs w:val="24"/>
        </w:rPr>
        <w:t>空二行）</w:t>
      </w:r>
    </w:p>
    <w:p w14:paraId="69D624C0">
      <w:pPr>
        <w:spacing w:after="312" w:afterLines="100" w:line="300" w:lineRule="auto"/>
        <w:jc w:val="center"/>
        <w:outlineLvl w:val="0"/>
        <w:rPr>
          <w:b/>
          <w:bCs/>
          <w:iCs/>
          <w:sz w:val="36"/>
          <w:szCs w:val="36"/>
        </w:rPr>
      </w:pPr>
      <w:commentRangeStart w:id="1"/>
      <w:bookmarkStart w:id="6" w:name="_Toc29023"/>
      <w:bookmarkStart w:id="7" w:name="_Toc1890"/>
      <w:r>
        <w:rPr>
          <w:b/>
          <w:bCs/>
          <w:iCs/>
          <w:sz w:val="36"/>
          <w:szCs w:val="36"/>
        </w:rPr>
        <w:t xml:space="preserve">Language Learning </w:t>
      </w:r>
      <w:commentRangeEnd w:id="1"/>
      <w:bookmarkEnd w:id="6"/>
      <w:r>
        <w:rPr>
          <w:b/>
          <w:sz w:val="36"/>
          <w:szCs w:val="36"/>
        </w:rPr>
        <w:commentReference w:id="1"/>
      </w:r>
      <w:bookmarkEnd w:id="7"/>
    </w:p>
    <w:p w14:paraId="6A1F2D15">
      <w:pPr>
        <w:spacing w:line="300" w:lineRule="auto"/>
        <w:rPr>
          <w:color w:val="FF0000"/>
          <w:sz w:val="18"/>
        </w:rPr>
      </w:pPr>
      <w:r>
        <w:t>Abstract: The A-share market is prominently driven by sentiment, and individual investors struggle to form stable decisions amid information overload and emotional noise. Anchored on the differentiating thread of "event-driven + market sentiment," this thesis designs and implements StockSignal — an A-share market-breadth and sentiment-thermometer analysis platform — and proposes a methodological framework of "decision closed-loop + scale calibration": first reconstructing a six-stage sentiment cycle from whole-market breadth indicators, then deriving adjustable position suggestions therefrom, and finally back-calibrating the position-scale constants with real historical data.</w:t>
      </w:r>
      <w:r>
        <w:br w:type="textWrapping"/>
      </w:r>
      <w:r>
        <w:br w:type="textWrapping"/>
      </w:r>
      <w:r>
        <w:t>The core contribution lies in transforming seat-of-the-pants position instincts into a verifiable, self-calibrating closed loop. To validate the framework, this thesis reconstructs the A-share whole-market breadth and sentiment history covering 4,798 real trading days from 2007 to 2026 (of which 4,092 days since 2009-11 follow the direction-scoreable criterion) (offline-reproducible, with overwrite-guarded dual backups). Backtesting the full decision chain on this dataset yields two key empirical findings: (1) the sentiment cycle's prediction of next-day direction is approximately random (direction hit rate 49.1%, after excluding 177 flat close days), honestly delineating the system's capability boundary — it does not claim to "guess tomorrow's rise or fall"; (2) position suggestions diverge significantly across sentiment cycles (offensive phase avg. 57.8% vs. defensive phase 35.0%, a 22.8-percentage-point spread), proving the closed loop is a "market-state-driven risk scaler" rather than a daily-direction oracle. Furthermore, driving the calibration module with backtest group statistics confirms that the original CYCLE_ADJ constants are statistically reasonable, that the calibration mechanism correctly "holds" within the noise threshold, and that small samples are hard-blocked by thresholds to prevent overfitting.</w:t>
      </w:r>
      <w:r>
        <w:br w:type="textWrapping"/>
      </w:r>
      <w:r>
        <w:br w:type="textWrapping"/>
      </w:r>
      <w:r>
        <w:t>This work shows that, given the unpredictability of daily direction, allocating the limited predictability to the more robust dimension of "position scale" and continuously calibrating it in a data-driven manner is a more honest and sustainable engineering path for event-driven sentiment strategies.</w:t>
      </w:r>
    </w:p>
    <w:p w14:paraId="30A46CE2">
      <w:pPr>
        <w:spacing w:before="312" w:beforeLines="100" w:line="300" w:lineRule="auto"/>
        <w:jc w:val="left"/>
        <w:rPr>
          <w:sz w:val="24"/>
        </w:rPr>
      </w:pPr>
      <w:r>
        <w:t>KeyWords: A-share; market breadth; sentiment cycle; decision closed-loop; scale calibration; backtest; StockSignal</w:t>
      </w:r>
    </w:p>
    <w:p w14:paraId="42C820A3">
      <w:pPr>
        <w:pStyle w:val="7"/>
        <w:spacing w:line="300" w:lineRule="auto"/>
        <w:rPr>
          <w:sz w:val="24"/>
        </w:rPr>
      </w:pPr>
    </w:p>
    <w:p w14:paraId="2971CD2C">
      <w:pPr>
        <w:pStyle w:val="7"/>
        <w:spacing w:line="300" w:lineRule="auto"/>
        <w:rPr>
          <w:sz w:val="24"/>
        </w:rPr>
      </w:pPr>
      <w:r>
        <w:rPr>
          <w:rFonts w:eastAsia="黑体"/>
          <w:b/>
          <w:bCs/>
          <w:color w:val="0000FF"/>
        </w:rPr>
        <w:pict>
          <v:shape id="_x0000_s1062" o:spid="_x0000_s1062" o:spt="61" type="#_x0000_t61" style="position:absolute;left:0pt;margin-left:117.3pt;margin-top:24.25pt;height:45.2pt;width:246.1pt;z-index:251664384;mso-width-relative:page;mso-height-relative:page;" fillcolor="#FFFFFF" filled="t" stroked="t" coordsize="21600,21600" adj="1088,-9989">
            <v:path/>
            <v:fill on="t" focussize="0,0"/>
            <v:stroke/>
            <v:imagedata o:title=""/>
            <o:lock v:ext="edit" aspectratio="f"/>
            <v:textbox>
              <w:txbxContent>
                <w:p w14:paraId="4384F044">
                  <w:r>
                    <w:rPr>
                      <w:rFonts w:hint="eastAsia" w:ascii="宋体" w:hAnsi="宋体" w:cs="宋体"/>
                      <w:color w:val="0000FF"/>
                      <w:sz w:val="24"/>
                      <w:szCs w:val="24"/>
                    </w:rPr>
                    <w:t>内容用</w:t>
                  </w:r>
                  <w:r>
                    <w:rPr>
                      <w:color w:val="0000FF"/>
                      <w:sz w:val="24"/>
                      <w:szCs w:val="24"/>
                    </w:rPr>
                    <w:t>Times New Roman小四号</w:t>
                  </w:r>
                  <w:r>
                    <w:rPr>
                      <w:rFonts w:hint="eastAsia" w:ascii="宋体" w:hAnsi="宋体" w:cs="宋体"/>
                      <w:color w:val="0000FF"/>
                      <w:sz w:val="24"/>
                      <w:szCs w:val="24"/>
                    </w:rPr>
                    <w:t>，含3~5个字或词组，间隔用分号，结束无标点符号。</w:t>
                  </w:r>
                </w:p>
              </w:txbxContent>
            </v:textbox>
          </v:shape>
        </w:pict>
      </w:r>
    </w:p>
    <w:p w14:paraId="6B1869B0">
      <w:pPr>
        <w:pStyle w:val="7"/>
        <w:ind w:firstLine="560" w:firstLineChars="200"/>
        <w:rPr>
          <w:sz w:val="24"/>
        </w:rPr>
        <w:sectPr>
          <w:pgSz w:w="11906" w:h="16838"/>
          <w:pgMar w:top="1588" w:right="1247" w:bottom="1361" w:left="1418" w:header="851" w:footer="907" w:gutter="0"/>
          <w:pgNumType w:fmt="upperRoman"/>
          <w:cols w:space="720" w:num="1"/>
          <w:docGrid w:type="linesAndChars" w:linePitch="312" w:charSpace="0"/>
        </w:sectPr>
      </w:pPr>
      <w:r>
        <w:rPr>
          <w:bCs/>
          <w:color w:val="000000"/>
          <w:sz w:val="28"/>
          <w:szCs w:val="28"/>
        </w:rPr>
        <w:pict>
          <v:shape id="_x0000_s1068" o:spid="_x0000_s1068" o:spt="61" type="#_x0000_t61" style="position:absolute;left:0pt;margin-left:168.3pt;margin-top:107.9pt;height:25.45pt;width:154.95pt;z-index:251665408;mso-width-relative:page;mso-height-relative:page;" fillcolor="#FFFFFF" filled="t" stroked="t" coordsize="21600,21600" adj="-10837,76428">
            <v:path/>
            <v:fill on="t" focussize="0,0"/>
            <v:stroke/>
            <v:imagedata o:title=""/>
            <o:lock v:ext="edit" aspectratio="f"/>
            <v:textbox>
              <w:txbxContent>
                <w:p w14:paraId="175E97C8">
                  <w:pPr>
                    <w:rPr>
                      <w:rFonts w:hint="eastAsia" w:ascii="宋体" w:hAnsi="宋体" w:cs="宋体"/>
                      <w:color w:val="0000FF"/>
                      <w:sz w:val="24"/>
                      <w:szCs w:val="24"/>
                    </w:rPr>
                  </w:pPr>
                  <w:r>
                    <w:rPr>
                      <w:rFonts w:hint="eastAsia" w:ascii="宋体" w:hAnsi="宋体" w:cs="宋体"/>
                      <w:color w:val="0000FF"/>
                      <w:sz w:val="24"/>
                      <w:szCs w:val="24"/>
                    </w:rPr>
                    <w:t>末尾插入分节符（下一页）</w:t>
                  </w:r>
                </w:p>
              </w:txbxContent>
            </v:textbox>
          </v:shape>
        </w:pict>
      </w:r>
    </w:p>
    <w:p w14:paraId="613A7DEC">
      <w:pPr>
        <w:pStyle w:val="7"/>
        <w:spacing w:line="360" w:lineRule="auto"/>
        <w:jc w:val="center"/>
        <w:rPr>
          <w:rFonts w:ascii="Times New Roman" w:hAnsi="Times New Roman" w:eastAsia="宋体" w:cs="Times New Roman"/>
          <w:kern w:val="2"/>
          <w:sz w:val="24"/>
          <w:szCs w:val="24"/>
          <w:lang w:val="en-US" w:eastAsia="zh-CN" w:bidi="ar-SA"/>
        </w:rPr>
      </w:pPr>
      <w:commentRangeStart w:id="2"/>
      <w:r>
        <w:rPr>
          <w:rFonts w:eastAsia="黑体"/>
          <w:sz w:val="36"/>
          <w:szCs w:val="36"/>
        </w:rPr>
        <w:t>目  录</w:t>
      </w:r>
      <w:commentRangeEnd w:id="2"/>
      <w:r>
        <w:rPr>
          <w:rFonts w:eastAsia="黑体"/>
          <w:sz w:val="36"/>
          <w:szCs w:val="36"/>
        </w:rPr>
        <w:commentReference w:id="2"/>
      </w:r>
      <w:r>
        <w:rPr>
          <w:sz w:val="24"/>
          <w:szCs w:val="24"/>
        </w:rPr>
        <w:fldChar w:fldCharType="begin"/>
      </w:r>
      <w:r>
        <w:rPr>
          <w:sz w:val="24"/>
          <w:szCs w:val="24"/>
        </w:rPr>
        <w:instrText xml:space="preserve">TOC \o "1-3" \h \u </w:instrText>
      </w:r>
      <w:r>
        <w:rPr>
          <w:sz w:val="24"/>
          <w:szCs w:val="24"/>
        </w:rPr>
        <w:fldChar w:fldCharType="separate"/>
      </w:r>
    </w:p>
    <w:p w14:paraId="1B99B246">
      <w:pPr>
        <w:pStyle w:val="15"/>
        <w:tabs>
          <w:tab w:val="right" w:leader="dot" w:pos="9241"/>
          <w:tab w:val="clear" w:pos="8296"/>
        </w:tabs>
      </w:pPr>
      <w:r>
        <w:rPr>
          <w:szCs w:val="24"/>
        </w:rPr>
        <w:fldChar w:fldCharType="begin"/>
      </w:r>
      <w:r>
        <w:rPr>
          <w:szCs w:val="24"/>
        </w:rPr>
        <w:instrText xml:space="preserve"> HYPERLINK \l _Toc2071 </w:instrText>
      </w:r>
      <w:r>
        <w:rPr>
          <w:szCs w:val="24"/>
        </w:rPr>
        <w:fldChar w:fldCharType="separate"/>
      </w:r>
      <w:r>
        <w:rPr>
          <w:rFonts w:eastAsia="黑体"/>
          <w:bCs/>
          <w:spacing w:val="62"/>
          <w:kern w:val="84"/>
          <w:szCs w:val="72"/>
        </w:rPr>
        <w:t>本科毕业设计(论文)</w:t>
      </w:r>
      <w:r>
        <w:tab/>
      </w:r>
      <w:r>
        <w:fldChar w:fldCharType="begin"/>
      </w:r>
      <w:r>
        <w:instrText xml:space="preserve"> PAGEREF _Toc2071 \h </w:instrText>
      </w:r>
      <w:r>
        <w:fldChar w:fldCharType="separate"/>
      </w:r>
      <w:r>
        <w:t>I</w:t>
      </w:r>
      <w:r>
        <w:fldChar w:fldCharType="end"/>
      </w:r>
      <w:r>
        <w:rPr>
          <w:szCs w:val="24"/>
        </w:rPr>
        <w:fldChar w:fldCharType="end"/>
      </w:r>
    </w:p>
    <w:p w14:paraId="1A531372">
      <w:pPr>
        <w:pStyle w:val="15"/>
        <w:tabs>
          <w:tab w:val="right" w:leader="dot" w:pos="9241"/>
          <w:tab w:val="clear" w:pos="8296"/>
        </w:tabs>
      </w:pPr>
      <w:r>
        <w:rPr>
          <w:szCs w:val="24"/>
        </w:rPr>
        <w:fldChar w:fldCharType="begin"/>
      </w:r>
      <w:r>
        <w:rPr>
          <w:szCs w:val="24"/>
        </w:rPr>
        <w:instrText xml:space="preserve"> HYPERLINK \l _Toc9537 </w:instrText>
      </w:r>
      <w:r>
        <w:rPr>
          <w:szCs w:val="24"/>
        </w:rPr>
        <w:fldChar w:fldCharType="separate"/>
      </w:r>
      <w:r>
        <w:rPr>
          <w:szCs w:val="44"/>
        </w:rPr>
        <w:t>毕业设计（论文）独创性声明</w:t>
      </w:r>
      <w:r>
        <w:tab/>
      </w:r>
      <w:r>
        <w:fldChar w:fldCharType="begin"/>
      </w:r>
      <w:r>
        <w:instrText xml:space="preserve"> PAGEREF _Toc9537 \h </w:instrText>
      </w:r>
      <w:r>
        <w:fldChar w:fldCharType="separate"/>
      </w:r>
      <w:r>
        <w:t>I</w:t>
      </w:r>
      <w:r>
        <w:fldChar w:fldCharType="end"/>
      </w:r>
      <w:r>
        <w:rPr>
          <w:szCs w:val="24"/>
        </w:rPr>
        <w:fldChar w:fldCharType="end"/>
      </w:r>
    </w:p>
    <w:p w14:paraId="19D3F2EA">
      <w:pPr>
        <w:pStyle w:val="15"/>
        <w:tabs>
          <w:tab w:val="right" w:leader="dot" w:pos="9241"/>
          <w:tab w:val="clear" w:pos="8296"/>
        </w:tabs>
      </w:pPr>
      <w:r>
        <w:rPr>
          <w:szCs w:val="24"/>
        </w:rPr>
        <w:fldChar w:fldCharType="begin"/>
      </w:r>
      <w:r>
        <w:rPr>
          <w:szCs w:val="24"/>
        </w:rPr>
        <w:instrText xml:space="preserve"> HYPERLINK \l _Toc17029 </w:instrText>
      </w:r>
      <w:r>
        <w:rPr>
          <w:szCs w:val="24"/>
        </w:rPr>
        <w:fldChar w:fldCharType="separate"/>
      </w:r>
      <w:r>
        <w:rPr>
          <w:rFonts w:eastAsia="黑体"/>
          <w:szCs w:val="36"/>
        </w:rPr>
        <w:t>毕业设计（论文）题目</w:t>
      </w:r>
      <w:r>
        <w:tab/>
      </w:r>
      <w:r>
        <w:fldChar w:fldCharType="begin"/>
      </w:r>
      <w:r>
        <w:instrText xml:space="preserve"> PAGEREF _Toc17029 \h </w:instrText>
      </w:r>
      <w:r>
        <w:fldChar w:fldCharType="separate"/>
      </w:r>
      <w:r>
        <w:t>I</w:t>
      </w:r>
      <w:r>
        <w:fldChar w:fldCharType="end"/>
      </w:r>
      <w:r>
        <w:rPr>
          <w:szCs w:val="24"/>
        </w:rPr>
        <w:fldChar w:fldCharType="end"/>
      </w:r>
    </w:p>
    <w:p w14:paraId="4780DED5">
      <w:pPr>
        <w:pStyle w:val="15"/>
        <w:tabs>
          <w:tab w:val="right" w:leader="dot" w:pos="9241"/>
          <w:tab w:val="clear" w:pos="8296"/>
        </w:tabs>
      </w:pPr>
      <w:r>
        <w:rPr>
          <w:szCs w:val="24"/>
        </w:rPr>
        <w:fldChar w:fldCharType="begin"/>
      </w:r>
      <w:r>
        <w:rPr>
          <w:szCs w:val="24"/>
        </w:rPr>
        <w:instrText xml:space="preserve"> HYPERLINK \l _Toc1890 </w:instrText>
      </w:r>
      <w:r>
        <w:rPr>
          <w:szCs w:val="24"/>
        </w:rPr>
        <w:fldChar w:fldCharType="separate"/>
      </w:r>
      <w:r>
        <w:rPr>
          <w:bCs/>
          <w:iCs/>
          <w:szCs w:val="36"/>
        </w:rPr>
        <w:t xml:space="preserve">Language Learning </w:t>
      </w:r>
      <w:r>
        <w:tab/>
      </w:r>
      <w:r>
        <w:fldChar w:fldCharType="begin"/>
      </w:r>
      <w:r>
        <w:instrText xml:space="preserve"> PAGEREF _Toc1890 \h </w:instrText>
      </w:r>
      <w:r>
        <w:fldChar w:fldCharType="separate"/>
      </w:r>
      <w:r>
        <w:t>I</w:t>
      </w:r>
      <w:r>
        <w:fldChar w:fldCharType="end"/>
      </w:r>
      <w:r>
        <w:rPr>
          <w:szCs w:val="24"/>
        </w:rPr>
        <w:fldChar w:fldCharType="end"/>
      </w:r>
    </w:p>
    <w:p w14:paraId="2BBEDE76">
      <w:pPr>
        <w:pStyle w:val="16"/>
        <w:tabs>
          <w:tab w:val="right" w:leader="dot" w:pos="9241"/>
        </w:tabs>
      </w:pPr>
      <w:r>
        <w:rPr>
          <w:szCs w:val="24"/>
        </w:rPr>
        <w:fldChar w:fldCharType="begin"/>
      </w:r>
      <w:r>
        <w:rPr>
          <w:szCs w:val="24"/>
        </w:rPr>
        <w:instrText xml:space="preserve"> HYPERLINK \l _Toc12796 </w:instrText>
      </w:r>
      <w:r>
        <w:rPr>
          <w:szCs w:val="24"/>
        </w:rPr>
        <w:fldChar w:fldCharType="separate"/>
      </w:r>
      <w:r>
        <w:t>——StockSignal 平台的设计与实现</w:t>
      </w:r>
      <w:r>
        <w:tab/>
      </w:r>
      <w:r>
        <w:fldChar w:fldCharType="begin"/>
      </w:r>
      <w:r>
        <w:instrText xml:space="preserve"> PAGEREF _Toc12796 \h </w:instrText>
      </w:r>
      <w:r>
        <w:fldChar w:fldCharType="separate"/>
      </w:r>
      <w:r>
        <w:t>1</w:t>
      </w:r>
      <w:r>
        <w:fldChar w:fldCharType="end"/>
      </w:r>
      <w:r>
        <w:rPr>
          <w:szCs w:val="24"/>
        </w:rPr>
        <w:fldChar w:fldCharType="end"/>
      </w:r>
    </w:p>
    <w:p w14:paraId="538DEE97">
      <w:pPr>
        <w:pStyle w:val="15"/>
        <w:tabs>
          <w:tab w:val="right" w:leader="dot" w:pos="9241"/>
          <w:tab w:val="clear" w:pos="8296"/>
        </w:tabs>
      </w:pPr>
      <w:r>
        <w:rPr>
          <w:szCs w:val="24"/>
        </w:rPr>
        <w:fldChar w:fldCharType="begin"/>
      </w:r>
      <w:r>
        <w:rPr>
          <w:szCs w:val="24"/>
        </w:rPr>
        <w:instrText xml:space="preserve"> HYPERLINK \l _Toc6410 </w:instrText>
      </w:r>
      <w:r>
        <w:rPr>
          <w:szCs w:val="24"/>
        </w:rPr>
        <w:fldChar w:fldCharType="separate"/>
      </w:r>
      <w:r>
        <w:t>1 绪论</w:t>
      </w:r>
      <w:r>
        <w:tab/>
      </w:r>
      <w:r>
        <w:fldChar w:fldCharType="begin"/>
      </w:r>
      <w:r>
        <w:instrText xml:space="preserve"> PAGEREF _Toc6410 \h </w:instrText>
      </w:r>
      <w:r>
        <w:fldChar w:fldCharType="separate"/>
      </w:r>
      <w:r>
        <w:t>2</w:t>
      </w:r>
      <w:r>
        <w:fldChar w:fldCharType="end"/>
      </w:r>
      <w:r>
        <w:rPr>
          <w:szCs w:val="24"/>
        </w:rPr>
        <w:fldChar w:fldCharType="end"/>
      </w:r>
    </w:p>
    <w:p w14:paraId="6C5BBB8F">
      <w:pPr>
        <w:pStyle w:val="16"/>
        <w:tabs>
          <w:tab w:val="right" w:leader="dot" w:pos="9241"/>
        </w:tabs>
      </w:pPr>
      <w:r>
        <w:rPr>
          <w:szCs w:val="24"/>
        </w:rPr>
        <w:fldChar w:fldCharType="begin"/>
      </w:r>
      <w:r>
        <w:rPr>
          <w:szCs w:val="24"/>
        </w:rPr>
        <w:instrText xml:space="preserve"> HYPERLINK \l _Toc30719 </w:instrText>
      </w:r>
      <w:r>
        <w:rPr>
          <w:szCs w:val="24"/>
        </w:rPr>
        <w:fldChar w:fldCharType="separate"/>
      </w:r>
      <w:r>
        <w:t>1.1 研究背景与意义</w:t>
      </w:r>
      <w:r>
        <w:tab/>
      </w:r>
      <w:r>
        <w:fldChar w:fldCharType="begin"/>
      </w:r>
      <w:r>
        <w:instrText xml:space="preserve"> PAGEREF _Toc30719 \h </w:instrText>
      </w:r>
      <w:r>
        <w:fldChar w:fldCharType="separate"/>
      </w:r>
      <w:r>
        <w:t>2</w:t>
      </w:r>
      <w:r>
        <w:fldChar w:fldCharType="end"/>
      </w:r>
      <w:r>
        <w:rPr>
          <w:szCs w:val="24"/>
        </w:rPr>
        <w:fldChar w:fldCharType="end"/>
      </w:r>
    </w:p>
    <w:p w14:paraId="446F688D">
      <w:pPr>
        <w:pStyle w:val="16"/>
        <w:tabs>
          <w:tab w:val="right" w:leader="dot" w:pos="9241"/>
        </w:tabs>
      </w:pPr>
      <w:r>
        <w:rPr>
          <w:szCs w:val="24"/>
        </w:rPr>
        <w:fldChar w:fldCharType="begin"/>
      </w:r>
      <w:r>
        <w:rPr>
          <w:szCs w:val="24"/>
        </w:rPr>
        <w:instrText xml:space="preserve"> HYPERLINK \l _Toc1199 </w:instrText>
      </w:r>
      <w:r>
        <w:rPr>
          <w:szCs w:val="24"/>
        </w:rPr>
        <w:fldChar w:fldCharType="separate"/>
      </w:r>
      <w:r>
        <w:t>1.2 国内外研究现状</w:t>
      </w:r>
      <w:r>
        <w:tab/>
      </w:r>
      <w:r>
        <w:fldChar w:fldCharType="begin"/>
      </w:r>
      <w:r>
        <w:instrText xml:space="preserve"> PAGEREF _Toc1199 \h </w:instrText>
      </w:r>
      <w:r>
        <w:fldChar w:fldCharType="separate"/>
      </w:r>
      <w:r>
        <w:t>2</w:t>
      </w:r>
      <w:r>
        <w:fldChar w:fldCharType="end"/>
      </w:r>
      <w:r>
        <w:rPr>
          <w:szCs w:val="24"/>
        </w:rPr>
        <w:fldChar w:fldCharType="end"/>
      </w:r>
    </w:p>
    <w:p w14:paraId="39613BD4">
      <w:pPr>
        <w:pStyle w:val="16"/>
        <w:tabs>
          <w:tab w:val="right" w:leader="dot" w:pos="9241"/>
        </w:tabs>
      </w:pPr>
      <w:r>
        <w:rPr>
          <w:szCs w:val="24"/>
        </w:rPr>
        <w:fldChar w:fldCharType="begin"/>
      </w:r>
      <w:r>
        <w:rPr>
          <w:szCs w:val="24"/>
        </w:rPr>
        <w:instrText xml:space="preserve"> HYPERLINK \l _Toc28709 </w:instrText>
      </w:r>
      <w:r>
        <w:rPr>
          <w:szCs w:val="24"/>
        </w:rPr>
        <w:fldChar w:fldCharType="separate"/>
      </w:r>
      <w:r>
        <w:t>1.3 研究内容与创新点</w:t>
      </w:r>
      <w:r>
        <w:tab/>
      </w:r>
      <w:r>
        <w:fldChar w:fldCharType="begin"/>
      </w:r>
      <w:r>
        <w:instrText xml:space="preserve"> PAGEREF _Toc28709 \h </w:instrText>
      </w:r>
      <w:r>
        <w:fldChar w:fldCharType="separate"/>
      </w:r>
      <w:r>
        <w:t>3</w:t>
      </w:r>
      <w:r>
        <w:fldChar w:fldCharType="end"/>
      </w:r>
      <w:r>
        <w:rPr>
          <w:szCs w:val="24"/>
        </w:rPr>
        <w:fldChar w:fldCharType="end"/>
      </w:r>
    </w:p>
    <w:p w14:paraId="291467B7">
      <w:pPr>
        <w:pStyle w:val="16"/>
        <w:tabs>
          <w:tab w:val="right" w:leader="dot" w:pos="9241"/>
        </w:tabs>
      </w:pPr>
      <w:r>
        <w:rPr>
          <w:szCs w:val="24"/>
        </w:rPr>
        <w:fldChar w:fldCharType="begin"/>
      </w:r>
      <w:r>
        <w:rPr>
          <w:szCs w:val="24"/>
        </w:rPr>
        <w:instrText xml:space="preserve"> HYPERLINK \l _Toc3743 </w:instrText>
      </w:r>
      <w:r>
        <w:rPr>
          <w:szCs w:val="24"/>
        </w:rPr>
        <w:fldChar w:fldCharType="separate"/>
      </w:r>
      <w:r>
        <w:t>1.4 论文组织结构</w:t>
      </w:r>
      <w:r>
        <w:tab/>
      </w:r>
      <w:r>
        <w:fldChar w:fldCharType="begin"/>
      </w:r>
      <w:r>
        <w:instrText xml:space="preserve"> PAGEREF _Toc3743 \h </w:instrText>
      </w:r>
      <w:r>
        <w:fldChar w:fldCharType="separate"/>
      </w:r>
      <w:r>
        <w:t>3</w:t>
      </w:r>
      <w:r>
        <w:fldChar w:fldCharType="end"/>
      </w:r>
      <w:r>
        <w:rPr>
          <w:szCs w:val="24"/>
        </w:rPr>
        <w:fldChar w:fldCharType="end"/>
      </w:r>
    </w:p>
    <w:p w14:paraId="5D4816FB">
      <w:pPr>
        <w:pStyle w:val="15"/>
        <w:tabs>
          <w:tab w:val="right" w:leader="dot" w:pos="9241"/>
          <w:tab w:val="clear" w:pos="8296"/>
        </w:tabs>
      </w:pPr>
      <w:r>
        <w:rPr>
          <w:szCs w:val="24"/>
        </w:rPr>
        <w:fldChar w:fldCharType="begin"/>
      </w:r>
      <w:r>
        <w:rPr>
          <w:szCs w:val="24"/>
        </w:rPr>
        <w:instrText xml:space="preserve"> HYPERLINK \l _Toc4174 </w:instrText>
      </w:r>
      <w:r>
        <w:rPr>
          <w:szCs w:val="24"/>
        </w:rPr>
        <w:fldChar w:fldCharType="separate"/>
      </w:r>
      <w:r>
        <w:t>2 相关技术与理论基础</w:t>
      </w:r>
      <w:r>
        <w:tab/>
      </w:r>
      <w:r>
        <w:fldChar w:fldCharType="begin"/>
      </w:r>
      <w:r>
        <w:instrText xml:space="preserve"> PAGEREF _Toc4174 \h </w:instrText>
      </w:r>
      <w:r>
        <w:fldChar w:fldCharType="separate"/>
      </w:r>
      <w:r>
        <w:t>4</w:t>
      </w:r>
      <w:r>
        <w:fldChar w:fldCharType="end"/>
      </w:r>
      <w:r>
        <w:rPr>
          <w:szCs w:val="24"/>
        </w:rPr>
        <w:fldChar w:fldCharType="end"/>
      </w:r>
    </w:p>
    <w:p w14:paraId="2AFFAC4D">
      <w:pPr>
        <w:pStyle w:val="16"/>
        <w:tabs>
          <w:tab w:val="right" w:leader="dot" w:pos="9241"/>
        </w:tabs>
      </w:pPr>
      <w:r>
        <w:rPr>
          <w:szCs w:val="24"/>
        </w:rPr>
        <w:fldChar w:fldCharType="begin"/>
      </w:r>
      <w:r>
        <w:rPr>
          <w:szCs w:val="24"/>
        </w:rPr>
        <w:instrText xml:space="preserve"> HYPERLINK \l _Toc13533 </w:instrText>
      </w:r>
      <w:r>
        <w:rPr>
          <w:szCs w:val="24"/>
        </w:rPr>
        <w:fldChar w:fldCharType="separate"/>
      </w:r>
      <w:r>
        <w:t>2.1 技术栈</w:t>
      </w:r>
      <w:r>
        <w:tab/>
      </w:r>
      <w:r>
        <w:fldChar w:fldCharType="begin"/>
      </w:r>
      <w:r>
        <w:instrText xml:space="preserve"> PAGEREF _Toc13533 \h </w:instrText>
      </w:r>
      <w:r>
        <w:fldChar w:fldCharType="separate"/>
      </w:r>
      <w:r>
        <w:t>4</w:t>
      </w:r>
      <w:r>
        <w:fldChar w:fldCharType="end"/>
      </w:r>
      <w:r>
        <w:rPr>
          <w:szCs w:val="24"/>
        </w:rPr>
        <w:fldChar w:fldCharType="end"/>
      </w:r>
    </w:p>
    <w:p w14:paraId="3DB16B88">
      <w:pPr>
        <w:pStyle w:val="16"/>
        <w:tabs>
          <w:tab w:val="right" w:leader="dot" w:pos="9241"/>
        </w:tabs>
      </w:pPr>
      <w:r>
        <w:rPr>
          <w:szCs w:val="24"/>
        </w:rPr>
        <w:fldChar w:fldCharType="begin"/>
      </w:r>
      <w:r>
        <w:rPr>
          <w:szCs w:val="24"/>
        </w:rPr>
        <w:instrText xml:space="preserve"> HYPERLINK \l _Toc18314 </w:instrText>
      </w:r>
      <w:r>
        <w:rPr>
          <w:szCs w:val="24"/>
        </w:rPr>
        <w:fldChar w:fldCharType="separate"/>
      </w:r>
      <w:r>
        <w:t>2.2 事件驱动架构（EDA）概念</w:t>
      </w:r>
      <w:r>
        <w:tab/>
      </w:r>
      <w:r>
        <w:fldChar w:fldCharType="begin"/>
      </w:r>
      <w:r>
        <w:instrText xml:space="preserve"> PAGEREF _Toc18314 \h </w:instrText>
      </w:r>
      <w:r>
        <w:fldChar w:fldCharType="separate"/>
      </w:r>
      <w:r>
        <w:t>4</w:t>
      </w:r>
      <w:r>
        <w:fldChar w:fldCharType="end"/>
      </w:r>
      <w:r>
        <w:rPr>
          <w:szCs w:val="24"/>
        </w:rPr>
        <w:fldChar w:fldCharType="end"/>
      </w:r>
    </w:p>
    <w:p w14:paraId="78914FC4">
      <w:pPr>
        <w:pStyle w:val="16"/>
        <w:tabs>
          <w:tab w:val="right" w:leader="dot" w:pos="9241"/>
        </w:tabs>
      </w:pPr>
      <w:r>
        <w:rPr>
          <w:szCs w:val="24"/>
        </w:rPr>
        <w:fldChar w:fldCharType="begin"/>
      </w:r>
      <w:r>
        <w:rPr>
          <w:szCs w:val="24"/>
        </w:rPr>
        <w:instrText xml:space="preserve"> HYPERLINK \l _Toc22252 </w:instrText>
      </w:r>
      <w:r>
        <w:rPr>
          <w:szCs w:val="24"/>
        </w:rPr>
        <w:fldChar w:fldCharType="separate"/>
      </w:r>
      <w:r>
        <w:t>2.3 回测与成本模型</w:t>
      </w:r>
      <w:r>
        <w:tab/>
      </w:r>
      <w:r>
        <w:fldChar w:fldCharType="begin"/>
      </w:r>
      <w:r>
        <w:instrText xml:space="preserve"> PAGEREF _Toc22252 \h </w:instrText>
      </w:r>
      <w:r>
        <w:fldChar w:fldCharType="separate"/>
      </w:r>
      <w:r>
        <w:t>4</w:t>
      </w:r>
      <w:r>
        <w:fldChar w:fldCharType="end"/>
      </w:r>
      <w:r>
        <w:rPr>
          <w:szCs w:val="24"/>
        </w:rPr>
        <w:fldChar w:fldCharType="end"/>
      </w:r>
    </w:p>
    <w:p w14:paraId="1A005898">
      <w:pPr>
        <w:pStyle w:val="16"/>
        <w:tabs>
          <w:tab w:val="right" w:leader="dot" w:pos="9241"/>
        </w:tabs>
      </w:pPr>
      <w:r>
        <w:rPr>
          <w:szCs w:val="24"/>
        </w:rPr>
        <w:fldChar w:fldCharType="begin"/>
      </w:r>
      <w:r>
        <w:rPr>
          <w:szCs w:val="24"/>
        </w:rPr>
        <w:instrText xml:space="preserve"> HYPERLINK \l _Toc14647 </w:instrText>
      </w:r>
      <w:r>
        <w:rPr>
          <w:szCs w:val="24"/>
        </w:rPr>
        <w:fldChar w:fldCharType="separate"/>
      </w:r>
      <w:r>
        <w:t>2.4 仓位决策与评价方法</w:t>
      </w:r>
      <w:r>
        <w:tab/>
      </w:r>
      <w:r>
        <w:fldChar w:fldCharType="begin"/>
      </w:r>
      <w:r>
        <w:instrText xml:space="preserve"> PAGEREF _Toc14647 \h </w:instrText>
      </w:r>
      <w:r>
        <w:fldChar w:fldCharType="separate"/>
      </w:r>
      <w:r>
        <w:t>5</w:t>
      </w:r>
      <w:r>
        <w:fldChar w:fldCharType="end"/>
      </w:r>
      <w:r>
        <w:rPr>
          <w:szCs w:val="24"/>
        </w:rPr>
        <w:fldChar w:fldCharType="end"/>
      </w:r>
    </w:p>
    <w:p w14:paraId="424D7131">
      <w:pPr>
        <w:pStyle w:val="16"/>
        <w:tabs>
          <w:tab w:val="right" w:leader="dot" w:pos="9241"/>
        </w:tabs>
      </w:pPr>
      <w:r>
        <w:rPr>
          <w:szCs w:val="24"/>
        </w:rPr>
        <w:fldChar w:fldCharType="begin"/>
      </w:r>
      <w:r>
        <w:rPr>
          <w:szCs w:val="24"/>
        </w:rPr>
        <w:instrText xml:space="preserve"> HYPERLINK \l _Toc27889 </w:instrText>
      </w:r>
      <w:r>
        <w:rPr>
          <w:szCs w:val="24"/>
        </w:rPr>
        <w:fldChar w:fldCharType="separate"/>
      </w:r>
      <w:r>
        <w:t>2.5 本章小结</w:t>
      </w:r>
      <w:r>
        <w:tab/>
      </w:r>
      <w:r>
        <w:fldChar w:fldCharType="begin"/>
      </w:r>
      <w:r>
        <w:instrText xml:space="preserve"> PAGEREF _Toc27889 \h </w:instrText>
      </w:r>
      <w:r>
        <w:fldChar w:fldCharType="separate"/>
      </w:r>
      <w:r>
        <w:t>5</w:t>
      </w:r>
      <w:r>
        <w:fldChar w:fldCharType="end"/>
      </w:r>
      <w:r>
        <w:rPr>
          <w:szCs w:val="24"/>
        </w:rPr>
        <w:fldChar w:fldCharType="end"/>
      </w:r>
    </w:p>
    <w:p w14:paraId="3149B36B">
      <w:pPr>
        <w:pStyle w:val="15"/>
        <w:tabs>
          <w:tab w:val="right" w:leader="dot" w:pos="9241"/>
          <w:tab w:val="clear" w:pos="8296"/>
        </w:tabs>
      </w:pPr>
      <w:r>
        <w:rPr>
          <w:szCs w:val="24"/>
        </w:rPr>
        <w:fldChar w:fldCharType="begin"/>
      </w:r>
      <w:r>
        <w:rPr>
          <w:szCs w:val="24"/>
        </w:rPr>
        <w:instrText xml:space="preserve"> HYPERLINK \l _Toc24102 </w:instrText>
      </w:r>
      <w:r>
        <w:rPr>
          <w:szCs w:val="24"/>
        </w:rPr>
        <w:fldChar w:fldCharType="separate"/>
      </w:r>
      <w:r>
        <w:t>3 系统需求分析与总体设计</w:t>
      </w:r>
      <w:r>
        <w:tab/>
      </w:r>
      <w:r>
        <w:fldChar w:fldCharType="begin"/>
      </w:r>
      <w:r>
        <w:instrText xml:space="preserve"> PAGEREF _Toc24102 \h </w:instrText>
      </w:r>
      <w:r>
        <w:fldChar w:fldCharType="separate"/>
      </w:r>
      <w:r>
        <w:t>5</w:t>
      </w:r>
      <w:r>
        <w:fldChar w:fldCharType="end"/>
      </w:r>
      <w:r>
        <w:rPr>
          <w:szCs w:val="24"/>
        </w:rPr>
        <w:fldChar w:fldCharType="end"/>
      </w:r>
    </w:p>
    <w:p w14:paraId="1ACE5390">
      <w:pPr>
        <w:pStyle w:val="16"/>
        <w:tabs>
          <w:tab w:val="right" w:leader="dot" w:pos="9241"/>
        </w:tabs>
      </w:pPr>
      <w:r>
        <w:rPr>
          <w:szCs w:val="24"/>
        </w:rPr>
        <w:fldChar w:fldCharType="begin"/>
      </w:r>
      <w:r>
        <w:rPr>
          <w:szCs w:val="24"/>
        </w:rPr>
        <w:instrText xml:space="preserve"> HYPERLINK \l _Toc20681 </w:instrText>
      </w:r>
      <w:r>
        <w:rPr>
          <w:szCs w:val="24"/>
        </w:rPr>
        <w:fldChar w:fldCharType="separate"/>
      </w:r>
      <w:r>
        <w:t>3.1 功能需求</w:t>
      </w:r>
      <w:r>
        <w:tab/>
      </w:r>
      <w:r>
        <w:fldChar w:fldCharType="begin"/>
      </w:r>
      <w:r>
        <w:instrText xml:space="preserve"> PAGEREF _Toc20681 \h </w:instrText>
      </w:r>
      <w:r>
        <w:fldChar w:fldCharType="separate"/>
      </w:r>
      <w:r>
        <w:t>5</w:t>
      </w:r>
      <w:r>
        <w:fldChar w:fldCharType="end"/>
      </w:r>
      <w:r>
        <w:rPr>
          <w:szCs w:val="24"/>
        </w:rPr>
        <w:fldChar w:fldCharType="end"/>
      </w:r>
    </w:p>
    <w:p w14:paraId="4915E462">
      <w:pPr>
        <w:pStyle w:val="16"/>
        <w:tabs>
          <w:tab w:val="right" w:leader="dot" w:pos="9241"/>
        </w:tabs>
      </w:pPr>
      <w:r>
        <w:rPr>
          <w:szCs w:val="24"/>
        </w:rPr>
        <w:fldChar w:fldCharType="begin"/>
      </w:r>
      <w:r>
        <w:rPr>
          <w:szCs w:val="24"/>
        </w:rPr>
        <w:instrText xml:space="preserve"> HYPERLINK \l _Toc9157 </w:instrText>
      </w:r>
      <w:r>
        <w:rPr>
          <w:szCs w:val="24"/>
        </w:rPr>
        <w:fldChar w:fldCharType="separate"/>
      </w:r>
      <w:r>
        <w:t>3.2 非功能需求</w:t>
      </w:r>
      <w:r>
        <w:tab/>
      </w:r>
      <w:r>
        <w:fldChar w:fldCharType="begin"/>
      </w:r>
      <w:r>
        <w:instrText xml:space="preserve"> PAGEREF _Toc9157 \h </w:instrText>
      </w:r>
      <w:r>
        <w:fldChar w:fldCharType="separate"/>
      </w:r>
      <w:r>
        <w:t>6</w:t>
      </w:r>
      <w:r>
        <w:fldChar w:fldCharType="end"/>
      </w:r>
      <w:r>
        <w:rPr>
          <w:szCs w:val="24"/>
        </w:rPr>
        <w:fldChar w:fldCharType="end"/>
      </w:r>
    </w:p>
    <w:p w14:paraId="554D5084">
      <w:pPr>
        <w:pStyle w:val="16"/>
        <w:tabs>
          <w:tab w:val="right" w:leader="dot" w:pos="9241"/>
        </w:tabs>
      </w:pPr>
      <w:r>
        <w:rPr>
          <w:szCs w:val="24"/>
        </w:rPr>
        <w:fldChar w:fldCharType="begin"/>
      </w:r>
      <w:r>
        <w:rPr>
          <w:szCs w:val="24"/>
        </w:rPr>
        <w:instrText xml:space="preserve"> HYPERLINK \l _Toc28947 </w:instrText>
      </w:r>
      <w:r>
        <w:rPr>
          <w:szCs w:val="24"/>
        </w:rPr>
        <w:fldChar w:fldCharType="separate"/>
      </w:r>
      <w:r>
        <w:t>3.3 总体架构</w:t>
      </w:r>
      <w:r>
        <w:tab/>
      </w:r>
      <w:r>
        <w:fldChar w:fldCharType="begin"/>
      </w:r>
      <w:r>
        <w:instrText xml:space="preserve"> PAGEREF _Toc28947 \h </w:instrText>
      </w:r>
      <w:r>
        <w:fldChar w:fldCharType="separate"/>
      </w:r>
      <w:r>
        <w:t>6</w:t>
      </w:r>
      <w:r>
        <w:fldChar w:fldCharType="end"/>
      </w:r>
      <w:r>
        <w:rPr>
          <w:szCs w:val="24"/>
        </w:rPr>
        <w:fldChar w:fldCharType="end"/>
      </w:r>
    </w:p>
    <w:p w14:paraId="63A02CB9">
      <w:pPr>
        <w:pStyle w:val="16"/>
        <w:tabs>
          <w:tab w:val="right" w:leader="dot" w:pos="9241"/>
        </w:tabs>
      </w:pPr>
      <w:r>
        <w:rPr>
          <w:szCs w:val="24"/>
        </w:rPr>
        <w:fldChar w:fldCharType="begin"/>
      </w:r>
      <w:r>
        <w:rPr>
          <w:szCs w:val="24"/>
        </w:rPr>
        <w:instrText xml:space="preserve"> HYPERLINK \l _Toc8598 </w:instrText>
      </w:r>
      <w:r>
        <w:rPr>
          <w:szCs w:val="24"/>
        </w:rPr>
        <w:fldChar w:fldCharType="separate"/>
      </w:r>
      <w:r>
        <w:t>3.4 数据库设计</w:t>
      </w:r>
      <w:r>
        <w:tab/>
      </w:r>
      <w:r>
        <w:fldChar w:fldCharType="begin"/>
      </w:r>
      <w:r>
        <w:instrText xml:space="preserve"> PAGEREF _Toc8598 \h </w:instrText>
      </w:r>
      <w:r>
        <w:fldChar w:fldCharType="separate"/>
      </w:r>
      <w:r>
        <w:t>7</w:t>
      </w:r>
      <w:r>
        <w:fldChar w:fldCharType="end"/>
      </w:r>
      <w:r>
        <w:rPr>
          <w:szCs w:val="24"/>
        </w:rPr>
        <w:fldChar w:fldCharType="end"/>
      </w:r>
    </w:p>
    <w:p w14:paraId="5AF3DD15">
      <w:pPr>
        <w:pStyle w:val="16"/>
        <w:tabs>
          <w:tab w:val="right" w:leader="dot" w:pos="9241"/>
        </w:tabs>
      </w:pPr>
      <w:r>
        <w:rPr>
          <w:szCs w:val="24"/>
        </w:rPr>
        <w:fldChar w:fldCharType="begin"/>
      </w:r>
      <w:r>
        <w:rPr>
          <w:szCs w:val="24"/>
        </w:rPr>
        <w:instrText xml:space="preserve"> HYPERLINK \l _Toc17720 </w:instrText>
      </w:r>
      <w:r>
        <w:rPr>
          <w:szCs w:val="24"/>
        </w:rPr>
        <w:fldChar w:fldCharType="separate"/>
      </w:r>
      <w:r>
        <w:t>3.5 设计模式与关键质量属性</w:t>
      </w:r>
      <w:r>
        <w:tab/>
      </w:r>
      <w:r>
        <w:fldChar w:fldCharType="begin"/>
      </w:r>
      <w:r>
        <w:instrText xml:space="preserve"> PAGEREF _Toc17720 \h </w:instrText>
      </w:r>
      <w:r>
        <w:fldChar w:fldCharType="separate"/>
      </w:r>
      <w:r>
        <w:t>8</w:t>
      </w:r>
      <w:r>
        <w:fldChar w:fldCharType="end"/>
      </w:r>
      <w:r>
        <w:rPr>
          <w:szCs w:val="24"/>
        </w:rPr>
        <w:fldChar w:fldCharType="end"/>
      </w:r>
    </w:p>
    <w:p w14:paraId="2C4005E4">
      <w:pPr>
        <w:pStyle w:val="16"/>
        <w:tabs>
          <w:tab w:val="right" w:leader="dot" w:pos="9241"/>
        </w:tabs>
      </w:pPr>
      <w:r>
        <w:rPr>
          <w:szCs w:val="24"/>
        </w:rPr>
        <w:fldChar w:fldCharType="begin"/>
      </w:r>
      <w:r>
        <w:rPr>
          <w:szCs w:val="24"/>
        </w:rPr>
        <w:instrText xml:space="preserve"> HYPERLINK \l _Toc32646 </w:instrText>
      </w:r>
      <w:r>
        <w:rPr>
          <w:szCs w:val="24"/>
        </w:rPr>
        <w:fldChar w:fldCharType="separate"/>
      </w:r>
      <w:r>
        <w:t>3.6 本章小结</w:t>
      </w:r>
      <w:r>
        <w:tab/>
      </w:r>
      <w:r>
        <w:fldChar w:fldCharType="begin"/>
      </w:r>
      <w:r>
        <w:instrText xml:space="preserve"> PAGEREF _Toc32646 \h </w:instrText>
      </w:r>
      <w:r>
        <w:fldChar w:fldCharType="separate"/>
      </w:r>
      <w:r>
        <w:t>9</w:t>
      </w:r>
      <w:r>
        <w:fldChar w:fldCharType="end"/>
      </w:r>
      <w:r>
        <w:rPr>
          <w:szCs w:val="24"/>
        </w:rPr>
        <w:fldChar w:fldCharType="end"/>
      </w:r>
    </w:p>
    <w:p w14:paraId="529F3BED">
      <w:pPr>
        <w:pStyle w:val="15"/>
        <w:tabs>
          <w:tab w:val="right" w:leader="dot" w:pos="9241"/>
          <w:tab w:val="clear" w:pos="8296"/>
        </w:tabs>
      </w:pPr>
      <w:r>
        <w:rPr>
          <w:szCs w:val="24"/>
        </w:rPr>
        <w:fldChar w:fldCharType="begin"/>
      </w:r>
      <w:r>
        <w:rPr>
          <w:szCs w:val="24"/>
        </w:rPr>
        <w:instrText xml:space="preserve"> HYPERLINK \l _Toc21232 </w:instrText>
      </w:r>
      <w:r>
        <w:rPr>
          <w:szCs w:val="24"/>
        </w:rPr>
        <w:fldChar w:fldCharType="separate"/>
      </w:r>
      <w:r>
        <w:t>4 平台核心模块设计与实现</w:t>
      </w:r>
      <w:r>
        <w:tab/>
      </w:r>
      <w:r>
        <w:fldChar w:fldCharType="begin"/>
      </w:r>
      <w:r>
        <w:instrText xml:space="preserve"> PAGEREF _Toc21232 \h </w:instrText>
      </w:r>
      <w:r>
        <w:fldChar w:fldCharType="separate"/>
      </w:r>
      <w:r>
        <w:t>9</w:t>
      </w:r>
      <w:r>
        <w:fldChar w:fldCharType="end"/>
      </w:r>
      <w:r>
        <w:rPr>
          <w:szCs w:val="24"/>
        </w:rPr>
        <w:fldChar w:fldCharType="end"/>
      </w:r>
    </w:p>
    <w:p w14:paraId="1FD07344">
      <w:pPr>
        <w:pStyle w:val="16"/>
        <w:tabs>
          <w:tab w:val="right" w:leader="dot" w:pos="9241"/>
        </w:tabs>
      </w:pPr>
      <w:r>
        <w:rPr>
          <w:szCs w:val="24"/>
        </w:rPr>
        <w:fldChar w:fldCharType="begin"/>
      </w:r>
      <w:r>
        <w:rPr>
          <w:szCs w:val="24"/>
        </w:rPr>
        <w:instrText xml:space="preserve"> HYPERLINK \l _Toc15330 </w:instrText>
      </w:r>
      <w:r>
        <w:rPr>
          <w:szCs w:val="24"/>
        </w:rPr>
        <w:fldChar w:fldCharType="separate"/>
      </w:r>
      <w:r>
        <w:t>4.1 系统分层架构与模块解耦</w:t>
      </w:r>
      <w:r>
        <w:tab/>
      </w:r>
      <w:r>
        <w:fldChar w:fldCharType="begin"/>
      </w:r>
      <w:r>
        <w:instrText xml:space="preserve"> PAGEREF _Toc15330 \h </w:instrText>
      </w:r>
      <w:r>
        <w:fldChar w:fldCharType="separate"/>
      </w:r>
      <w:r>
        <w:t>9</w:t>
      </w:r>
      <w:r>
        <w:fldChar w:fldCharType="end"/>
      </w:r>
      <w:r>
        <w:rPr>
          <w:szCs w:val="24"/>
        </w:rPr>
        <w:fldChar w:fldCharType="end"/>
      </w:r>
    </w:p>
    <w:p w14:paraId="6EB2A6B3">
      <w:pPr>
        <w:pStyle w:val="16"/>
        <w:tabs>
          <w:tab w:val="right" w:leader="dot" w:pos="9241"/>
        </w:tabs>
      </w:pPr>
      <w:r>
        <w:rPr>
          <w:szCs w:val="24"/>
        </w:rPr>
        <w:fldChar w:fldCharType="begin"/>
      </w:r>
      <w:r>
        <w:rPr>
          <w:szCs w:val="24"/>
        </w:rPr>
        <w:instrText xml:space="preserve"> HYPERLINK \l _Toc22759 </w:instrText>
      </w:r>
      <w:r>
        <w:rPr>
          <w:szCs w:val="24"/>
        </w:rPr>
        <w:fldChar w:fldCharType="separate"/>
      </w:r>
      <w:r>
        <w:t>4.2 行情看板</w:t>
      </w:r>
      <w:r>
        <w:tab/>
      </w:r>
      <w:r>
        <w:fldChar w:fldCharType="begin"/>
      </w:r>
      <w:r>
        <w:instrText xml:space="preserve"> PAGEREF _Toc22759 \h </w:instrText>
      </w:r>
      <w:r>
        <w:fldChar w:fldCharType="separate"/>
      </w:r>
      <w:r>
        <w:t>10</w:t>
      </w:r>
      <w:r>
        <w:fldChar w:fldCharType="end"/>
      </w:r>
      <w:r>
        <w:rPr>
          <w:szCs w:val="24"/>
        </w:rPr>
        <w:fldChar w:fldCharType="end"/>
      </w:r>
    </w:p>
    <w:p w14:paraId="49FCEF43">
      <w:pPr>
        <w:pStyle w:val="16"/>
        <w:tabs>
          <w:tab w:val="right" w:leader="dot" w:pos="9241"/>
        </w:tabs>
      </w:pPr>
      <w:r>
        <w:rPr>
          <w:szCs w:val="24"/>
        </w:rPr>
        <w:fldChar w:fldCharType="begin"/>
      </w:r>
      <w:r>
        <w:rPr>
          <w:szCs w:val="24"/>
        </w:rPr>
        <w:instrText xml:space="preserve"> HYPERLINK \l _Toc13815 </w:instrText>
      </w:r>
      <w:r>
        <w:rPr>
          <w:szCs w:val="24"/>
        </w:rPr>
        <w:fldChar w:fldCharType="separate"/>
      </w:r>
      <w:r>
        <w:t>4.3 事件追踪与板块详情</w:t>
      </w:r>
      <w:r>
        <w:tab/>
      </w:r>
      <w:r>
        <w:fldChar w:fldCharType="begin"/>
      </w:r>
      <w:r>
        <w:instrText xml:space="preserve"> PAGEREF _Toc13815 \h </w:instrText>
      </w:r>
      <w:r>
        <w:fldChar w:fldCharType="separate"/>
      </w:r>
      <w:r>
        <w:t>13</w:t>
      </w:r>
      <w:r>
        <w:fldChar w:fldCharType="end"/>
      </w:r>
      <w:r>
        <w:rPr>
          <w:szCs w:val="24"/>
        </w:rPr>
        <w:fldChar w:fldCharType="end"/>
      </w:r>
    </w:p>
    <w:p w14:paraId="2F7CD166">
      <w:pPr>
        <w:pStyle w:val="16"/>
        <w:tabs>
          <w:tab w:val="right" w:leader="dot" w:pos="9241"/>
        </w:tabs>
      </w:pPr>
      <w:r>
        <w:rPr>
          <w:szCs w:val="24"/>
        </w:rPr>
        <w:fldChar w:fldCharType="begin"/>
      </w:r>
      <w:r>
        <w:rPr>
          <w:szCs w:val="24"/>
        </w:rPr>
        <w:instrText xml:space="preserve"> HYPERLINK \l _Toc3934 </w:instrText>
      </w:r>
      <w:r>
        <w:rPr>
          <w:szCs w:val="24"/>
        </w:rPr>
        <w:fldChar w:fldCharType="separate"/>
      </w:r>
      <w:r>
        <w:t>4.4 策略回测引擎与多进程隔离</w:t>
      </w:r>
      <w:r>
        <w:tab/>
      </w:r>
      <w:r>
        <w:fldChar w:fldCharType="begin"/>
      </w:r>
      <w:r>
        <w:instrText xml:space="preserve"> PAGEREF _Toc3934 \h </w:instrText>
      </w:r>
      <w:r>
        <w:fldChar w:fldCharType="separate"/>
      </w:r>
      <w:r>
        <w:t>15</w:t>
      </w:r>
      <w:r>
        <w:fldChar w:fldCharType="end"/>
      </w:r>
      <w:r>
        <w:rPr>
          <w:szCs w:val="24"/>
        </w:rPr>
        <w:fldChar w:fldCharType="end"/>
      </w:r>
    </w:p>
    <w:p w14:paraId="73703F64">
      <w:pPr>
        <w:pStyle w:val="16"/>
        <w:tabs>
          <w:tab w:val="right" w:leader="dot" w:pos="9241"/>
        </w:tabs>
      </w:pPr>
      <w:r>
        <w:rPr>
          <w:szCs w:val="24"/>
        </w:rPr>
        <w:fldChar w:fldCharType="begin"/>
      </w:r>
      <w:r>
        <w:rPr>
          <w:szCs w:val="24"/>
        </w:rPr>
        <w:instrText xml:space="preserve"> HYPERLINK \l _Toc19099 </w:instrText>
      </w:r>
      <w:r>
        <w:rPr>
          <w:szCs w:val="24"/>
        </w:rPr>
        <w:fldChar w:fldCharType="separate"/>
      </w:r>
      <w:r>
        <w:t>4.5 个股分析与多股对比</w:t>
      </w:r>
      <w:r>
        <w:tab/>
      </w:r>
      <w:r>
        <w:fldChar w:fldCharType="begin"/>
      </w:r>
      <w:r>
        <w:instrText xml:space="preserve"> PAGEREF _Toc19099 \h </w:instrText>
      </w:r>
      <w:r>
        <w:fldChar w:fldCharType="separate"/>
      </w:r>
      <w:r>
        <w:t>16</w:t>
      </w:r>
      <w:r>
        <w:fldChar w:fldCharType="end"/>
      </w:r>
      <w:r>
        <w:rPr>
          <w:szCs w:val="24"/>
        </w:rPr>
        <w:fldChar w:fldCharType="end"/>
      </w:r>
    </w:p>
    <w:p w14:paraId="5F9133E8">
      <w:pPr>
        <w:pStyle w:val="16"/>
        <w:tabs>
          <w:tab w:val="right" w:leader="dot" w:pos="9241"/>
        </w:tabs>
      </w:pPr>
      <w:r>
        <w:rPr>
          <w:szCs w:val="24"/>
        </w:rPr>
        <w:fldChar w:fldCharType="begin"/>
      </w:r>
      <w:r>
        <w:rPr>
          <w:szCs w:val="24"/>
        </w:rPr>
        <w:instrText xml:space="preserve"> HYPERLINK \l _Toc14077 </w:instrText>
      </w:r>
      <w:r>
        <w:rPr>
          <w:szCs w:val="24"/>
        </w:rPr>
        <w:fldChar w:fldCharType="separate"/>
      </w:r>
      <w:r>
        <w:t>4.6 持仓管理与数据多源治理</w:t>
      </w:r>
      <w:r>
        <w:tab/>
      </w:r>
      <w:r>
        <w:fldChar w:fldCharType="begin"/>
      </w:r>
      <w:r>
        <w:instrText xml:space="preserve"> PAGEREF _Toc14077 \h </w:instrText>
      </w:r>
      <w:r>
        <w:fldChar w:fldCharType="separate"/>
      </w:r>
      <w:r>
        <w:t>17</w:t>
      </w:r>
      <w:r>
        <w:fldChar w:fldCharType="end"/>
      </w:r>
      <w:r>
        <w:rPr>
          <w:szCs w:val="24"/>
        </w:rPr>
        <w:fldChar w:fldCharType="end"/>
      </w:r>
    </w:p>
    <w:p w14:paraId="66A0F06F">
      <w:pPr>
        <w:pStyle w:val="16"/>
        <w:tabs>
          <w:tab w:val="right" w:leader="dot" w:pos="9241"/>
        </w:tabs>
      </w:pPr>
      <w:r>
        <w:rPr>
          <w:szCs w:val="24"/>
        </w:rPr>
        <w:fldChar w:fldCharType="begin"/>
      </w:r>
      <w:r>
        <w:rPr>
          <w:szCs w:val="24"/>
        </w:rPr>
        <w:instrText xml:space="preserve"> HYPERLINK \l _Toc31292 </w:instrText>
      </w:r>
      <w:r>
        <w:rPr>
          <w:szCs w:val="24"/>
        </w:rPr>
        <w:fldChar w:fldCharType="separate"/>
      </w:r>
      <w:r>
        <w:t>4.7 并发取数与降级链工程</w:t>
      </w:r>
      <w:r>
        <w:tab/>
      </w:r>
      <w:r>
        <w:fldChar w:fldCharType="begin"/>
      </w:r>
      <w:r>
        <w:instrText xml:space="preserve"> PAGEREF _Toc31292 \h </w:instrText>
      </w:r>
      <w:r>
        <w:fldChar w:fldCharType="separate"/>
      </w:r>
      <w:r>
        <w:t>18</w:t>
      </w:r>
      <w:r>
        <w:fldChar w:fldCharType="end"/>
      </w:r>
      <w:r>
        <w:rPr>
          <w:szCs w:val="24"/>
        </w:rPr>
        <w:fldChar w:fldCharType="end"/>
      </w:r>
    </w:p>
    <w:p w14:paraId="6FF749AA">
      <w:pPr>
        <w:pStyle w:val="16"/>
        <w:tabs>
          <w:tab w:val="right" w:leader="dot" w:pos="9241"/>
        </w:tabs>
      </w:pPr>
      <w:r>
        <w:rPr>
          <w:szCs w:val="24"/>
        </w:rPr>
        <w:fldChar w:fldCharType="begin"/>
      </w:r>
      <w:r>
        <w:rPr>
          <w:szCs w:val="24"/>
        </w:rPr>
        <w:instrText xml:space="preserve"> HYPERLINK \l _Toc12094 </w:instrText>
      </w:r>
      <w:r>
        <w:rPr>
          <w:szCs w:val="24"/>
        </w:rPr>
        <w:fldChar w:fldCharType="separate"/>
      </w:r>
      <w:r>
        <w:t>4.8 安全基线：接口契约、鉴权与防护</w:t>
      </w:r>
      <w:r>
        <w:tab/>
      </w:r>
      <w:r>
        <w:fldChar w:fldCharType="begin"/>
      </w:r>
      <w:r>
        <w:instrText xml:space="preserve"> PAGEREF _Toc12094 \h </w:instrText>
      </w:r>
      <w:r>
        <w:fldChar w:fldCharType="separate"/>
      </w:r>
      <w:r>
        <w:t>18</w:t>
      </w:r>
      <w:r>
        <w:fldChar w:fldCharType="end"/>
      </w:r>
      <w:r>
        <w:rPr>
          <w:szCs w:val="24"/>
        </w:rPr>
        <w:fldChar w:fldCharType="end"/>
      </w:r>
    </w:p>
    <w:p w14:paraId="6EF0A1C6">
      <w:pPr>
        <w:pStyle w:val="16"/>
        <w:tabs>
          <w:tab w:val="right" w:leader="dot" w:pos="9241"/>
        </w:tabs>
      </w:pPr>
      <w:r>
        <w:rPr>
          <w:szCs w:val="24"/>
        </w:rPr>
        <w:fldChar w:fldCharType="begin"/>
      </w:r>
      <w:r>
        <w:rPr>
          <w:szCs w:val="24"/>
        </w:rPr>
        <w:instrText xml:space="preserve"> HYPERLINK \l _Toc3110 </w:instrText>
      </w:r>
      <w:r>
        <w:rPr>
          <w:szCs w:val="24"/>
        </w:rPr>
        <w:fldChar w:fldCharType="separate"/>
      </w:r>
      <w:r>
        <w:t>4.9 本章小结</w:t>
      </w:r>
      <w:r>
        <w:tab/>
      </w:r>
      <w:r>
        <w:fldChar w:fldCharType="begin"/>
      </w:r>
      <w:r>
        <w:instrText xml:space="preserve"> PAGEREF _Toc3110 \h </w:instrText>
      </w:r>
      <w:r>
        <w:fldChar w:fldCharType="separate"/>
      </w:r>
      <w:r>
        <w:t>19</w:t>
      </w:r>
      <w:r>
        <w:fldChar w:fldCharType="end"/>
      </w:r>
      <w:r>
        <w:rPr>
          <w:szCs w:val="24"/>
        </w:rPr>
        <w:fldChar w:fldCharType="end"/>
      </w:r>
    </w:p>
    <w:p w14:paraId="2B287C4F">
      <w:pPr>
        <w:pStyle w:val="15"/>
        <w:tabs>
          <w:tab w:val="right" w:leader="dot" w:pos="9241"/>
          <w:tab w:val="clear" w:pos="8296"/>
        </w:tabs>
      </w:pPr>
      <w:r>
        <w:rPr>
          <w:szCs w:val="24"/>
        </w:rPr>
        <w:fldChar w:fldCharType="begin"/>
      </w:r>
      <w:r>
        <w:rPr>
          <w:szCs w:val="24"/>
        </w:rPr>
        <w:instrText xml:space="preserve"> HYPERLINK \l _Toc22803 </w:instrText>
      </w:r>
      <w:r>
        <w:rPr>
          <w:szCs w:val="24"/>
        </w:rPr>
        <w:fldChar w:fldCharType="separate"/>
      </w:r>
      <w:r>
        <w:t>5 创新点：决策闭环与刻度校准</w:t>
      </w:r>
      <w:r>
        <w:tab/>
      </w:r>
      <w:r>
        <w:fldChar w:fldCharType="begin"/>
      </w:r>
      <w:r>
        <w:instrText xml:space="preserve"> PAGEREF _Toc22803 \h </w:instrText>
      </w:r>
      <w:r>
        <w:fldChar w:fldCharType="separate"/>
      </w:r>
      <w:r>
        <w:t>19</w:t>
      </w:r>
      <w:r>
        <w:fldChar w:fldCharType="end"/>
      </w:r>
      <w:r>
        <w:rPr>
          <w:szCs w:val="24"/>
        </w:rPr>
        <w:fldChar w:fldCharType="end"/>
      </w:r>
    </w:p>
    <w:p w14:paraId="2AEA97B6">
      <w:pPr>
        <w:pStyle w:val="16"/>
        <w:tabs>
          <w:tab w:val="right" w:leader="dot" w:pos="9241"/>
        </w:tabs>
      </w:pPr>
      <w:r>
        <w:rPr>
          <w:szCs w:val="24"/>
        </w:rPr>
        <w:fldChar w:fldCharType="begin"/>
      </w:r>
      <w:r>
        <w:rPr>
          <w:szCs w:val="24"/>
        </w:rPr>
        <w:instrText xml:space="preserve"> HYPERLINK \l _Toc276 </w:instrText>
      </w:r>
      <w:r>
        <w:rPr>
          <w:szCs w:val="24"/>
        </w:rPr>
        <w:fldChar w:fldCharType="separate"/>
      </w:r>
      <w:r>
        <w:t>5.1 问题提出：为何需要"可解释 + 可自纠偏"的仓位决策</w:t>
      </w:r>
      <w:r>
        <w:tab/>
      </w:r>
      <w:r>
        <w:fldChar w:fldCharType="begin"/>
      </w:r>
      <w:r>
        <w:instrText xml:space="preserve"> PAGEREF _Toc276 \h </w:instrText>
      </w:r>
      <w:r>
        <w:fldChar w:fldCharType="separate"/>
      </w:r>
      <w:r>
        <w:t>19</w:t>
      </w:r>
      <w:r>
        <w:fldChar w:fldCharType="end"/>
      </w:r>
      <w:r>
        <w:rPr>
          <w:szCs w:val="24"/>
        </w:rPr>
        <w:fldChar w:fldCharType="end"/>
      </w:r>
    </w:p>
    <w:p w14:paraId="2B7AF106">
      <w:pPr>
        <w:pStyle w:val="16"/>
        <w:tabs>
          <w:tab w:val="right" w:leader="dot" w:pos="9241"/>
        </w:tabs>
      </w:pPr>
      <w:r>
        <w:rPr>
          <w:szCs w:val="24"/>
        </w:rPr>
        <w:fldChar w:fldCharType="begin"/>
      </w:r>
      <w:r>
        <w:rPr>
          <w:szCs w:val="24"/>
        </w:rPr>
        <w:instrText xml:space="preserve"> HYPERLINK \l _Toc28583 </w:instrText>
      </w:r>
      <w:r>
        <w:rPr>
          <w:szCs w:val="24"/>
        </w:rPr>
        <w:fldChar w:fldCharType="separate"/>
      </w:r>
      <w:r>
        <w:t>5.2 决策闭环：从四维输入到可解释仓位</w:t>
      </w:r>
      <w:r>
        <w:tab/>
      </w:r>
      <w:r>
        <w:fldChar w:fldCharType="begin"/>
      </w:r>
      <w:r>
        <w:instrText xml:space="preserve"> PAGEREF _Toc28583 \h </w:instrText>
      </w:r>
      <w:r>
        <w:fldChar w:fldCharType="separate"/>
      </w:r>
      <w:r>
        <w:t>20</w:t>
      </w:r>
      <w:r>
        <w:fldChar w:fldCharType="end"/>
      </w:r>
      <w:r>
        <w:rPr>
          <w:szCs w:val="24"/>
        </w:rPr>
        <w:fldChar w:fldCharType="end"/>
      </w:r>
    </w:p>
    <w:p w14:paraId="31704F0D">
      <w:pPr>
        <w:pStyle w:val="9"/>
        <w:tabs>
          <w:tab w:val="right" w:leader="dot" w:pos="9241"/>
        </w:tabs>
      </w:pPr>
      <w:r>
        <w:rPr>
          <w:szCs w:val="24"/>
        </w:rPr>
        <w:fldChar w:fldCharType="begin"/>
      </w:r>
      <w:r>
        <w:rPr>
          <w:szCs w:val="24"/>
        </w:rPr>
        <w:instrText xml:space="preserve"> HYPERLINK \l _Toc30551 </w:instrText>
      </w:r>
      <w:r>
        <w:rPr>
          <w:szCs w:val="24"/>
        </w:rPr>
        <w:fldChar w:fldCharType="separate"/>
      </w:r>
      <w:r>
        <w:t>5.2.1 单一实现入口 `derive_position`</w:t>
      </w:r>
      <w:r>
        <w:tab/>
      </w:r>
      <w:r>
        <w:fldChar w:fldCharType="begin"/>
      </w:r>
      <w:r>
        <w:instrText xml:space="preserve"> PAGEREF _Toc30551 \h </w:instrText>
      </w:r>
      <w:r>
        <w:fldChar w:fldCharType="separate"/>
      </w:r>
      <w:r>
        <w:t>21</w:t>
      </w:r>
      <w:r>
        <w:fldChar w:fldCharType="end"/>
      </w:r>
      <w:r>
        <w:rPr>
          <w:szCs w:val="24"/>
        </w:rPr>
        <w:fldChar w:fldCharType="end"/>
      </w:r>
    </w:p>
    <w:p w14:paraId="54CF0F03">
      <w:pPr>
        <w:pStyle w:val="9"/>
        <w:tabs>
          <w:tab w:val="right" w:leader="dot" w:pos="9241"/>
        </w:tabs>
      </w:pPr>
      <w:r>
        <w:rPr>
          <w:szCs w:val="24"/>
        </w:rPr>
        <w:fldChar w:fldCharType="begin"/>
      </w:r>
      <w:r>
        <w:rPr>
          <w:szCs w:val="24"/>
        </w:rPr>
        <w:instrText xml:space="preserve"> HYPERLINK \l _Toc4223 </w:instrText>
      </w:r>
      <w:r>
        <w:rPr>
          <w:szCs w:val="24"/>
        </w:rPr>
        <w:fldChar w:fldCharType="separate"/>
      </w:r>
      <w:r>
        <w:t>5.2.2 透明推导与可解释性（创新点的第一支柱）</w:t>
      </w:r>
      <w:r>
        <w:tab/>
      </w:r>
      <w:r>
        <w:fldChar w:fldCharType="begin"/>
      </w:r>
      <w:r>
        <w:instrText xml:space="preserve"> PAGEREF _Toc4223 \h </w:instrText>
      </w:r>
      <w:r>
        <w:fldChar w:fldCharType="separate"/>
      </w:r>
      <w:r>
        <w:t>21</w:t>
      </w:r>
      <w:r>
        <w:fldChar w:fldCharType="end"/>
      </w:r>
      <w:r>
        <w:rPr>
          <w:szCs w:val="24"/>
        </w:rPr>
        <w:fldChar w:fldCharType="end"/>
      </w:r>
    </w:p>
    <w:p w14:paraId="126DE6D0">
      <w:pPr>
        <w:pStyle w:val="9"/>
        <w:tabs>
          <w:tab w:val="right" w:leader="dot" w:pos="9241"/>
        </w:tabs>
      </w:pPr>
      <w:r>
        <w:rPr>
          <w:szCs w:val="24"/>
        </w:rPr>
        <w:fldChar w:fldCharType="begin"/>
      </w:r>
      <w:r>
        <w:rPr>
          <w:szCs w:val="24"/>
        </w:rPr>
        <w:instrText xml:space="preserve"> HYPERLINK \l _Toc29965 </w:instrText>
      </w:r>
      <w:r>
        <w:rPr>
          <w:szCs w:val="24"/>
        </w:rPr>
        <w:fldChar w:fldCharType="separate"/>
      </w:r>
      <w:r>
        <w:t>5.2.3 极端行情与数据新鲜度的"诚实守卫"</w:t>
      </w:r>
      <w:r>
        <w:tab/>
      </w:r>
      <w:r>
        <w:fldChar w:fldCharType="begin"/>
      </w:r>
      <w:r>
        <w:instrText xml:space="preserve"> PAGEREF _Toc29965 \h </w:instrText>
      </w:r>
      <w:r>
        <w:fldChar w:fldCharType="separate"/>
      </w:r>
      <w:r>
        <w:t>22</w:t>
      </w:r>
      <w:r>
        <w:fldChar w:fldCharType="end"/>
      </w:r>
      <w:r>
        <w:rPr>
          <w:szCs w:val="24"/>
        </w:rPr>
        <w:fldChar w:fldCharType="end"/>
      </w:r>
    </w:p>
    <w:p w14:paraId="43A7A05B">
      <w:pPr>
        <w:pStyle w:val="9"/>
        <w:tabs>
          <w:tab w:val="right" w:leader="dot" w:pos="9241"/>
        </w:tabs>
      </w:pPr>
      <w:r>
        <w:rPr>
          <w:szCs w:val="24"/>
        </w:rPr>
        <w:fldChar w:fldCharType="begin"/>
      </w:r>
      <w:r>
        <w:rPr>
          <w:szCs w:val="24"/>
        </w:rPr>
        <w:instrText xml:space="preserve"> HYPERLINK \l _Toc13633 </w:instrText>
      </w:r>
      <w:r>
        <w:rPr>
          <w:szCs w:val="24"/>
        </w:rPr>
        <w:fldChar w:fldCharType="separate"/>
      </w:r>
      <w:r>
        <w:t>5.2.4 落盘与归档：决策可回溯</w:t>
      </w:r>
      <w:r>
        <w:tab/>
      </w:r>
      <w:r>
        <w:fldChar w:fldCharType="begin"/>
      </w:r>
      <w:r>
        <w:instrText xml:space="preserve"> PAGEREF _Toc13633 \h </w:instrText>
      </w:r>
      <w:r>
        <w:fldChar w:fldCharType="separate"/>
      </w:r>
      <w:r>
        <w:t>22</w:t>
      </w:r>
      <w:r>
        <w:fldChar w:fldCharType="end"/>
      </w:r>
      <w:r>
        <w:rPr>
          <w:szCs w:val="24"/>
        </w:rPr>
        <w:fldChar w:fldCharType="end"/>
      </w:r>
    </w:p>
    <w:p w14:paraId="0216C2C4">
      <w:pPr>
        <w:pStyle w:val="16"/>
        <w:tabs>
          <w:tab w:val="right" w:leader="dot" w:pos="9241"/>
        </w:tabs>
      </w:pPr>
      <w:r>
        <w:rPr>
          <w:szCs w:val="24"/>
        </w:rPr>
        <w:fldChar w:fldCharType="begin"/>
      </w:r>
      <w:r>
        <w:rPr>
          <w:szCs w:val="24"/>
        </w:rPr>
        <w:instrText xml:space="preserve"> HYPERLINK \l _Toc28994 </w:instrText>
      </w:r>
      <w:r>
        <w:rPr>
          <w:szCs w:val="24"/>
        </w:rPr>
        <w:fldChar w:fldCharType="separate"/>
      </w:r>
      <w:r>
        <w:t>5.3 刻度校准：让决策"可自纠偏"而不"过小样本过拟合"</w:t>
      </w:r>
      <w:r>
        <w:tab/>
      </w:r>
      <w:r>
        <w:fldChar w:fldCharType="begin"/>
      </w:r>
      <w:r>
        <w:instrText xml:space="preserve"> PAGEREF _Toc28994 \h </w:instrText>
      </w:r>
      <w:r>
        <w:fldChar w:fldCharType="separate"/>
      </w:r>
      <w:r>
        <w:t>22</w:t>
      </w:r>
      <w:r>
        <w:fldChar w:fldCharType="end"/>
      </w:r>
      <w:r>
        <w:rPr>
          <w:szCs w:val="24"/>
        </w:rPr>
        <w:fldChar w:fldCharType="end"/>
      </w:r>
    </w:p>
    <w:p w14:paraId="68BB72C0">
      <w:pPr>
        <w:pStyle w:val="9"/>
        <w:tabs>
          <w:tab w:val="right" w:leader="dot" w:pos="9241"/>
        </w:tabs>
      </w:pPr>
      <w:r>
        <w:rPr>
          <w:szCs w:val="24"/>
        </w:rPr>
        <w:fldChar w:fldCharType="begin"/>
      </w:r>
      <w:r>
        <w:rPr>
          <w:szCs w:val="24"/>
        </w:rPr>
        <w:instrText xml:space="preserve"> HYPERLINK \l _Toc13529 </w:instrText>
      </w:r>
      <w:r>
        <w:rPr>
          <w:szCs w:val="24"/>
        </w:rPr>
        <w:fldChar w:fldCharType="separate"/>
      </w:r>
      <w:r>
        <w:t>5.3.1 校准目标与校准变量</w:t>
      </w:r>
      <w:r>
        <w:tab/>
      </w:r>
      <w:r>
        <w:fldChar w:fldCharType="begin"/>
      </w:r>
      <w:r>
        <w:instrText xml:space="preserve"> PAGEREF _Toc13529 \h </w:instrText>
      </w:r>
      <w:r>
        <w:fldChar w:fldCharType="separate"/>
      </w:r>
      <w:r>
        <w:t>22</w:t>
      </w:r>
      <w:r>
        <w:fldChar w:fldCharType="end"/>
      </w:r>
      <w:r>
        <w:rPr>
          <w:szCs w:val="24"/>
        </w:rPr>
        <w:fldChar w:fldCharType="end"/>
      </w:r>
    </w:p>
    <w:p w14:paraId="7D06B141">
      <w:pPr>
        <w:pStyle w:val="9"/>
        <w:tabs>
          <w:tab w:val="right" w:leader="dot" w:pos="9241"/>
        </w:tabs>
      </w:pPr>
      <w:r>
        <w:rPr>
          <w:szCs w:val="24"/>
        </w:rPr>
        <w:fldChar w:fldCharType="begin"/>
      </w:r>
      <w:r>
        <w:rPr>
          <w:szCs w:val="24"/>
        </w:rPr>
        <w:instrText xml:space="preserve"> HYPERLINK \l _Toc31476 </w:instrText>
      </w:r>
      <w:r>
        <w:rPr>
          <w:szCs w:val="24"/>
        </w:rPr>
        <w:fldChar w:fldCharType="separate"/>
      </w:r>
      <w:r>
        <w:t>5.3.2 回测反推建议量（有界）</w:t>
      </w:r>
      <w:r>
        <w:tab/>
      </w:r>
      <w:r>
        <w:fldChar w:fldCharType="begin"/>
      </w:r>
      <w:r>
        <w:instrText xml:space="preserve"> PAGEREF _Toc31476 \h </w:instrText>
      </w:r>
      <w:r>
        <w:fldChar w:fldCharType="separate"/>
      </w:r>
      <w:r>
        <w:t>23</w:t>
      </w:r>
      <w:r>
        <w:fldChar w:fldCharType="end"/>
      </w:r>
      <w:r>
        <w:rPr>
          <w:szCs w:val="24"/>
        </w:rPr>
        <w:fldChar w:fldCharType="end"/>
      </w:r>
    </w:p>
    <w:p w14:paraId="65D5AA10">
      <w:pPr>
        <w:pStyle w:val="9"/>
        <w:tabs>
          <w:tab w:val="right" w:leader="dot" w:pos="9241"/>
        </w:tabs>
      </w:pPr>
      <w:r>
        <w:rPr>
          <w:szCs w:val="24"/>
        </w:rPr>
        <w:fldChar w:fldCharType="begin"/>
      </w:r>
      <w:r>
        <w:rPr>
          <w:szCs w:val="24"/>
        </w:rPr>
        <w:instrText xml:space="preserve"> HYPERLINK \l _Toc20206 </w:instrText>
      </w:r>
      <w:r>
        <w:rPr>
          <w:szCs w:val="24"/>
        </w:rPr>
        <w:fldChar w:fldCharType="separate"/>
      </w:r>
      <w:r>
        <w:t>5.3.3 三条铁律（方法论核心）</w:t>
      </w:r>
      <w:r>
        <w:tab/>
      </w:r>
      <w:r>
        <w:fldChar w:fldCharType="begin"/>
      </w:r>
      <w:r>
        <w:instrText xml:space="preserve"> PAGEREF _Toc20206 \h </w:instrText>
      </w:r>
      <w:r>
        <w:fldChar w:fldCharType="separate"/>
      </w:r>
      <w:r>
        <w:t>23</w:t>
      </w:r>
      <w:r>
        <w:fldChar w:fldCharType="end"/>
      </w:r>
      <w:r>
        <w:rPr>
          <w:szCs w:val="24"/>
        </w:rPr>
        <w:fldChar w:fldCharType="end"/>
      </w:r>
    </w:p>
    <w:p w14:paraId="57DEF2C8">
      <w:pPr>
        <w:pStyle w:val="9"/>
        <w:tabs>
          <w:tab w:val="right" w:leader="dot" w:pos="9241"/>
        </w:tabs>
      </w:pPr>
      <w:r>
        <w:rPr>
          <w:szCs w:val="24"/>
        </w:rPr>
        <w:fldChar w:fldCharType="begin"/>
      </w:r>
      <w:r>
        <w:rPr>
          <w:szCs w:val="24"/>
        </w:rPr>
        <w:instrText xml:space="preserve"> HYPERLINK \l _Toc5453 </w:instrText>
      </w:r>
      <w:r>
        <w:rPr>
          <w:szCs w:val="24"/>
        </w:rPr>
        <w:fldChar w:fldCharType="separate"/>
      </w:r>
      <w:r>
        <w:t>5.3.4 闭环落地的护栏（必要时才接通，人仍在回路）</w:t>
      </w:r>
      <w:r>
        <w:tab/>
      </w:r>
      <w:r>
        <w:fldChar w:fldCharType="begin"/>
      </w:r>
      <w:r>
        <w:instrText xml:space="preserve"> PAGEREF _Toc5453 \h </w:instrText>
      </w:r>
      <w:r>
        <w:fldChar w:fldCharType="separate"/>
      </w:r>
      <w:r>
        <w:t>23</w:t>
      </w:r>
      <w:r>
        <w:fldChar w:fldCharType="end"/>
      </w:r>
      <w:r>
        <w:rPr>
          <w:szCs w:val="24"/>
        </w:rPr>
        <w:fldChar w:fldCharType="end"/>
      </w:r>
    </w:p>
    <w:p w14:paraId="3ED61954">
      <w:pPr>
        <w:pStyle w:val="9"/>
        <w:tabs>
          <w:tab w:val="right" w:leader="dot" w:pos="9241"/>
        </w:tabs>
      </w:pPr>
      <w:r>
        <w:rPr>
          <w:szCs w:val="24"/>
        </w:rPr>
        <w:fldChar w:fldCharType="begin"/>
      </w:r>
      <w:r>
        <w:rPr>
          <w:szCs w:val="24"/>
        </w:rPr>
        <w:instrText xml:space="preserve"> HYPERLINK \l _Toc7096 </w:instrText>
      </w:r>
      <w:r>
        <w:rPr>
          <w:szCs w:val="24"/>
        </w:rPr>
        <w:fldChar w:fldCharType="separate"/>
      </w:r>
      <w:r>
        <w:t>5.3.5 就绪语义：`any_actionable` 而非全局阈值（易被忽略的设计细节）</w:t>
      </w:r>
      <w:r>
        <w:tab/>
      </w:r>
      <w:r>
        <w:fldChar w:fldCharType="begin"/>
      </w:r>
      <w:r>
        <w:instrText xml:space="preserve"> PAGEREF _Toc7096 \h </w:instrText>
      </w:r>
      <w:r>
        <w:fldChar w:fldCharType="separate"/>
      </w:r>
      <w:r>
        <w:t>24</w:t>
      </w:r>
      <w:r>
        <w:fldChar w:fldCharType="end"/>
      </w:r>
      <w:r>
        <w:rPr>
          <w:szCs w:val="24"/>
        </w:rPr>
        <w:fldChar w:fldCharType="end"/>
      </w:r>
    </w:p>
    <w:p w14:paraId="365204D9">
      <w:pPr>
        <w:pStyle w:val="16"/>
        <w:tabs>
          <w:tab w:val="right" w:leader="dot" w:pos="9241"/>
        </w:tabs>
      </w:pPr>
      <w:r>
        <w:rPr>
          <w:szCs w:val="24"/>
        </w:rPr>
        <w:fldChar w:fldCharType="begin"/>
      </w:r>
      <w:r>
        <w:rPr>
          <w:szCs w:val="24"/>
        </w:rPr>
        <w:instrText xml:space="preserve"> HYPERLINK \l _Toc23184 </w:instrText>
      </w:r>
      <w:r>
        <w:rPr>
          <w:szCs w:val="24"/>
        </w:rPr>
        <w:fldChar w:fldCharType="separate"/>
      </w:r>
      <w:r>
        <w:t>5.4 预测 vs 实际回测：闭环可验证性</w:t>
      </w:r>
      <w:r>
        <w:tab/>
      </w:r>
      <w:r>
        <w:fldChar w:fldCharType="begin"/>
      </w:r>
      <w:r>
        <w:instrText xml:space="preserve"> PAGEREF _Toc23184 \h </w:instrText>
      </w:r>
      <w:r>
        <w:fldChar w:fldCharType="separate"/>
      </w:r>
      <w:r>
        <w:t>25</w:t>
      </w:r>
      <w:r>
        <w:fldChar w:fldCharType="end"/>
      </w:r>
      <w:r>
        <w:rPr>
          <w:szCs w:val="24"/>
        </w:rPr>
        <w:fldChar w:fldCharType="end"/>
      </w:r>
    </w:p>
    <w:p w14:paraId="0F5C252D">
      <w:pPr>
        <w:pStyle w:val="16"/>
        <w:tabs>
          <w:tab w:val="right" w:leader="dot" w:pos="9241"/>
        </w:tabs>
      </w:pPr>
      <w:r>
        <w:rPr>
          <w:szCs w:val="24"/>
        </w:rPr>
        <w:fldChar w:fldCharType="begin"/>
      </w:r>
      <w:r>
        <w:rPr>
          <w:szCs w:val="24"/>
        </w:rPr>
        <w:instrText xml:space="preserve"> HYPERLINK \l _Toc19376 </w:instrText>
      </w:r>
      <w:r>
        <w:rPr>
          <w:szCs w:val="24"/>
        </w:rPr>
        <w:fldChar w:fldCharType="separate"/>
      </w:r>
      <w:r>
        <w:t>5.5 本章小结</w:t>
      </w:r>
      <w:r>
        <w:tab/>
      </w:r>
      <w:r>
        <w:fldChar w:fldCharType="begin"/>
      </w:r>
      <w:r>
        <w:instrText xml:space="preserve"> PAGEREF _Toc19376 \h </w:instrText>
      </w:r>
      <w:r>
        <w:fldChar w:fldCharType="separate"/>
      </w:r>
      <w:r>
        <w:t>25</w:t>
      </w:r>
      <w:r>
        <w:fldChar w:fldCharType="end"/>
      </w:r>
      <w:r>
        <w:rPr>
          <w:szCs w:val="24"/>
        </w:rPr>
        <w:fldChar w:fldCharType="end"/>
      </w:r>
    </w:p>
    <w:p w14:paraId="28E1BBD1">
      <w:pPr>
        <w:pStyle w:val="15"/>
        <w:tabs>
          <w:tab w:val="right" w:leader="dot" w:pos="9241"/>
          <w:tab w:val="clear" w:pos="8296"/>
        </w:tabs>
      </w:pPr>
      <w:r>
        <w:rPr>
          <w:szCs w:val="24"/>
        </w:rPr>
        <w:fldChar w:fldCharType="begin"/>
      </w:r>
      <w:r>
        <w:rPr>
          <w:szCs w:val="24"/>
        </w:rPr>
        <w:instrText xml:space="preserve"> HYPERLINK \l _Toc17290 </w:instrText>
      </w:r>
      <w:r>
        <w:rPr>
          <w:szCs w:val="24"/>
        </w:rPr>
        <w:fldChar w:fldCharType="separate"/>
      </w:r>
      <w:r>
        <w:t>6 系统测试与评估</w:t>
      </w:r>
      <w:r>
        <w:tab/>
      </w:r>
      <w:r>
        <w:fldChar w:fldCharType="begin"/>
      </w:r>
      <w:r>
        <w:instrText xml:space="preserve"> PAGEREF _Toc17290 \h </w:instrText>
      </w:r>
      <w:r>
        <w:fldChar w:fldCharType="separate"/>
      </w:r>
      <w:r>
        <w:t>25</w:t>
      </w:r>
      <w:r>
        <w:fldChar w:fldCharType="end"/>
      </w:r>
      <w:r>
        <w:rPr>
          <w:szCs w:val="24"/>
        </w:rPr>
        <w:fldChar w:fldCharType="end"/>
      </w:r>
    </w:p>
    <w:p w14:paraId="3F356AED">
      <w:pPr>
        <w:pStyle w:val="16"/>
        <w:tabs>
          <w:tab w:val="right" w:leader="dot" w:pos="9241"/>
        </w:tabs>
      </w:pPr>
      <w:r>
        <w:rPr>
          <w:szCs w:val="24"/>
        </w:rPr>
        <w:fldChar w:fldCharType="begin"/>
      </w:r>
      <w:r>
        <w:rPr>
          <w:szCs w:val="24"/>
        </w:rPr>
        <w:instrText xml:space="preserve"> HYPERLINK \l _Toc15805 </w:instrText>
      </w:r>
      <w:r>
        <w:rPr>
          <w:szCs w:val="24"/>
        </w:rPr>
        <w:fldChar w:fldCharType="separate"/>
      </w:r>
      <w:r>
        <w:t>6.1 测试策略与结果</w:t>
      </w:r>
      <w:r>
        <w:tab/>
      </w:r>
      <w:r>
        <w:fldChar w:fldCharType="begin"/>
      </w:r>
      <w:r>
        <w:instrText xml:space="preserve"> PAGEREF _Toc15805 \h </w:instrText>
      </w:r>
      <w:r>
        <w:fldChar w:fldCharType="separate"/>
      </w:r>
      <w:r>
        <w:t>26</w:t>
      </w:r>
      <w:r>
        <w:fldChar w:fldCharType="end"/>
      </w:r>
      <w:r>
        <w:rPr>
          <w:szCs w:val="24"/>
        </w:rPr>
        <w:fldChar w:fldCharType="end"/>
      </w:r>
    </w:p>
    <w:p w14:paraId="6118E24C">
      <w:pPr>
        <w:pStyle w:val="16"/>
        <w:tabs>
          <w:tab w:val="right" w:leader="dot" w:pos="9241"/>
        </w:tabs>
      </w:pPr>
      <w:r>
        <w:rPr>
          <w:szCs w:val="24"/>
        </w:rPr>
        <w:fldChar w:fldCharType="begin"/>
      </w:r>
      <w:r>
        <w:rPr>
          <w:szCs w:val="24"/>
        </w:rPr>
        <w:instrText xml:space="preserve"> HYPERLINK \l _Toc8080 </w:instrText>
      </w:r>
      <w:r>
        <w:rPr>
          <w:szCs w:val="24"/>
        </w:rPr>
        <w:fldChar w:fldCharType="separate"/>
      </w:r>
      <w:r>
        <w:t>6.2 决策闭环评估（真实数据）</w:t>
      </w:r>
      <w:r>
        <w:tab/>
      </w:r>
      <w:r>
        <w:fldChar w:fldCharType="begin"/>
      </w:r>
      <w:r>
        <w:instrText xml:space="preserve"> PAGEREF _Toc8080 \h </w:instrText>
      </w:r>
      <w:r>
        <w:fldChar w:fldCharType="separate"/>
      </w:r>
      <w:r>
        <w:t>26</w:t>
      </w:r>
      <w:r>
        <w:fldChar w:fldCharType="end"/>
      </w:r>
      <w:r>
        <w:rPr>
          <w:szCs w:val="24"/>
        </w:rPr>
        <w:fldChar w:fldCharType="end"/>
      </w:r>
    </w:p>
    <w:p w14:paraId="1A15B36D">
      <w:pPr>
        <w:pStyle w:val="16"/>
        <w:tabs>
          <w:tab w:val="right" w:leader="dot" w:pos="9241"/>
        </w:tabs>
      </w:pPr>
      <w:r>
        <w:rPr>
          <w:szCs w:val="24"/>
        </w:rPr>
        <w:fldChar w:fldCharType="begin"/>
      </w:r>
      <w:r>
        <w:rPr>
          <w:szCs w:val="24"/>
        </w:rPr>
        <w:instrText xml:space="preserve"> HYPERLINK \l _Toc26567 </w:instrText>
      </w:r>
      <w:r>
        <w:rPr>
          <w:szCs w:val="24"/>
        </w:rPr>
        <w:fldChar w:fldCharType="separate"/>
      </w:r>
      <w:r>
        <w:t>6.3 刻度校准机制评估（小样本不表态被真实验证）</w:t>
      </w:r>
      <w:r>
        <w:tab/>
      </w:r>
      <w:r>
        <w:fldChar w:fldCharType="begin"/>
      </w:r>
      <w:r>
        <w:instrText xml:space="preserve"> PAGEREF _Toc26567 \h </w:instrText>
      </w:r>
      <w:r>
        <w:fldChar w:fldCharType="separate"/>
      </w:r>
      <w:r>
        <w:t>29</w:t>
      </w:r>
      <w:r>
        <w:fldChar w:fldCharType="end"/>
      </w:r>
      <w:r>
        <w:rPr>
          <w:szCs w:val="24"/>
        </w:rPr>
        <w:fldChar w:fldCharType="end"/>
      </w:r>
    </w:p>
    <w:p w14:paraId="51944379">
      <w:pPr>
        <w:pStyle w:val="16"/>
        <w:tabs>
          <w:tab w:val="right" w:leader="dot" w:pos="9241"/>
        </w:tabs>
      </w:pPr>
      <w:r>
        <w:rPr>
          <w:szCs w:val="24"/>
        </w:rPr>
        <w:fldChar w:fldCharType="begin"/>
      </w:r>
      <w:r>
        <w:rPr>
          <w:szCs w:val="24"/>
        </w:rPr>
        <w:instrText xml:space="preserve"> HYPERLINK \l _Toc26948 </w:instrText>
      </w:r>
      <w:r>
        <w:rPr>
          <w:szCs w:val="24"/>
        </w:rPr>
        <w:fldChar w:fldCharType="separate"/>
      </w:r>
      <w:r>
        <w:t>6.4 回测成本模型有效性验证</w:t>
      </w:r>
      <w:r>
        <w:tab/>
      </w:r>
      <w:r>
        <w:fldChar w:fldCharType="begin"/>
      </w:r>
      <w:r>
        <w:instrText xml:space="preserve"> PAGEREF _Toc26948 \h </w:instrText>
      </w:r>
      <w:r>
        <w:fldChar w:fldCharType="separate"/>
      </w:r>
      <w:r>
        <w:t>30</w:t>
      </w:r>
      <w:r>
        <w:fldChar w:fldCharType="end"/>
      </w:r>
      <w:r>
        <w:rPr>
          <w:szCs w:val="24"/>
        </w:rPr>
        <w:fldChar w:fldCharType="end"/>
      </w:r>
    </w:p>
    <w:p w14:paraId="2940030E">
      <w:pPr>
        <w:pStyle w:val="16"/>
        <w:tabs>
          <w:tab w:val="right" w:leader="dot" w:pos="9241"/>
        </w:tabs>
      </w:pPr>
      <w:r>
        <w:rPr>
          <w:szCs w:val="24"/>
        </w:rPr>
        <w:fldChar w:fldCharType="begin"/>
      </w:r>
      <w:r>
        <w:rPr>
          <w:szCs w:val="24"/>
        </w:rPr>
        <w:instrText xml:space="preserve"> HYPERLINK \l _Toc11475 </w:instrText>
      </w:r>
      <w:r>
        <w:rPr>
          <w:szCs w:val="24"/>
        </w:rPr>
        <w:fldChar w:fldCharType="separate"/>
      </w:r>
      <w:r>
        <w:t>6.5 质量门禁与持续集成</w:t>
      </w:r>
      <w:r>
        <w:tab/>
      </w:r>
      <w:r>
        <w:fldChar w:fldCharType="begin"/>
      </w:r>
      <w:r>
        <w:instrText xml:space="preserve"> PAGEREF _Toc11475 \h </w:instrText>
      </w:r>
      <w:r>
        <w:fldChar w:fldCharType="separate"/>
      </w:r>
      <w:r>
        <w:t>31</w:t>
      </w:r>
      <w:r>
        <w:fldChar w:fldCharType="end"/>
      </w:r>
      <w:r>
        <w:rPr>
          <w:szCs w:val="24"/>
        </w:rPr>
        <w:fldChar w:fldCharType="end"/>
      </w:r>
    </w:p>
    <w:p w14:paraId="67C058D2">
      <w:pPr>
        <w:pStyle w:val="16"/>
        <w:tabs>
          <w:tab w:val="right" w:leader="dot" w:pos="9241"/>
        </w:tabs>
      </w:pPr>
      <w:r>
        <w:rPr>
          <w:szCs w:val="24"/>
        </w:rPr>
        <w:fldChar w:fldCharType="begin"/>
      </w:r>
      <w:r>
        <w:rPr>
          <w:szCs w:val="24"/>
        </w:rPr>
        <w:instrText xml:space="preserve"> HYPERLINK \l _Toc18113 </w:instrText>
      </w:r>
      <w:r>
        <w:rPr>
          <w:szCs w:val="24"/>
        </w:rPr>
        <w:fldChar w:fldCharType="separate"/>
      </w:r>
      <w:r>
        <w:t>6.6 大规模历史广度回测实证（4092 交易日）</w:t>
      </w:r>
      <w:r>
        <w:tab/>
      </w:r>
      <w:r>
        <w:fldChar w:fldCharType="begin"/>
      </w:r>
      <w:r>
        <w:instrText xml:space="preserve"> PAGEREF _Toc18113 \h </w:instrText>
      </w:r>
      <w:r>
        <w:fldChar w:fldCharType="separate"/>
      </w:r>
      <w:r>
        <w:t>32</w:t>
      </w:r>
      <w:r>
        <w:fldChar w:fldCharType="end"/>
      </w:r>
      <w:r>
        <w:rPr>
          <w:szCs w:val="24"/>
        </w:rPr>
        <w:fldChar w:fldCharType="end"/>
      </w:r>
    </w:p>
    <w:p w14:paraId="46B7290B">
      <w:pPr>
        <w:pStyle w:val="16"/>
        <w:tabs>
          <w:tab w:val="right" w:leader="dot" w:pos="9241"/>
        </w:tabs>
      </w:pPr>
      <w:r>
        <w:rPr>
          <w:szCs w:val="24"/>
        </w:rPr>
        <w:fldChar w:fldCharType="begin"/>
      </w:r>
      <w:r>
        <w:rPr>
          <w:szCs w:val="24"/>
        </w:rPr>
        <w:instrText xml:space="preserve"> HYPERLINK \l _Toc21785 </w:instrText>
      </w:r>
      <w:r>
        <w:rPr>
          <w:szCs w:val="24"/>
        </w:rPr>
        <w:fldChar w:fldCharType="separate"/>
      </w:r>
      <w:r>
        <w:t>6.7 本章小结</w:t>
      </w:r>
      <w:r>
        <w:tab/>
      </w:r>
      <w:r>
        <w:fldChar w:fldCharType="begin"/>
      </w:r>
      <w:r>
        <w:instrText xml:space="preserve"> PAGEREF _Toc21785 \h </w:instrText>
      </w:r>
      <w:r>
        <w:fldChar w:fldCharType="separate"/>
      </w:r>
      <w:r>
        <w:t>34</w:t>
      </w:r>
      <w:r>
        <w:fldChar w:fldCharType="end"/>
      </w:r>
      <w:r>
        <w:rPr>
          <w:szCs w:val="24"/>
        </w:rPr>
        <w:fldChar w:fldCharType="end"/>
      </w:r>
    </w:p>
    <w:p w14:paraId="02F54CF2">
      <w:pPr>
        <w:pStyle w:val="15"/>
        <w:tabs>
          <w:tab w:val="right" w:leader="dot" w:pos="9241"/>
          <w:tab w:val="clear" w:pos="8296"/>
        </w:tabs>
      </w:pPr>
      <w:r>
        <w:rPr>
          <w:szCs w:val="24"/>
        </w:rPr>
        <w:fldChar w:fldCharType="begin"/>
      </w:r>
      <w:r>
        <w:rPr>
          <w:szCs w:val="24"/>
        </w:rPr>
        <w:instrText xml:space="preserve"> HYPERLINK \l _Toc14296 </w:instrText>
      </w:r>
      <w:r>
        <w:rPr>
          <w:szCs w:val="24"/>
        </w:rPr>
        <w:fldChar w:fldCharType="separate"/>
      </w:r>
      <w:r>
        <w:t>7 结论与展望</w:t>
      </w:r>
      <w:r>
        <w:tab/>
      </w:r>
      <w:r>
        <w:fldChar w:fldCharType="begin"/>
      </w:r>
      <w:r>
        <w:instrText xml:space="preserve"> PAGEREF _Toc14296 \h </w:instrText>
      </w:r>
      <w:r>
        <w:fldChar w:fldCharType="separate"/>
      </w:r>
      <w:r>
        <w:t>35</w:t>
      </w:r>
      <w:r>
        <w:fldChar w:fldCharType="end"/>
      </w:r>
      <w:r>
        <w:rPr>
          <w:szCs w:val="24"/>
        </w:rPr>
        <w:fldChar w:fldCharType="end"/>
      </w:r>
    </w:p>
    <w:p w14:paraId="48CEE860">
      <w:pPr>
        <w:pStyle w:val="16"/>
        <w:tabs>
          <w:tab w:val="right" w:leader="dot" w:pos="9241"/>
        </w:tabs>
      </w:pPr>
      <w:r>
        <w:rPr>
          <w:szCs w:val="24"/>
        </w:rPr>
        <w:fldChar w:fldCharType="begin"/>
      </w:r>
      <w:r>
        <w:rPr>
          <w:szCs w:val="24"/>
        </w:rPr>
        <w:instrText xml:space="preserve"> HYPERLINK \l _Toc16308 </w:instrText>
      </w:r>
      <w:r>
        <w:rPr>
          <w:szCs w:val="24"/>
        </w:rPr>
        <w:fldChar w:fldCharType="separate"/>
      </w:r>
      <w:r>
        <w:t>7.1 工作总结</w:t>
      </w:r>
      <w:r>
        <w:tab/>
      </w:r>
      <w:r>
        <w:fldChar w:fldCharType="begin"/>
      </w:r>
      <w:r>
        <w:instrText xml:space="preserve"> PAGEREF _Toc16308 \h </w:instrText>
      </w:r>
      <w:r>
        <w:fldChar w:fldCharType="separate"/>
      </w:r>
      <w:r>
        <w:t>35</w:t>
      </w:r>
      <w:r>
        <w:fldChar w:fldCharType="end"/>
      </w:r>
      <w:r>
        <w:rPr>
          <w:szCs w:val="24"/>
        </w:rPr>
        <w:fldChar w:fldCharType="end"/>
      </w:r>
    </w:p>
    <w:p w14:paraId="264805AD">
      <w:pPr>
        <w:pStyle w:val="16"/>
        <w:tabs>
          <w:tab w:val="right" w:leader="dot" w:pos="9241"/>
        </w:tabs>
      </w:pPr>
      <w:r>
        <w:rPr>
          <w:szCs w:val="24"/>
        </w:rPr>
        <w:fldChar w:fldCharType="begin"/>
      </w:r>
      <w:r>
        <w:rPr>
          <w:szCs w:val="24"/>
        </w:rPr>
        <w:instrText xml:space="preserve"> HYPERLINK \l _Toc19332 </w:instrText>
      </w:r>
      <w:r>
        <w:rPr>
          <w:szCs w:val="24"/>
        </w:rPr>
        <w:fldChar w:fldCharType="separate"/>
      </w:r>
      <w:r>
        <w:t>7.2 不足（诚实陈述，呼应校准设计）</w:t>
      </w:r>
      <w:r>
        <w:tab/>
      </w:r>
      <w:r>
        <w:fldChar w:fldCharType="begin"/>
      </w:r>
      <w:r>
        <w:instrText xml:space="preserve"> PAGEREF _Toc19332 \h </w:instrText>
      </w:r>
      <w:r>
        <w:fldChar w:fldCharType="separate"/>
      </w:r>
      <w:r>
        <w:t>35</w:t>
      </w:r>
      <w:r>
        <w:fldChar w:fldCharType="end"/>
      </w:r>
      <w:r>
        <w:rPr>
          <w:szCs w:val="24"/>
        </w:rPr>
        <w:fldChar w:fldCharType="end"/>
      </w:r>
    </w:p>
    <w:p w14:paraId="68ABC522">
      <w:pPr>
        <w:pStyle w:val="16"/>
        <w:tabs>
          <w:tab w:val="right" w:leader="dot" w:pos="9241"/>
        </w:tabs>
      </w:pPr>
      <w:r>
        <w:rPr>
          <w:szCs w:val="24"/>
        </w:rPr>
        <w:fldChar w:fldCharType="begin"/>
      </w:r>
      <w:r>
        <w:rPr>
          <w:szCs w:val="24"/>
        </w:rPr>
        <w:instrText xml:space="preserve"> HYPERLINK \l _Toc25303 </w:instrText>
      </w:r>
      <w:r>
        <w:rPr>
          <w:szCs w:val="24"/>
        </w:rPr>
        <w:fldChar w:fldCharType="separate"/>
      </w:r>
      <w:r>
        <w:t>7.3 未来工作</w:t>
      </w:r>
      <w:r>
        <w:tab/>
      </w:r>
      <w:r>
        <w:fldChar w:fldCharType="begin"/>
      </w:r>
      <w:r>
        <w:instrText xml:space="preserve"> PAGEREF _Toc25303 \h </w:instrText>
      </w:r>
      <w:r>
        <w:fldChar w:fldCharType="separate"/>
      </w:r>
      <w:r>
        <w:t>36</w:t>
      </w:r>
      <w:r>
        <w:fldChar w:fldCharType="end"/>
      </w:r>
      <w:r>
        <w:rPr>
          <w:szCs w:val="24"/>
        </w:rPr>
        <w:fldChar w:fldCharType="end"/>
      </w:r>
    </w:p>
    <w:p w14:paraId="21C24403">
      <w:pPr>
        <w:pStyle w:val="15"/>
        <w:tabs>
          <w:tab w:val="right" w:leader="dot" w:pos="9241"/>
          <w:tab w:val="clear" w:pos="8296"/>
        </w:tabs>
      </w:pPr>
      <w:r>
        <w:rPr>
          <w:szCs w:val="24"/>
        </w:rPr>
        <w:fldChar w:fldCharType="begin"/>
      </w:r>
      <w:r>
        <w:rPr>
          <w:szCs w:val="24"/>
        </w:rPr>
        <w:instrText xml:space="preserve"> HYPERLINK \l _Toc15814 </w:instrText>
      </w:r>
      <w:r>
        <w:rPr>
          <w:szCs w:val="24"/>
        </w:rPr>
        <w:fldChar w:fldCharType="separate"/>
      </w:r>
      <w:r>
        <w:rPr>
          <w:rFonts w:hint="eastAsia" w:ascii="黑体" w:hAnsi="黑体"/>
        </w:rPr>
        <w:t>致</w:t>
      </w:r>
      <w:r>
        <w:rPr>
          <w:rFonts w:ascii="黑体" w:hAnsi="黑体"/>
        </w:rPr>
        <w:t xml:space="preserve">  </w:t>
      </w:r>
      <w:r>
        <w:rPr>
          <w:rFonts w:hint="eastAsia" w:ascii="黑体" w:hAnsi="黑体"/>
        </w:rPr>
        <w:t>谢</w:t>
      </w:r>
      <w:r>
        <w:tab/>
      </w:r>
      <w:r>
        <w:fldChar w:fldCharType="begin"/>
      </w:r>
      <w:r>
        <w:instrText xml:space="preserve"> PAGEREF _Toc15814 \h </w:instrText>
      </w:r>
      <w:r>
        <w:fldChar w:fldCharType="separate"/>
      </w:r>
      <w:r>
        <w:t>37</w:t>
      </w:r>
      <w:r>
        <w:fldChar w:fldCharType="end"/>
      </w:r>
      <w:r>
        <w:rPr>
          <w:szCs w:val="24"/>
        </w:rPr>
        <w:fldChar w:fldCharType="end"/>
      </w:r>
    </w:p>
    <w:p w14:paraId="1399E315">
      <w:pPr>
        <w:pStyle w:val="15"/>
        <w:tabs>
          <w:tab w:val="right" w:leader="dot" w:pos="9241"/>
          <w:tab w:val="clear" w:pos="8296"/>
        </w:tabs>
      </w:pPr>
      <w:r>
        <w:rPr>
          <w:szCs w:val="24"/>
        </w:rPr>
        <w:fldChar w:fldCharType="begin"/>
      </w:r>
      <w:r>
        <w:rPr>
          <w:szCs w:val="24"/>
        </w:rPr>
        <w:instrText xml:space="preserve"> HYPERLINK \l _Toc5808 </w:instrText>
      </w:r>
      <w:r>
        <w:rPr>
          <w:szCs w:val="24"/>
        </w:rPr>
        <w:fldChar w:fldCharType="separate"/>
      </w:r>
      <w:r>
        <w:rPr>
          <w:rFonts w:ascii="黑体" w:hAnsi="黑体"/>
        </w:rPr>
        <w:t>参考文献</w:t>
      </w:r>
      <w:r>
        <w:tab/>
      </w:r>
      <w:r>
        <w:fldChar w:fldCharType="begin"/>
      </w:r>
      <w:r>
        <w:instrText xml:space="preserve"> PAGEREF _Toc5808 \h </w:instrText>
      </w:r>
      <w:r>
        <w:fldChar w:fldCharType="separate"/>
      </w:r>
      <w:r>
        <w:t>37</w:t>
      </w:r>
      <w:r>
        <w:fldChar w:fldCharType="end"/>
      </w:r>
      <w:r>
        <w:rPr>
          <w:szCs w:val="24"/>
        </w:rPr>
        <w:fldChar w:fldCharType="end"/>
      </w:r>
    </w:p>
    <w:p w14:paraId="51178774">
      <w:pPr>
        <w:pStyle w:val="15"/>
        <w:tabs>
          <w:tab w:val="right" w:leader="dot" w:pos="9241"/>
          <w:tab w:val="clear" w:pos="8296"/>
        </w:tabs>
      </w:pPr>
      <w:r>
        <w:rPr>
          <w:szCs w:val="24"/>
        </w:rPr>
        <w:fldChar w:fldCharType="begin"/>
      </w:r>
      <w:r>
        <w:rPr>
          <w:szCs w:val="24"/>
        </w:rPr>
        <w:instrText xml:space="preserve"> HYPERLINK \l _Toc10624 </w:instrText>
      </w:r>
      <w:r>
        <w:rPr>
          <w:szCs w:val="24"/>
        </w:rPr>
        <w:fldChar w:fldCharType="separate"/>
      </w:r>
      <w:r>
        <w:rPr>
          <w:rFonts w:hint="eastAsia" w:ascii="黑体" w:hAnsi="黑体"/>
        </w:rPr>
        <w:t>附  录</w:t>
      </w:r>
      <w:r>
        <w:tab/>
      </w:r>
      <w:r>
        <w:fldChar w:fldCharType="begin"/>
      </w:r>
      <w:r>
        <w:instrText xml:space="preserve"> PAGEREF _Toc10624 \h </w:instrText>
      </w:r>
      <w:r>
        <w:fldChar w:fldCharType="separate"/>
      </w:r>
      <w:r>
        <w:t>40</w:t>
      </w:r>
      <w:r>
        <w:fldChar w:fldCharType="end"/>
      </w:r>
      <w:r>
        <w:rPr>
          <w:szCs w:val="24"/>
        </w:rPr>
        <w:fldChar w:fldCharType="end"/>
      </w:r>
    </w:p>
    <w:p w14:paraId="68B8BE90">
      <w:pPr>
        <w:pStyle w:val="7"/>
        <w:spacing w:before="312" w:beforeLines="100" w:after="312" w:afterLines="100" w:line="300" w:lineRule="auto"/>
        <w:jc w:val="center"/>
        <w:rPr>
          <w:sz w:val="24"/>
          <w:szCs w:val="24"/>
        </w:rPr>
      </w:pPr>
      <w:r>
        <w:rPr>
          <w:sz w:val="24"/>
          <w:szCs w:val="24"/>
        </w:rPr>
        <w:fldChar w:fldCharType="end"/>
      </w:r>
    </w:p>
    <w:p w14:paraId="47F9993B">
      <w:r>
        <w:rPr>
          <w:bCs/>
          <w:color w:val="000000"/>
          <w:sz w:val="28"/>
          <w:szCs w:val="28"/>
        </w:rPr>
        <w:pict>
          <v:shape id="自选图形 36" o:spid="_x0000_s1047" o:spt="61" type="#_x0000_t61" style="position:absolute;left:0pt;margin-left:194.9pt;margin-top:6.95pt;height:91pt;width:207.4pt;z-index:251659264;mso-width-relative:page;mso-height-relative:page;" fillcolor="#FFFFFF" filled="t" stroked="t" coordsize="21600,21600" adj="5369,-30184">
            <v:path/>
            <v:fill on="t" focussize="0,0"/>
            <v:stroke/>
            <v:imagedata o:title=""/>
            <o:lock v:ext="edit" aspectratio="f"/>
            <v:textbox>
              <w:txbxContent>
                <w:p w14:paraId="2F96AF07">
                  <w:pPr>
                    <w:rPr>
                      <w:rFonts w:hint="eastAsia" w:ascii="宋体" w:hAnsi="宋体" w:cs="宋体"/>
                      <w:color w:val="0000FF"/>
                      <w:sz w:val="24"/>
                      <w:szCs w:val="24"/>
                    </w:rPr>
                  </w:pPr>
                  <w:r>
                    <w:rPr>
                      <w:rFonts w:hint="eastAsia" w:ascii="宋体" w:hAnsi="宋体" w:cs="宋体"/>
                      <w:color w:val="0000FF"/>
                      <w:sz w:val="24"/>
                      <w:szCs w:val="24"/>
                    </w:rPr>
                    <w:t>目录列出一、二、三级标题，</w:t>
                  </w:r>
                </w:p>
                <w:p w14:paraId="63D58684">
                  <w:pPr>
                    <w:rPr>
                      <w:rFonts w:hint="eastAsia" w:ascii="宋体" w:hAnsi="宋体" w:cs="宋体"/>
                      <w:color w:val="0000FF"/>
                      <w:sz w:val="24"/>
                      <w:szCs w:val="24"/>
                    </w:rPr>
                  </w:pPr>
                  <w:r>
                    <w:rPr>
                      <w:rFonts w:hint="eastAsia" w:ascii="宋体" w:hAnsi="宋体" w:cs="宋体"/>
                      <w:color w:val="0000FF"/>
                      <w:sz w:val="24"/>
                      <w:szCs w:val="24"/>
                    </w:rPr>
                    <w:t>一级标题宋体小四号加粗左对齐</w:t>
                  </w:r>
                </w:p>
                <w:p w14:paraId="5BDEA7C0">
                  <w:pPr>
                    <w:rPr>
                      <w:rFonts w:hint="eastAsia" w:ascii="宋体" w:hAnsi="宋体" w:cs="宋体"/>
                      <w:color w:val="0000FF"/>
                      <w:sz w:val="24"/>
                      <w:szCs w:val="24"/>
                    </w:rPr>
                  </w:pPr>
                  <w:r>
                    <w:rPr>
                      <w:rFonts w:hint="eastAsia" w:ascii="宋体" w:hAnsi="宋体" w:cs="宋体"/>
                      <w:color w:val="0000FF"/>
                      <w:sz w:val="24"/>
                      <w:szCs w:val="24"/>
                    </w:rPr>
                    <w:t>二级标题宋体小四号缩进一个字符</w:t>
                  </w:r>
                </w:p>
                <w:p w14:paraId="7B2EC08B">
                  <w:pPr>
                    <w:rPr>
                      <w:rFonts w:hint="eastAsia" w:ascii="宋体" w:hAnsi="宋体" w:cs="宋体"/>
                      <w:color w:val="0000FF"/>
                      <w:sz w:val="24"/>
                      <w:szCs w:val="24"/>
                    </w:rPr>
                  </w:pPr>
                  <w:r>
                    <w:rPr>
                      <w:rFonts w:hint="eastAsia" w:ascii="宋体" w:hAnsi="宋体" w:cs="宋体"/>
                      <w:color w:val="0000FF"/>
                      <w:sz w:val="24"/>
                      <w:szCs w:val="24"/>
                    </w:rPr>
                    <w:t>三级标题宋体小四号缩进两个字符</w:t>
                  </w:r>
                </w:p>
                <w:p w14:paraId="3B24B978">
                  <w:pPr>
                    <w:rPr>
                      <w:rFonts w:hint="eastAsia"/>
                      <w:sz w:val="24"/>
                      <w:szCs w:val="24"/>
                    </w:rPr>
                  </w:pPr>
                  <w:r>
                    <w:rPr>
                      <w:rFonts w:hint="eastAsia" w:ascii="宋体" w:hAnsi="宋体" w:cs="宋体"/>
                      <w:color w:val="0000FF"/>
                      <w:sz w:val="24"/>
                      <w:szCs w:val="24"/>
                    </w:rPr>
                    <w:t>标题与页码用“……”联接。</w:t>
                  </w:r>
                </w:p>
              </w:txbxContent>
            </v:textbox>
          </v:shape>
        </w:pict>
      </w:r>
    </w:p>
    <w:p w14:paraId="7B7C2F61">
      <w:pPr>
        <w:spacing w:line="360" w:lineRule="auto"/>
        <w:ind w:right="-380"/>
        <w:sectPr>
          <w:pgSz w:w="11906" w:h="16838"/>
          <w:pgMar w:top="1588" w:right="1247" w:bottom="1361" w:left="1418" w:header="851" w:footer="907" w:gutter="0"/>
          <w:pgNumType w:fmt="upperRoman"/>
          <w:cols w:space="720" w:num="1"/>
          <w:docGrid w:type="linesAndChars" w:linePitch="312" w:charSpace="0"/>
        </w:sectPr>
      </w:pPr>
      <w:r>
        <w:rPr>
          <w:bCs/>
          <w:color w:val="000000"/>
          <w:sz w:val="28"/>
          <w:szCs w:val="28"/>
        </w:rPr>
        <w:pict>
          <v:shape id="_x0000_s1069" o:spid="_x0000_s1069" o:spt="61" type="#_x0000_t61" style="position:absolute;left:0pt;margin-left:183.3pt;margin-top:105.65pt;height:25.45pt;width:154.95pt;z-index:251666432;mso-width-relative:page;mso-height-relative:page;" fillcolor="#FFFFFF" filled="t" stroked="t" coordsize="21600,21600" adj="-10837,76428">
            <v:path/>
            <v:fill on="t" focussize="0,0"/>
            <v:stroke/>
            <v:imagedata o:title=""/>
            <o:lock v:ext="edit" aspectratio="f"/>
            <v:textbox>
              <w:txbxContent>
                <w:p w14:paraId="74D9C122">
                  <w:pPr>
                    <w:rPr>
                      <w:rFonts w:hint="eastAsia" w:ascii="宋体" w:hAnsi="宋体" w:cs="宋体"/>
                      <w:color w:val="0000FF"/>
                      <w:sz w:val="24"/>
                      <w:szCs w:val="24"/>
                    </w:rPr>
                  </w:pPr>
                  <w:r>
                    <w:rPr>
                      <w:rFonts w:hint="eastAsia" w:ascii="宋体" w:hAnsi="宋体" w:cs="宋体"/>
                      <w:color w:val="0000FF"/>
                      <w:sz w:val="24"/>
                      <w:szCs w:val="24"/>
                    </w:rPr>
                    <w:t>末尾插入分节符（下一页）</w:t>
                  </w:r>
                </w:p>
              </w:txbxContent>
            </v:textbox>
          </v:shape>
        </w:pict>
      </w:r>
    </w:p>
    <w:p w14:paraId="4BA36A66">
      <w:pPr>
        <w:pStyle w:val="3"/>
      </w:pPr>
      <w:bookmarkStart w:id="8" w:name="_Toc12796"/>
      <w:r>
        <w:t>——StockSignal 平台的设计与实现</w:t>
      </w:r>
      <w:bookmarkEnd w:id="8"/>
    </w:p>
    <w:p w14:paraId="4285F251">
      <w:pPr>
        <w:pStyle w:val="7"/>
        <w:spacing w:line="300" w:lineRule="auto"/>
        <w:ind w:firstLine="420"/>
      </w:pPr>
      <w:r>
        <w:t xml:space="preserve">&gt; </w:t>
      </w:r>
      <w:r>
        <w:rPr>
          <w:b/>
        </w:rPr>
        <w:t>论文类型</w:t>
      </w:r>
      <w:r>
        <w:t>：学位论文（本科 / 硕士，定稿时确认）</w:t>
      </w:r>
    </w:p>
    <w:p w14:paraId="35A3577F">
      <w:pPr>
        <w:pStyle w:val="7"/>
        <w:spacing w:line="300" w:lineRule="auto"/>
        <w:ind w:firstLine="420"/>
      </w:pPr>
      <w:r>
        <w:t xml:space="preserve">&gt; </w:t>
      </w:r>
      <w:r>
        <w:rPr>
          <w:b/>
        </w:rPr>
        <w:t>作者</w:t>
      </w:r>
      <w:r>
        <w:t>：黄子洲</w:t>
      </w:r>
    </w:p>
    <w:p w14:paraId="30B1674F">
      <w:pPr>
        <w:pStyle w:val="7"/>
        <w:spacing w:line="300" w:lineRule="auto"/>
        <w:ind w:firstLine="420"/>
      </w:pPr>
      <w:r>
        <w:t xml:space="preserve">&gt; </w:t>
      </w:r>
      <w:r>
        <w:rPr>
          <w:b/>
        </w:rPr>
        <w:t>指导教师</w:t>
      </w:r>
      <w:r>
        <w:t>：「导师姓名」</w:t>
      </w:r>
    </w:p>
    <w:p w14:paraId="218FBD55">
      <w:pPr>
        <w:pStyle w:val="7"/>
        <w:spacing w:line="300" w:lineRule="auto"/>
        <w:ind w:firstLine="420"/>
      </w:pPr>
      <w:r>
        <w:t xml:space="preserve">&gt; </w:t>
      </w:r>
      <w:r>
        <w:rPr>
          <w:b/>
        </w:rPr>
        <w:t>培养单位</w:t>
      </w:r>
      <w:r>
        <w:t>：「学校 · 学院 · 专业」</w:t>
      </w:r>
    </w:p>
    <w:p w14:paraId="17031201">
      <w:pPr>
        <w:pStyle w:val="7"/>
        <w:spacing w:line="300" w:lineRule="auto"/>
        <w:ind w:firstLine="420"/>
      </w:pPr>
      <w:r>
        <w:t xml:space="preserve">&gt; </w:t>
      </w:r>
      <w:r>
        <w:rPr>
          <w:b/>
        </w:rPr>
        <w:t>完成日期</w:t>
      </w:r>
      <w:r>
        <w:t>：2026 年　月</w:t>
      </w:r>
    </w:p>
    <w:p w14:paraId="02E67441">
      <w:pPr>
        <w:pStyle w:val="7"/>
        <w:spacing w:line="300" w:lineRule="auto"/>
        <w:ind w:firstLine="420"/>
      </w:pPr>
      <w:r>
        <w:t>A 股市场情绪驱动特征显著，个人投资者在信息过载与情绪噪声中难以形成稳定决策。本文以"事件驱动 + 市场情绪"为差异化主线，设计并实现了 StockSignal——一套面向 A 股的市场广度与情绪温度计分析平台，并提出"决策闭环 + 刻度校准"的方法论框架：先以全市场广度指标重建六阶段情绪周期，再据此推导可调仓位建议，最后用真实历史数据反向校准仓位刻度常数。</w:t>
      </w:r>
    </w:p>
    <w:p w14:paraId="7127BEDD">
      <w:pPr>
        <w:pStyle w:val="7"/>
        <w:spacing w:line="300" w:lineRule="auto"/>
        <w:ind w:firstLine="420"/>
      </w:pPr>
      <w:r>
        <w:t>论文的核心贡献在于把"拍脑袋"的仓位经验转化为可验证、可校准的闭环。为验证该框架，本文重建了覆盖 2007–2026 年共 4798 个真实交易日的 A 股全市场广度与情绪历史（其中 2009-11 起方向可评分口径 4092 日）（离线可复现、防覆盖双备份）。在该数据上回测完整决策链路得到两个关键实证结论：（1）情绪周期对次日方向的预测≈随机（方向命中率 49.1%，已按“平盘=无方向信息”口径剔除 177 个平盘日），如实界定了系统能力边界——不宣称"猜对明天涨跌"；（2）仓位建议随情绪周期显著分化（进攻期平均 57.8% 对比防守期 35.0%，价差 22.8 个百分点），证明闭环是一台"市场状态驱动的风险缩放器"。进一步用回测分组统计驱动刻度校准模块，验证原有 CYCLE_ADJ 常数在统计意义上基本合理，校准机制在噪音阈值内选择"不动"，且小样本被硬性门槛拦截以防过拟合。</w:t>
      </w:r>
    </w:p>
    <w:p w14:paraId="053FEE21">
      <w:pPr>
        <w:pStyle w:val="7"/>
        <w:spacing w:line="300" w:lineRule="auto"/>
        <w:ind w:firstLine="420"/>
      </w:pPr>
      <w:r>
        <w:t>本文表明：在日频方向不可预测的现实下，把有限的可预测性配置在"仓位刻度"这一更稳健的维度、并以数据驱动方式持续校准，是事件驱动情绪类策略更诚实、更可持续的工程化路径。</w:t>
      </w:r>
    </w:p>
    <w:p w14:paraId="1B479EFC">
      <w:pPr>
        <w:pStyle w:val="7"/>
        <w:spacing w:line="300" w:lineRule="auto"/>
        <w:ind w:firstLine="420"/>
      </w:pPr>
      <w:r>
        <w:rPr>
          <w:b/>
        </w:rPr>
        <w:t>关键词</w:t>
      </w:r>
      <w:r>
        <w:t>：A 股；市场广度；情绪周期；决策闭环；刻度校准；回测；StockSignal</w:t>
      </w:r>
    </w:p>
    <w:p w14:paraId="4790CB1C">
      <w:pPr>
        <w:pStyle w:val="7"/>
        <w:spacing w:line="300" w:lineRule="auto"/>
        <w:ind w:firstLine="420"/>
      </w:pPr>
      <w:r>
        <w:t>The A-share market is prominently driven by sentiment, and individual investors struggle to form stable decisions amid information overload and emotional noise. Anchored on the differentiating thread of "event-driven + market sentiment," this thesis designs and implements StockSignal — an A-share market-breadth and sentiment-thermometer analysis platform — and proposes a methodological framework of "decision closed-loop + scale calibration": first reconstructing a six-stage sentiment cycle from whole-market breadth indicators, then deriving adjustable position suggestions therefrom, and finally back-calibrating the position-scale constants with real historical data.</w:t>
      </w:r>
    </w:p>
    <w:p w14:paraId="501FB8E7">
      <w:pPr>
        <w:pStyle w:val="7"/>
        <w:spacing w:line="300" w:lineRule="auto"/>
        <w:ind w:firstLine="420"/>
      </w:pPr>
      <w:r>
        <w:t>The core contribution lies in transforming seat-of-the-pants position instincts into a verifiable, self-calibrating closed loop. To validate the framework, this thesis reconstructs the A-share whole-market breadth and sentiment history covering 4,798 real trading days from 2007 to 2026 (of which 4,092 days since 2009-11 follow the direction-scoreable criterion) (offline-reproducible, with overwrite-guarded dual backups). Backtesting the full decision chain on this dataset yields two key empirical findings: (1) the sentiment cycle's prediction of next-day direction is approximately random (direction hit rate 49.1%, after excluding 177 flat close days), honestly delineating the system's capability boundary — it does not claim to "guess tomorrow's rise or fall"; (2) position suggestions diverge significantly across sentiment cycles (offensive phase avg. 57.8% vs. defensive phase 35.0%, a 22.8-percentage-point spread), proving the closed loop is a "market-state-driven risk scaler" rather than a daily-direction oracle. Furthermore, driving the calibration module with backtest group statistics confirms that the original CYCLE_ADJ constants are statistically reasonable, that the calibration mechanism correctly "holds" within the noise threshold, and that small samples are hard-blocked by thresholds to prevent overfitting.</w:t>
      </w:r>
    </w:p>
    <w:p w14:paraId="171B7B53">
      <w:pPr>
        <w:pStyle w:val="7"/>
        <w:spacing w:line="300" w:lineRule="auto"/>
        <w:ind w:firstLine="420"/>
      </w:pPr>
      <w:r>
        <w:t>This work shows that, given the unpredictability of daily direction, allocating the limited predictability to the more robust dimension of "position scale" and continuously calibrating it in a data-driven manner is a more honest and sustainable engineering path for event-driven sentiment strategies.</w:t>
      </w:r>
    </w:p>
    <w:p w14:paraId="2481192A">
      <w:pPr>
        <w:pStyle w:val="7"/>
        <w:spacing w:line="300" w:lineRule="auto"/>
        <w:ind w:firstLine="420"/>
      </w:pPr>
      <w:r>
        <w:rPr>
          <w:b/>
        </w:rPr>
        <w:t>Keywords</w:t>
      </w:r>
      <w:r>
        <w:t>: A-share; market breadth; sentiment cycle; decision closed-loop; scale calibration; backtest; StockSignal</w:t>
      </w:r>
    </w:p>
    <w:p w14:paraId="1C7DA7C2">
      <w:pPr>
        <w:pStyle w:val="2"/>
      </w:pPr>
      <w:bookmarkStart w:id="9" w:name="_Toc6410"/>
      <w:r>
        <w:t>1 绪论</w:t>
      </w:r>
      <w:bookmarkEnd w:id="9"/>
    </w:p>
    <w:p w14:paraId="75BA5C70">
      <w:pPr>
        <w:pStyle w:val="3"/>
      </w:pPr>
      <w:bookmarkStart w:id="10" w:name="_Toc30719"/>
      <w:r>
        <w:t>1.1 研究背景与意义</w:t>
      </w:r>
      <w:bookmarkEnd w:id="10"/>
    </w:p>
    <w:p w14:paraId="507CC57B">
      <w:pPr>
        <w:pStyle w:val="7"/>
        <w:spacing w:line="300" w:lineRule="auto"/>
        <w:ind w:firstLine="420"/>
      </w:pPr>
      <w:r>
        <w:t>A 股市场个人投资者占比高、信息来源庞杂，行情、公告、板块异动、连板梯队等信号在日内高频涌现。投资者普遍面临两类困境：一是"信息过载、决策凭感"，缺乏把多源信号收敛为明确仓位的工程化方法；二是"决策不可复盘"，即便做对做错，也说不清当时的决策依据。与此同时，机器学习在金融决策中的黑箱问题使其结论难以被个人投资者信任与采纳。</w:t>
      </w:r>
    </w:p>
    <w:p w14:paraId="09E69CCC">
      <w:pPr>
        <w:pStyle w:val="7"/>
        <w:spacing w:line="300" w:lineRule="auto"/>
        <w:ind w:firstLine="420"/>
      </w:pPr>
      <w:r>
        <w:t>本研究的意义在于：构建一个</w:t>
      </w:r>
      <w:r>
        <w:rPr>
          <w:b/>
        </w:rPr>
        <w:t>事件驱动的 A 股投研平台</w:t>
      </w:r>
      <w:r>
        <w:t>，把行情、事件、回测、持仓、决策整合为一条可操作的链路；并在其上实现</w:t>
      </w:r>
      <w:r>
        <w:rPr>
          <w:b/>
        </w:rPr>
        <w:t>可解释、可自纠偏、可验证</w:t>
      </w:r>
      <w:r>
        <w:t>的仓位推导方法，使普通投资者既能获得决策建议，又能理解、复盘、信任该建议。平台本身的工程实现遵循软件工程的分层与解耦原则，使上述能力可被持续维护与回归验证，而非依赖一次性脚本。</w:t>
      </w:r>
    </w:p>
    <w:p w14:paraId="58C95AC9">
      <w:pPr>
        <w:pStyle w:val="3"/>
      </w:pPr>
      <w:bookmarkStart w:id="11" w:name="_Toc1199"/>
      <w:r>
        <w:t>1.2 国内外研究现状</w:t>
      </w:r>
      <w:bookmarkEnd w:id="11"/>
    </w:p>
    <w:p w14:paraId="352977E2">
      <w:pPr>
        <w:pStyle w:val="7"/>
        <w:spacing w:line="300" w:lineRule="auto"/>
        <w:ind w:firstLine="420"/>
      </w:pPr>
      <w:r>
        <w:t>围绕本研究的四个理论支点，分别梳理事件研究法、仓位决策方法、可解释人工智能与模型校准、以及现有投研/量化平台四方面的研究进展。</w:t>
      </w:r>
    </w:p>
    <w:p w14:paraId="7DC74BF4">
      <w:pPr>
        <w:pStyle w:val="7"/>
        <w:spacing w:line="300" w:lineRule="auto"/>
        <w:ind w:firstLine="420"/>
      </w:pPr>
      <w:r>
        <w:t xml:space="preserve">- </w:t>
      </w:r>
      <w:r>
        <w:rPr>
          <w:b/>
        </w:rPr>
        <w:t>1.2.1 事件驱动与事件研究法（Event Study）</w:t>
      </w:r>
      <w:r>
        <w:t>：事件研究法由 MacKinlay[1] 系统化为衡量金融事件对资产价格短期影响的经典范式，Brown 与 Warner[2] 进一步论证了基于日收益率的事件研究在统计功效与实操性上的可行性与稳健性；在国内，赵宇龙[3] 以会计盈余披露为事件，实证了会计信息在上海股市的信息含量。上述工作奠定了"把离散事件映射为可量化市场反应"的方法论基础，也是本系统事件驱动架构（公告/板块异动/连板晋升 → 信号 → 决策）的直接理论来源。</w:t>
      </w:r>
    </w:p>
    <w:p w14:paraId="169E953B">
      <w:pPr>
        <w:pStyle w:val="7"/>
        <w:spacing w:line="300" w:lineRule="auto"/>
        <w:ind w:firstLine="420"/>
      </w:pPr>
      <w:r>
        <w:t xml:space="preserve">- </w:t>
      </w:r>
      <w:r>
        <w:rPr>
          <w:b/>
        </w:rPr>
        <w:t>1.2.2 仓位决策与组合权重方法</w:t>
      </w:r>
      <w:r>
        <w:t>：仓位与权重的核心思想可追溯至 Kelly[4] 的资本增长准则、Markowitz[5] 的均值-方差组合理论，以及 Black 与 Jones[6] 的组合保险（CPPI 类）、Choueifaty 与 Coignard[7] 的最大分散化组合。既有方法多为最优化黑箱或依赖强分布假设；本系统定位为"规则化、可解释"，以显性规则（温度/方向/周期/晋级率）推导仓位而非求解最优权重，天然可被投资者读懂与复盘。</w:t>
      </w:r>
    </w:p>
    <w:p w14:paraId="4A056A9F">
      <w:pPr>
        <w:pStyle w:val="7"/>
        <w:spacing w:line="300" w:lineRule="auto"/>
        <w:ind w:firstLine="420"/>
      </w:pPr>
      <w:r>
        <w:t xml:space="preserve">- </w:t>
      </w:r>
      <w:r>
        <w:rPr>
          <w:b/>
        </w:rPr>
        <w:t>1.2.3 可解释人工智能（XAI）与模型校准</w:t>
      </w:r>
      <w:r>
        <w:t>：为使模型可信，Ribeiro 等[8] 提出 LIME、Lundberg 与 Lee[9] 提出 SHAP，以事后近似解释任意分类器的预测；Niculescu-Mizil 与 Caruana[10]、Guo 等[11] 则关注"概率校准"——使模型输出概率与真实频率一致。这些工作揭示了"黑箱预测 → 人类可理解"的必要性，也启发本系统放弃事后近似解释，转而让</w:t>
      </w:r>
      <w:r>
        <w:rPr>
          <w:b/>
        </w:rPr>
        <w:t>决策规则本身可读</w:t>
      </w:r>
      <w:r>
        <w:t>（</w:t>
      </w:r>
      <w:r>
        <w:rPr>
          <w:rFonts w:ascii="Courier New" w:hAnsi="Courier New"/>
        </w:rPr>
        <w:t>reasons</w:t>
      </w:r>
      <w:r>
        <w:t xml:space="preserve"> 逐条留痕），并将"校准"思想改造为对仓位刻度参数 </w:t>
      </w:r>
      <w:r>
        <w:rPr>
          <w:rFonts w:ascii="Courier New" w:hAnsi="Courier New"/>
        </w:rPr>
        <w:t>CYCLE_ADJ</w:t>
      </w:r>
      <w:r>
        <w:t xml:space="preserve"> 的回测反推修正。</w:t>
      </w:r>
    </w:p>
    <w:p w14:paraId="2F7CC5D9">
      <w:pPr>
        <w:pStyle w:val="7"/>
        <w:spacing w:line="300" w:lineRule="auto"/>
        <w:ind w:firstLine="420"/>
      </w:pPr>
      <w:r>
        <w:t xml:space="preserve">- </w:t>
      </w:r>
      <w:r>
        <w:rPr>
          <w:b/>
        </w:rPr>
        <w:t>1.2.4 现有投研/量化平台综述</w:t>
      </w:r>
      <w:r>
        <w:t>：同花顺、东方财富以行情与资讯展示为主，聚宽[14]、米筐[15]、Backtrader[13] 等提供了回测与策略框架，但普遍在"决策闭环 + 可解释性"上存在缺口——或只展示不决策，或决策黑箱不可复盘。本系统在回测与展示之上补上"可解释、可自纠偏、可验证"的仓位推导闭环，正是针对上述不足。</w:t>
      </w:r>
    </w:p>
    <w:p w14:paraId="0034B0FE">
      <w:pPr>
        <w:pStyle w:val="3"/>
      </w:pPr>
      <w:bookmarkStart w:id="12" w:name="_Toc28709"/>
      <w:r>
        <w:t>1.3 研究内容与创新点</w:t>
      </w:r>
      <w:bookmarkEnd w:id="12"/>
    </w:p>
    <w:p w14:paraId="5E93B6EC">
      <w:pPr>
        <w:pStyle w:val="7"/>
        <w:spacing w:line="300" w:lineRule="auto"/>
        <w:ind w:firstLine="420"/>
      </w:pPr>
      <w:r>
        <w:t>- 研究内容：① 事件驱动投研平台（行情/事件/回测/持仓/决策全链路，按软件工程分层实现）；② 决策闭环（</w:t>
      </w:r>
      <w:r>
        <w:rPr>
          <w:rFonts w:ascii="Courier New" w:hAnsi="Courier New"/>
        </w:rPr>
        <w:t>derive_position</w:t>
      </w:r>
      <w:r>
        <w:t xml:space="preserve"> 四维→仓位，逐条 </w:t>
      </w:r>
      <w:r>
        <w:rPr>
          <w:rFonts w:ascii="Courier New" w:hAnsi="Courier New"/>
        </w:rPr>
        <w:t>reasons</w:t>
      </w:r>
      <w:r>
        <w:t xml:space="preserve"> 可解释）；③ 刻度校准（</w:t>
      </w:r>
      <w:r>
        <w:rPr>
          <w:rFonts w:ascii="Courier New" w:hAnsi="Courier New"/>
        </w:rPr>
        <w:t>calibration.py</w:t>
      </w:r>
      <w:r>
        <w:t xml:space="preserve"> 回测反推、有界、小样本不表态）；④ 预测 vs 实际回测（</w:t>
      </w:r>
      <w:r>
        <w:rPr>
          <w:rFonts w:ascii="Courier New" w:hAnsi="Courier New"/>
        </w:rPr>
        <w:t>decision_track</w:t>
      </w:r>
      <w:r>
        <w:t>）。</w:t>
      </w:r>
    </w:p>
    <w:p w14:paraId="57B54155">
      <w:pPr>
        <w:pStyle w:val="7"/>
        <w:spacing w:line="300" w:lineRule="auto"/>
        <w:ind w:firstLine="420"/>
      </w:pPr>
      <w:r>
        <w:t>- 创新点（单一、可讲清）：</w:t>
      </w:r>
      <w:r>
        <w:rPr>
          <w:b/>
        </w:rPr>
        <w:t>"决策闭环 + 刻度校准"的可解释仓位推导</w:t>
      </w:r>
      <w:r>
        <w:t>——相对"只展示型平台"提供决策，相对"黑箱决策型系统"提供可解释与可自纠偏。</w:t>
      </w:r>
    </w:p>
    <w:p w14:paraId="6A9F70C5">
      <w:pPr>
        <w:pStyle w:val="3"/>
      </w:pPr>
      <w:bookmarkStart w:id="13" w:name="_Toc3743"/>
      <w:r>
        <w:t>1.4 论文组织结构</w:t>
      </w:r>
      <w:bookmarkEnd w:id="13"/>
    </w:p>
    <w:p w14:paraId="7FAA992A">
      <w:pPr>
        <w:pStyle w:val="7"/>
        <w:spacing w:line="300" w:lineRule="auto"/>
        <w:ind w:firstLine="420"/>
      </w:pPr>
      <w:r>
        <w:t>第 1 章绪论；第 2 章相关技术；第 3 章需求与总体设计；第 4 章平台核心模块实现（含分层架构、并发工程与安全基线）；第 5 章创新点（决策闭环与刻度校准）；第 6 章系统测试与评估；第 7 章总结与展望；第 8 章参考文献/致谢/附录。</w:t>
      </w:r>
    </w:p>
    <w:p w14:paraId="303D8705">
      <w:pPr>
        <w:pStyle w:val="2"/>
      </w:pPr>
      <w:bookmarkStart w:id="14" w:name="_Toc4174"/>
      <w:r>
        <w:t>2 相关技术与理论基础</w:t>
      </w:r>
      <w:bookmarkEnd w:id="14"/>
    </w:p>
    <w:p w14:paraId="062F88F2">
      <w:pPr>
        <w:pStyle w:val="3"/>
      </w:pPr>
      <w:bookmarkStart w:id="15" w:name="_Toc13533"/>
      <w:r>
        <w:t>2.1 技术栈</w:t>
      </w:r>
      <w:bookmarkEnd w:id="15"/>
    </w:p>
    <w:p w14:paraId="363FCE65">
      <w:pPr>
        <w:pStyle w:val="7"/>
        <w:spacing w:line="300" w:lineRule="auto"/>
        <w:ind w:firstLine="420"/>
      </w:pPr>
      <w:r>
        <w:t>- Python 3.13：主语言（</w:t>
      </w:r>
      <w:r>
        <w:rPr>
          <w:rFonts w:ascii="Courier New" w:hAnsi="Courier New"/>
        </w:rPr>
        <w:t>pyproject.toml</w:t>
      </w:r>
      <w:r>
        <w:t xml:space="preserve"> 与 CI 均锁定 3.13）。</w:t>
      </w:r>
    </w:p>
    <w:p w14:paraId="7253F123">
      <w:pPr>
        <w:pStyle w:val="7"/>
        <w:spacing w:line="300" w:lineRule="auto"/>
        <w:ind w:firstLine="420"/>
      </w:pPr>
      <w:r>
        <w:t xml:space="preserve">- </w:t>
      </w:r>
      <w:r>
        <w:rPr>
          <w:b/>
        </w:rPr>
        <w:t>Streamlit</w:t>
      </w:r>
      <w:r>
        <w:t>：构建多页分析前端（</w:t>
      </w:r>
      <w:r>
        <w:rPr>
          <w:rFonts w:ascii="Courier New" w:hAnsi="Courier New"/>
        </w:rPr>
        <w:t>app.py</w:t>
      </w:r>
      <w:r>
        <w:t xml:space="preserve"> + </w:t>
      </w:r>
      <w:r>
        <w:rPr>
          <w:rFonts w:ascii="Courier New" w:hAnsi="Courier New"/>
        </w:rPr>
        <w:t>pages/</w:t>
      </w:r>
      <w:r>
        <w:t>，共 41 个页面文件）。</w:t>
      </w:r>
    </w:p>
    <w:p w14:paraId="0EC0EAED">
      <w:pPr>
        <w:pStyle w:val="7"/>
        <w:spacing w:line="300" w:lineRule="auto"/>
        <w:ind w:firstLine="420"/>
      </w:pPr>
      <w:r>
        <w:t xml:space="preserve">- </w:t>
      </w:r>
      <w:r>
        <w:rPr>
          <w:b/>
        </w:rPr>
        <w:t>Flask + SQLAlchemy + PyJWT</w:t>
      </w:r>
      <w:r>
        <w:t>：5050 端口统一 JSON 后端与鉴权，采用工厂模式构造应用。</w:t>
      </w:r>
    </w:p>
    <w:p w14:paraId="1A5A4C44">
      <w:pPr>
        <w:pStyle w:val="7"/>
        <w:spacing w:line="300" w:lineRule="auto"/>
        <w:ind w:firstLine="420"/>
      </w:pPr>
      <w:r>
        <w:t xml:space="preserve">- </w:t>
      </w:r>
      <w:r>
        <w:rPr>
          <w:b/>
        </w:rPr>
        <w:t>SQLite</w:t>
      </w:r>
      <w:r>
        <w:t>：轻量本地落盘（决策快照、预测记录、梯队/情绪表），不引入独立数据库服务。</w:t>
      </w:r>
    </w:p>
    <w:p w14:paraId="7C736895">
      <w:pPr>
        <w:pStyle w:val="7"/>
        <w:spacing w:line="300" w:lineRule="auto"/>
        <w:ind w:firstLine="420"/>
      </w:pPr>
      <w:r>
        <w:t xml:space="preserve">- </w:t>
      </w:r>
      <w:r>
        <w:rPr>
          <w:b/>
        </w:rPr>
        <w:t>AKShare / Tushare / BaoStock / 新浪 / 东方财富</w:t>
      </w:r>
      <w:r>
        <w:t>：多源行情与基本面数据，带五级降级链（akshare→BaoStock→新浪→东财→本地缓存）；各库官方文档（见第 8 章 [13][14][15] 等）为本系统数据接入提供了 API 依据。</w:t>
      </w:r>
    </w:p>
    <w:p w14:paraId="58DC55DD">
      <w:pPr>
        <w:pStyle w:val="3"/>
      </w:pPr>
      <w:bookmarkStart w:id="16" w:name="_Toc18314"/>
      <w:r>
        <w:t>2.2 事件驱动架构（EDA）概念</w:t>
      </w:r>
      <w:bookmarkEnd w:id="16"/>
    </w:p>
    <w:p w14:paraId="0FDD9A0C">
      <w:pPr>
        <w:pStyle w:val="7"/>
        <w:spacing w:line="300" w:lineRule="auto"/>
        <w:ind w:firstLine="420"/>
      </w:pPr>
      <w:r>
        <w:t>事件驱动架构以"事件产生—事件分发—事件处理—信号/动作"为主线。映射到本系统：公告/板块异动/连板梯队晋升作为</w:t>
      </w:r>
      <w:r>
        <w:rPr>
          <w:b/>
        </w:rPr>
        <w:t>事件源</w:t>
      </w:r>
      <w:r>
        <w:t xml:space="preserve">，经 </w:t>
      </w:r>
      <w:r>
        <w:rPr>
          <w:rFonts w:ascii="Courier New" w:hAnsi="Courier New"/>
        </w:rPr>
        <w:t>event_factor</w:t>
      </w:r>
      <w:r>
        <w:t>、梯队递推生成</w:t>
      </w:r>
      <w:r>
        <w:rPr>
          <w:b/>
        </w:rPr>
        <w:t>信号</w:t>
      </w:r>
      <w:r>
        <w:t xml:space="preserve">，再汇入 </w:t>
      </w:r>
      <w:r>
        <w:rPr>
          <w:rFonts w:ascii="Courier New" w:hAnsi="Courier New"/>
        </w:rPr>
        <w:t>decision</w:t>
      </w:r>
      <w:r>
        <w:t xml:space="preserve"> 模块形成</w:t>
      </w:r>
      <w:r>
        <w:rPr>
          <w:b/>
        </w:rPr>
        <w:t>决策</w:t>
      </w:r>
      <w:r>
        <w:t>。相比请求—响应式，EDA 更适配"多源异步信号汇聚为统一决策"的场景，也便于把"决策"显式建模为事件处理的结果而非散落在各页面的临时判断。</w:t>
      </w:r>
    </w:p>
    <w:p w14:paraId="007DCC3F">
      <w:pPr>
        <w:pStyle w:val="3"/>
      </w:pPr>
      <w:bookmarkStart w:id="17" w:name="_Toc22252"/>
      <w:r>
        <w:t>2.3 回测与成本模型</w:t>
      </w:r>
      <w:bookmarkEnd w:id="17"/>
    </w:p>
    <w:p w14:paraId="7F0A2E57">
      <w:pPr>
        <w:pStyle w:val="7"/>
        <w:spacing w:line="300" w:lineRule="auto"/>
        <w:ind w:firstLine="420"/>
      </w:pPr>
      <w:r>
        <w:t>本系统回测引擎（</w:t>
      </w:r>
      <w:r>
        <w:rPr>
          <w:rFonts w:ascii="Courier New" w:hAnsi="Courier New"/>
        </w:rPr>
        <w:t>modules/backtest.py</w:t>
      </w:r>
      <w:r>
        <w:t>，约 1532 行）内置真实交易成本模型，是评估策略与验证决策可信度的基石：</w:t>
      </w:r>
    </w:p>
    <w:p w14:paraId="6CF9CDE4">
      <w:pPr>
        <w:pStyle w:val="7"/>
        <w:spacing w:line="300" w:lineRule="auto"/>
        <w:ind w:firstLine="420"/>
      </w:pPr>
      <w:r>
        <w:t xml:space="preserve">- 单边佣金 </w:t>
      </w:r>
      <w:r>
        <w:rPr>
          <w:rFonts w:ascii="Courier New" w:hAnsi="Courier New"/>
        </w:rPr>
        <w:t>commission = 0.001</w:t>
      </w:r>
      <w:r>
        <w:t>（万三）；</w:t>
      </w:r>
    </w:p>
    <w:p w14:paraId="66486784">
      <w:pPr>
        <w:pStyle w:val="7"/>
        <w:spacing w:line="300" w:lineRule="auto"/>
        <w:ind w:firstLine="420"/>
      </w:pPr>
      <w:r>
        <w:t xml:space="preserve">- 滑点 </w:t>
      </w:r>
      <w:r>
        <w:rPr>
          <w:rFonts w:ascii="Courier New" w:hAnsi="Courier New"/>
        </w:rPr>
        <w:t>slippage_pct = 0.001</w:t>
      </w:r>
      <w:r>
        <w:t>（0.1%）；</w:t>
      </w:r>
    </w:p>
    <w:p w14:paraId="6CBC3B54">
      <w:pPr>
        <w:pStyle w:val="7"/>
        <w:spacing w:line="300" w:lineRule="auto"/>
        <w:ind w:firstLine="420"/>
      </w:pPr>
      <w:r>
        <w:t xml:space="preserve">- 印花税 </w:t>
      </w:r>
      <w:r>
        <w:rPr>
          <w:rFonts w:ascii="Courier New" w:hAnsi="Courier New"/>
        </w:rPr>
        <w:t>stamp_tax_pct = 0.001</w:t>
      </w:r>
      <w:r>
        <w:t>（千一），</w:t>
      </w:r>
      <w:r>
        <w:rPr>
          <w:b/>
        </w:rPr>
        <w:t>仅卖出侧扣除</w:t>
      </w:r>
      <w:r>
        <w:t>。</w:t>
      </w:r>
    </w:p>
    <w:p w14:paraId="65FF8570">
      <w:pPr>
        <w:pStyle w:val="7"/>
        <w:spacing w:line="300" w:lineRule="auto"/>
        <w:ind w:firstLine="420"/>
      </w:pPr>
      <w:r>
        <w:t xml:space="preserve">- 买入成本 ≈ </w:t>
      </w:r>
      <w:r>
        <w:rPr>
          <w:rFonts w:ascii="Courier New" w:hAnsi="Courier New"/>
        </w:rPr>
        <w:t>price × (1 + slippage + commission)</w:t>
      </w:r>
      <w:r>
        <w:t xml:space="preserve">；卖出收入 ≈ </w:t>
      </w:r>
      <w:r>
        <w:rPr>
          <w:rFonts w:ascii="Courier New" w:hAnsi="Courier New"/>
        </w:rPr>
        <w:t>position × price × (1 − slippage) × (1 − commission − stamp_tax)</w:t>
      </w:r>
      <w:r>
        <w:t>。</w:t>
      </w:r>
    </w:p>
    <w:p w14:paraId="64E2F4C4">
      <w:pPr>
        <w:pStyle w:val="7"/>
        <w:spacing w:line="300" w:lineRule="auto"/>
        <w:ind w:firstLine="420"/>
      </w:pPr>
      <w:r>
        <w:t>- 支持策略：</w:t>
      </w:r>
      <w:r>
        <w:rPr>
          <w:rFonts w:ascii="Courier New" w:hAnsi="Courier New"/>
        </w:rPr>
        <w:t>multi_factor</w:t>
      </w:r>
      <w:r>
        <w:t xml:space="preserve"> / </w:t>
      </w:r>
      <w:r>
        <w:rPr>
          <w:rFonts w:ascii="Courier New" w:hAnsi="Courier New"/>
        </w:rPr>
        <w:t>ma_cross</w:t>
      </w:r>
      <w:r>
        <w:t xml:space="preserve"> / </w:t>
      </w:r>
      <w:r>
        <w:rPr>
          <w:rFonts w:ascii="Courier New" w:hAnsi="Courier New"/>
        </w:rPr>
        <w:t>event_driven</w:t>
      </w:r>
      <w:r>
        <w:t xml:space="preserve"> / </w:t>
      </w:r>
      <w:r>
        <w:rPr>
          <w:rFonts w:ascii="Courier New" w:hAnsi="Courier New"/>
        </w:rPr>
        <w:t>dual_trend</w:t>
      </w:r>
      <w:r>
        <w:t>；指标含 RSI / ATR / MACD / Bollinger / ADX。</w:t>
      </w:r>
    </w:p>
    <w:p w14:paraId="44D5B627">
      <w:pPr>
        <w:pStyle w:val="7"/>
        <w:spacing w:line="300" w:lineRule="auto"/>
        <w:ind w:firstLine="420"/>
      </w:pPr>
      <w:r>
        <w:t>成本模型真实扣除是回测可信的前提，也是第 6 章验证的对象。回测对真实交易成本的建模直接影响策略评价结论，Perold[12] 关于"实现缺口"（implementation shortfall）的讨论正说明了成本假设的重要性——省略滑点与印花税的回测往往高估策略收益，使评价结论失真。</w:t>
      </w:r>
    </w:p>
    <w:p w14:paraId="300B8549">
      <w:pPr>
        <w:pStyle w:val="3"/>
      </w:pPr>
      <w:bookmarkStart w:id="18" w:name="_Toc14647"/>
      <w:r>
        <w:t>2.4 仓位决策与评价方法</w:t>
      </w:r>
      <w:bookmarkEnd w:id="18"/>
    </w:p>
    <w:p w14:paraId="1F9D9303">
      <w:pPr>
        <w:pStyle w:val="7"/>
        <w:spacing w:line="300" w:lineRule="auto"/>
        <w:ind w:firstLine="420"/>
      </w:pPr>
      <w:r>
        <w:t xml:space="preserve">- </w:t>
      </w:r>
      <w:r>
        <w:rPr>
          <w:b/>
        </w:rPr>
        <w:t>可解释性</w:t>
      </w:r>
      <w:r>
        <w:t xml:space="preserve">：指决策依据对人类可读、可回溯。本系统以规则显式化 + </w:t>
      </w:r>
      <w:r>
        <w:rPr>
          <w:rFonts w:ascii="Courier New" w:hAnsi="Courier New"/>
        </w:rPr>
        <w:t>reasons</w:t>
      </w:r>
      <w:r>
        <w:t xml:space="preserve"> 逐条留痕实现（区别于 SHAP[9]、LIME[8] 等事后近似解释），其理论脉络见 1.2.3。</w:t>
      </w:r>
    </w:p>
    <w:p w14:paraId="1383763A">
      <w:pPr>
        <w:pStyle w:val="7"/>
        <w:spacing w:line="300" w:lineRule="auto"/>
        <w:ind w:firstLine="420"/>
      </w:pPr>
      <w:r>
        <w:t xml:space="preserve">- </w:t>
      </w:r>
      <w:r>
        <w:rPr>
          <w:b/>
        </w:rPr>
        <w:t>回测命中率</w:t>
      </w:r>
      <w:r>
        <w:t>：以"预测方向 vs 次日实际方向"衡量决策可信度，分周期/分组统计。</w:t>
      </w:r>
    </w:p>
    <w:p w14:paraId="2E40706C">
      <w:pPr>
        <w:pStyle w:val="7"/>
        <w:spacing w:line="300" w:lineRule="auto"/>
        <w:ind w:firstLine="420"/>
      </w:pPr>
      <w:r>
        <w:t xml:space="preserve">- </w:t>
      </w:r>
      <w:r>
        <w:rPr>
          <w:b/>
        </w:rPr>
        <w:t>校准（calibration）</w:t>
      </w:r>
      <w:r>
        <w:t>：本系统中指"按历史回测反推并修正各周期仓位刻度"（</w:t>
      </w:r>
      <w:r>
        <w:rPr>
          <w:rFonts w:ascii="Courier New" w:hAnsi="Courier New"/>
        </w:rPr>
        <w:t>CYCLE_ADJ</w:t>
      </w:r>
      <w:r>
        <w:t>），与统计学的"概率校准"[10][11] 概念相关但对象不同——前者修正规则参数、后者修正预测概率。写作时需明确区分二者，避免术语混用被答辩质疑。</w:t>
      </w:r>
    </w:p>
    <w:p w14:paraId="1D0D81FF">
      <w:pPr>
        <w:pStyle w:val="3"/>
      </w:pPr>
      <w:bookmarkStart w:id="19" w:name="_Toc27889"/>
      <w:r>
        <w:t>2.5 本章小结</w:t>
      </w:r>
      <w:bookmarkEnd w:id="19"/>
    </w:p>
    <w:p w14:paraId="51167B1A">
      <w:pPr>
        <w:pStyle w:val="7"/>
        <w:spacing w:line="300" w:lineRule="auto"/>
        <w:ind w:firstLine="420"/>
      </w:pPr>
      <w:r>
        <w:t>本章梳理了支撑平台实现的技术栈与理论基础：事件驱动架构为系统主线提供范式，真实成本模型为回测可信度提供保障，可解释性与校准的相关研究为第 5 章创新点提供对照坐标。下一章转入需求分析与总体设计。</w:t>
      </w:r>
    </w:p>
    <w:p w14:paraId="550968C5">
      <w:pPr>
        <w:pStyle w:val="2"/>
      </w:pPr>
      <w:bookmarkStart w:id="20" w:name="_Toc24102"/>
      <w:r>
        <w:t>3 系统需求分析与总体设计</w:t>
      </w:r>
      <w:bookmarkEnd w:id="20"/>
    </w:p>
    <w:p w14:paraId="58C7AA27">
      <w:pPr>
        <w:pStyle w:val="3"/>
      </w:pPr>
      <w:bookmarkStart w:id="21" w:name="_Toc20681"/>
      <w:r>
        <w:t>3.1 功能需求</w:t>
      </w:r>
      <w:bookmarkEnd w:id="21"/>
    </w:p>
    <w:p w14:paraId="177B2754"/>
    <w:tbl>
      <w:tblPr>
        <w:tblStyle w:val="20"/>
        <w:tblW w:w="0" w:type="auto"/>
        <w:tblInd w:w="0" w:type="dxa"/>
        <w:tblLayout w:type="autofit"/>
        <w:tblCellMar>
          <w:top w:w="0" w:type="dxa"/>
          <w:left w:w="108" w:type="dxa"/>
          <w:bottom w:w="0" w:type="dxa"/>
          <w:right w:w="108" w:type="dxa"/>
        </w:tblCellMar>
      </w:tblPr>
      <w:tblGrid>
        <w:gridCol w:w="3080"/>
        <w:gridCol w:w="3080"/>
        <w:gridCol w:w="3080"/>
      </w:tblGrid>
      <w:tr w14:paraId="176C9F94">
        <w:tblPrEx>
          <w:tblCellMar>
            <w:top w:w="0" w:type="dxa"/>
            <w:left w:w="108" w:type="dxa"/>
            <w:bottom w:w="0" w:type="dxa"/>
            <w:right w:w="108" w:type="dxa"/>
          </w:tblCellMar>
        </w:tblPrEx>
        <w:tc>
          <w:tcPr>
            <w:tcW w:w="3080" w:type="dxa"/>
          </w:tcPr>
          <w:p w14:paraId="77708AC7">
            <w:r>
              <w:rPr>
                <w:rFonts w:ascii="Times New Roman" w:hAnsi="Times New Roman" w:eastAsia="宋体"/>
                <w:sz w:val="21"/>
              </w:rPr>
              <w:t>功能</w:t>
            </w:r>
          </w:p>
        </w:tc>
        <w:tc>
          <w:tcPr>
            <w:tcW w:w="3080" w:type="dxa"/>
          </w:tcPr>
          <w:p w14:paraId="04706D2C">
            <w:r>
              <w:rPr>
                <w:rFonts w:ascii="Times New Roman" w:hAnsi="Times New Roman" w:eastAsia="宋体"/>
                <w:sz w:val="21"/>
              </w:rPr>
              <w:t>对应模块</w:t>
            </w:r>
          </w:p>
        </w:tc>
        <w:tc>
          <w:tcPr>
            <w:tcW w:w="3080" w:type="dxa"/>
          </w:tcPr>
          <w:p w14:paraId="6D70E969">
            <w:r>
              <w:rPr>
                <w:rFonts w:ascii="Times New Roman" w:hAnsi="Times New Roman" w:eastAsia="宋体"/>
                <w:sz w:val="21"/>
              </w:rPr>
              <w:t>优先级</w:t>
            </w:r>
          </w:p>
        </w:tc>
      </w:tr>
      <w:tr w14:paraId="2145BF58">
        <w:tblPrEx>
          <w:tblCellMar>
            <w:top w:w="0" w:type="dxa"/>
            <w:left w:w="108" w:type="dxa"/>
            <w:bottom w:w="0" w:type="dxa"/>
            <w:right w:w="108" w:type="dxa"/>
          </w:tblCellMar>
        </w:tblPrEx>
        <w:tc>
          <w:tcPr>
            <w:tcW w:w="3080" w:type="dxa"/>
          </w:tcPr>
          <w:p w14:paraId="6604EF4B">
            <w:r>
              <w:rPr>
                <w:rFonts w:ascii="Times New Roman" w:hAnsi="Times New Roman" w:eastAsia="宋体"/>
                <w:sz w:val="21"/>
              </w:rPr>
              <w:t>行情看板（K线/技术面/均线/动量/量能/形态）</w:t>
            </w:r>
          </w:p>
        </w:tc>
        <w:tc>
          <w:tcPr>
            <w:tcW w:w="3080" w:type="dxa"/>
          </w:tcPr>
          <w:p w14:paraId="5FD85AE1">
            <w:r>
              <w:rPr>
                <w:rFonts w:ascii="Times New Roman" w:hAnsi="Times New Roman" w:eastAsia="宋体"/>
                <w:sz w:val="21"/>
              </w:rPr>
              <w:t>`modules/` 行情页、`colors.py`（A股红涨绿跌）</w:t>
            </w:r>
          </w:p>
        </w:tc>
        <w:tc>
          <w:tcPr>
            <w:tcW w:w="3080" w:type="dxa"/>
          </w:tcPr>
          <w:p w14:paraId="6BEA4C2B">
            <w:r>
              <w:rPr>
                <w:rFonts w:ascii="Times New Roman" w:hAnsi="Times New Roman" w:eastAsia="宋体"/>
                <w:sz w:val="21"/>
              </w:rPr>
              <w:t>高</w:t>
            </w:r>
          </w:p>
        </w:tc>
      </w:tr>
      <w:tr w14:paraId="450638AE">
        <w:tblPrEx>
          <w:tblCellMar>
            <w:top w:w="0" w:type="dxa"/>
            <w:left w:w="108" w:type="dxa"/>
            <w:bottom w:w="0" w:type="dxa"/>
            <w:right w:w="108" w:type="dxa"/>
          </w:tblCellMar>
        </w:tblPrEx>
        <w:tc>
          <w:tcPr>
            <w:tcW w:w="3080" w:type="dxa"/>
          </w:tcPr>
          <w:p w14:paraId="0C7A356B">
            <w:r>
              <w:rPr>
                <w:rFonts w:ascii="Times New Roman" w:hAnsi="Times New Roman" w:eastAsia="宋体"/>
                <w:sz w:val="21"/>
              </w:rPr>
              <w:t>事件追踪与板块详情</w:t>
            </w:r>
          </w:p>
        </w:tc>
        <w:tc>
          <w:tcPr>
            <w:tcW w:w="3080" w:type="dxa"/>
          </w:tcPr>
          <w:p w14:paraId="5D433497">
            <w:r>
              <w:rPr>
                <w:rFonts w:ascii="Times New Roman" w:hAnsi="Times New Roman" w:eastAsia="宋体"/>
                <w:sz w:val="21"/>
              </w:rPr>
              <w:t>事件/板块页、`event_factor`</w:t>
            </w:r>
          </w:p>
        </w:tc>
        <w:tc>
          <w:tcPr>
            <w:tcW w:w="3080" w:type="dxa"/>
          </w:tcPr>
          <w:p w14:paraId="4E9123F0">
            <w:r>
              <w:rPr>
                <w:rFonts w:ascii="Times New Roman" w:hAnsi="Times New Roman" w:eastAsia="宋体"/>
                <w:sz w:val="21"/>
              </w:rPr>
              <w:t>高</w:t>
            </w:r>
          </w:p>
        </w:tc>
      </w:tr>
      <w:tr w14:paraId="79EE792E">
        <w:tblPrEx>
          <w:tblCellMar>
            <w:top w:w="0" w:type="dxa"/>
            <w:left w:w="108" w:type="dxa"/>
            <w:bottom w:w="0" w:type="dxa"/>
            <w:right w:w="108" w:type="dxa"/>
          </w:tblCellMar>
        </w:tblPrEx>
        <w:tc>
          <w:tcPr>
            <w:tcW w:w="3080" w:type="dxa"/>
          </w:tcPr>
          <w:p w14:paraId="7B28D16E">
            <w:r>
              <w:rPr>
                <w:rFonts w:ascii="Times New Roman" w:hAnsi="Times New Roman" w:eastAsia="宋体"/>
                <w:sz w:val="21"/>
              </w:rPr>
              <w:t>策略回测</w:t>
            </w:r>
          </w:p>
        </w:tc>
        <w:tc>
          <w:tcPr>
            <w:tcW w:w="3080" w:type="dxa"/>
          </w:tcPr>
          <w:p w14:paraId="66F93BE3">
            <w:r>
              <w:rPr>
                <w:rFonts w:ascii="Times New Roman" w:hAnsi="Times New Roman" w:eastAsia="宋体"/>
                <w:sz w:val="21"/>
              </w:rPr>
              <w:t>`backtest.py`（含成本模型、批量回测并行）</w:t>
            </w:r>
          </w:p>
        </w:tc>
        <w:tc>
          <w:tcPr>
            <w:tcW w:w="3080" w:type="dxa"/>
          </w:tcPr>
          <w:p w14:paraId="308F6972">
            <w:r>
              <w:rPr>
                <w:rFonts w:ascii="Times New Roman" w:hAnsi="Times New Roman" w:eastAsia="宋体"/>
                <w:sz w:val="21"/>
              </w:rPr>
              <w:t>高</w:t>
            </w:r>
          </w:p>
        </w:tc>
      </w:tr>
      <w:tr w14:paraId="134598BD">
        <w:tblPrEx>
          <w:tblCellMar>
            <w:top w:w="0" w:type="dxa"/>
            <w:left w:w="108" w:type="dxa"/>
            <w:bottom w:w="0" w:type="dxa"/>
            <w:right w:w="108" w:type="dxa"/>
          </w:tblCellMar>
        </w:tblPrEx>
        <w:tc>
          <w:tcPr>
            <w:tcW w:w="3080" w:type="dxa"/>
          </w:tcPr>
          <w:p w14:paraId="69EDF7C3">
            <w:r>
              <w:rPr>
                <w:rFonts w:ascii="Times New Roman" w:hAnsi="Times New Roman" w:eastAsia="宋体"/>
                <w:sz w:val="21"/>
              </w:rPr>
              <w:t>持仓管理与多源治理</w:t>
            </w:r>
          </w:p>
        </w:tc>
        <w:tc>
          <w:tcPr>
            <w:tcW w:w="3080" w:type="dxa"/>
          </w:tcPr>
          <w:p w14:paraId="5214413F">
            <w:r>
              <w:rPr>
                <w:rFonts w:ascii="Times New Roman" w:hAnsi="Times New Roman" w:eastAsia="宋体"/>
                <w:sz w:val="21"/>
              </w:rPr>
              <w:t>`fetcher.py` 降级链、`mark_suspect`</w:t>
            </w:r>
          </w:p>
        </w:tc>
        <w:tc>
          <w:tcPr>
            <w:tcW w:w="3080" w:type="dxa"/>
          </w:tcPr>
          <w:p w14:paraId="255DE35D">
            <w:r>
              <w:rPr>
                <w:rFonts w:ascii="Times New Roman" w:hAnsi="Times New Roman" w:eastAsia="宋体"/>
                <w:sz w:val="21"/>
              </w:rPr>
              <w:t>中</w:t>
            </w:r>
          </w:p>
        </w:tc>
      </w:tr>
      <w:tr w14:paraId="5FF34F2E">
        <w:tblPrEx>
          <w:tblCellMar>
            <w:top w:w="0" w:type="dxa"/>
            <w:left w:w="108" w:type="dxa"/>
            <w:bottom w:w="0" w:type="dxa"/>
            <w:right w:w="108" w:type="dxa"/>
          </w:tblCellMar>
        </w:tblPrEx>
        <w:tc>
          <w:tcPr>
            <w:tcW w:w="3080" w:type="dxa"/>
          </w:tcPr>
          <w:p w14:paraId="4BC29A54">
            <w:r>
              <w:rPr>
                <w:rFonts w:ascii="Times New Roman" w:hAnsi="Times New Roman" w:eastAsia="宋体"/>
                <w:sz w:val="21"/>
              </w:rPr>
              <w:t>个股分析与多股对比（≥5 只）</w:t>
            </w:r>
          </w:p>
        </w:tc>
        <w:tc>
          <w:tcPr>
            <w:tcW w:w="3080" w:type="dxa"/>
          </w:tcPr>
          <w:p w14:paraId="417B821D">
            <w:r>
              <w:rPr>
                <w:rFonts w:ascii="Times New Roman" w:hAnsi="Times New Roman" w:eastAsia="宋体"/>
                <w:sz w:val="21"/>
              </w:rPr>
              <w:t>`2_个股分析.py`、`compare.py`</w:t>
            </w:r>
          </w:p>
        </w:tc>
        <w:tc>
          <w:tcPr>
            <w:tcW w:w="3080" w:type="dxa"/>
          </w:tcPr>
          <w:p w14:paraId="4A4BC360">
            <w:r>
              <w:rPr>
                <w:rFonts w:ascii="Times New Roman" w:hAnsi="Times New Roman" w:eastAsia="宋体"/>
                <w:sz w:val="21"/>
              </w:rPr>
              <w:t>中</w:t>
            </w:r>
          </w:p>
        </w:tc>
      </w:tr>
      <w:tr w14:paraId="1524EE23">
        <w:tblPrEx>
          <w:tblCellMar>
            <w:top w:w="0" w:type="dxa"/>
            <w:left w:w="108" w:type="dxa"/>
            <w:bottom w:w="0" w:type="dxa"/>
            <w:right w:w="108" w:type="dxa"/>
          </w:tblCellMar>
        </w:tblPrEx>
        <w:tc>
          <w:tcPr>
            <w:tcW w:w="3080" w:type="dxa"/>
          </w:tcPr>
          <w:p w14:paraId="58C7094E">
            <w:r>
              <w:rPr>
                <w:rFonts w:ascii="Times New Roman" w:hAnsi="Times New Roman" w:eastAsia="宋体"/>
                <w:sz w:val="21"/>
              </w:rPr>
              <w:t>决策面板（创新点载体）</w:t>
            </w:r>
          </w:p>
        </w:tc>
        <w:tc>
          <w:tcPr>
            <w:tcW w:w="3080" w:type="dxa"/>
          </w:tcPr>
          <w:p w14:paraId="492519A7">
            <w:r>
              <w:rPr>
                <w:rFonts w:ascii="Times New Roman" w:hAnsi="Times New Roman" w:eastAsia="宋体"/>
                <w:sz w:val="21"/>
              </w:rPr>
              <w:t>`decision.py` / `calibration.py` / `decision_track.py`</w:t>
            </w:r>
          </w:p>
        </w:tc>
        <w:tc>
          <w:tcPr>
            <w:tcW w:w="3080" w:type="dxa"/>
          </w:tcPr>
          <w:p w14:paraId="16D230BE">
            <w:r>
              <w:rPr>
                <w:rFonts w:ascii="Times New Roman" w:hAnsi="Times New Roman" w:eastAsia="宋体"/>
                <w:sz w:val="21"/>
              </w:rPr>
              <w:t>高</w:t>
            </w:r>
          </w:p>
        </w:tc>
      </w:tr>
      <w:tr w14:paraId="64678876">
        <w:tblPrEx>
          <w:tblCellMar>
            <w:top w:w="0" w:type="dxa"/>
            <w:left w:w="108" w:type="dxa"/>
            <w:bottom w:w="0" w:type="dxa"/>
            <w:right w:w="108" w:type="dxa"/>
          </w:tblCellMar>
        </w:tblPrEx>
        <w:tc>
          <w:tcPr>
            <w:tcW w:w="3080" w:type="dxa"/>
          </w:tcPr>
          <w:p w14:paraId="5CD7A24C">
            <w:r>
              <w:rPr>
                <w:rFonts w:ascii="Times New Roman" w:hAnsi="Times New Roman" w:eastAsia="宋体"/>
                <w:sz w:val="21"/>
              </w:rPr>
              <w:t>市场情绪与连板梯队</w:t>
            </w:r>
          </w:p>
        </w:tc>
        <w:tc>
          <w:tcPr>
            <w:tcW w:w="3080" w:type="dxa"/>
          </w:tcPr>
          <w:p w14:paraId="0077F6A8">
            <w:r>
              <w:rPr>
                <w:rFonts w:ascii="Times New Roman" w:hAnsi="Times New Roman" w:eastAsia="宋体"/>
                <w:sz w:val="21"/>
              </w:rPr>
              <w:t>牧羊人 8 项指标、`shepherd_ladder`</w:t>
            </w:r>
          </w:p>
        </w:tc>
        <w:tc>
          <w:tcPr>
            <w:tcW w:w="3080" w:type="dxa"/>
          </w:tcPr>
          <w:p w14:paraId="6B0E2816">
            <w:r>
              <w:rPr>
                <w:rFonts w:ascii="Times New Roman" w:hAnsi="Times New Roman" w:eastAsia="宋体"/>
                <w:sz w:val="21"/>
              </w:rPr>
              <w:t>中</w:t>
            </w:r>
          </w:p>
        </w:tc>
      </w:tr>
    </w:tbl>
    <w:p w14:paraId="0E63641B">
      <w:pPr>
        <w:pStyle w:val="3"/>
      </w:pPr>
      <w:bookmarkStart w:id="22" w:name="_Toc9157"/>
      <w:r>
        <w:t>3.2 非功能需求</w:t>
      </w:r>
      <w:bookmarkEnd w:id="22"/>
    </w:p>
    <w:p w14:paraId="27452605">
      <w:pPr>
        <w:pStyle w:val="7"/>
        <w:spacing w:line="300" w:lineRule="auto"/>
        <w:ind w:firstLine="420"/>
      </w:pPr>
      <w:r>
        <w:t>- 实时性：多源 fallback + 有界线程池（</w:t>
      </w:r>
      <w:r>
        <w:rPr>
          <w:rFonts w:ascii="Courier New" w:hAnsi="Courier New"/>
        </w:rPr>
        <w:t>timeout_exec._POOL</w:t>
      </w:r>
      <w:r>
        <w:t>，16  worker）避免线程泄漏与单源卡死拖垮整页；</w:t>
      </w:r>
    </w:p>
    <w:p w14:paraId="0469A355">
      <w:pPr>
        <w:pStyle w:val="7"/>
        <w:spacing w:line="300" w:lineRule="auto"/>
        <w:ind w:firstLine="420"/>
      </w:pPr>
      <w:r>
        <w:t>- 可维护性：单源配置（</w:t>
      </w:r>
      <w:r>
        <w:rPr>
          <w:rFonts w:ascii="Courier New" w:hAnsi="Courier New"/>
        </w:rPr>
        <w:t>site_config</w:t>
      </w:r>
      <w:r>
        <w:t>）、统一渲染（</w:t>
      </w:r>
      <w:r>
        <w:rPr>
          <w:rFonts w:ascii="Courier New" w:hAnsi="Courier New"/>
        </w:rPr>
        <w:t>page_utils.render_standard_page</w:t>
      </w:r>
      <w:r>
        <w:t>）、首帧主题注入（</w:t>
      </w:r>
      <w:r>
        <w:rPr>
          <w:rFonts w:ascii="Courier New" w:hAnsi="Courier New"/>
        </w:rPr>
        <w:t>apply_page_config</w:t>
      </w:r>
      <w:r>
        <w:t>）使页面改造可复用、样式行为一致；</w:t>
      </w:r>
    </w:p>
    <w:p w14:paraId="0CC3CE8F">
      <w:pPr>
        <w:pStyle w:val="7"/>
        <w:spacing w:line="300" w:lineRule="auto"/>
        <w:ind w:firstLine="420"/>
      </w:pPr>
      <w:r>
        <w:t>- 安全性：统一 JSON 信封、异常脱敏、HS256 鉴权、抗枚举与防注入构成可被测试锁死的基线；</w:t>
      </w:r>
    </w:p>
    <w:p w14:paraId="1193EB28">
      <w:pPr>
        <w:pStyle w:val="7"/>
        <w:spacing w:line="300" w:lineRule="auto"/>
        <w:ind w:firstLine="420"/>
      </w:pPr>
      <w:r>
        <w:t>- 可观测：决策落盘（</w:t>
      </w:r>
      <w:r>
        <w:rPr>
          <w:rFonts w:ascii="Courier New" w:hAnsi="Courier New"/>
        </w:rPr>
        <w:t>daily_snapshot</w:t>
      </w:r>
      <w:r>
        <w:t>）+ 预测追踪（</w:t>
      </w:r>
      <w:r>
        <w:rPr>
          <w:rFonts w:ascii="Courier New" w:hAnsi="Courier New"/>
        </w:rPr>
        <w:t>prediction_log</w:t>
      </w:r>
      <w:r>
        <w:t>）使系统行为可追溯、可复盘。</w:t>
      </w:r>
    </w:p>
    <w:p w14:paraId="179EFDA3">
      <w:pPr>
        <w:pStyle w:val="3"/>
      </w:pPr>
      <w:bookmarkStart w:id="23" w:name="_Toc28947"/>
      <w:r>
        <w:t>3.3 总体架构</w:t>
      </w:r>
      <w:bookmarkEnd w:id="23"/>
    </w:p>
    <w:p w14:paraId="7CA49DAD">
      <w:pPr>
        <w:pStyle w:val="7"/>
        <w:spacing w:line="300" w:lineRule="auto"/>
        <w:ind w:firstLine="420"/>
      </w:pPr>
      <w:r>
        <w:t>系统采用</w:t>
      </w:r>
      <w:r>
        <w:rPr>
          <w:b/>
        </w:rPr>
        <w:t>前后端分离 + 轻量数据层</w:t>
      </w:r>
      <w:r>
        <w:t>的结构，自上而下分为四层，层间只通过约定的数据契约通信：</w:t>
      </w:r>
    </w:p>
    <w:p w14:paraId="081AFE34">
      <w:pPr>
        <w:pStyle w:val="7"/>
        <w:spacing w:line="300" w:lineRule="auto"/>
        <w:ind w:firstLine="420"/>
      </w:pPr>
      <w:r>
        <w:t xml:space="preserve">- </w:t>
      </w:r>
      <w:r>
        <w:rPr>
          <w:b/>
        </w:rPr>
        <w:t>前端层</w:t>
      </w:r>
      <w:r>
        <w:t>：Streamlit 多页应用（</w:t>
      </w:r>
      <w:r>
        <w:rPr>
          <w:rFonts w:ascii="Courier New" w:hAnsi="Courier New"/>
        </w:rPr>
        <w:t>app.py</w:t>
      </w:r>
      <w:r>
        <w:t xml:space="preserve"> + </w:t>
      </w:r>
      <w:r>
        <w:rPr>
          <w:rFonts w:ascii="Courier New" w:hAnsi="Courier New"/>
        </w:rPr>
        <w:t>pages/</w:t>
      </w:r>
      <w:r>
        <w:t xml:space="preserve">，41 个页面），所有页面经 </w:t>
      </w:r>
      <w:r>
        <w:rPr>
          <w:rFonts w:ascii="Courier New" w:hAnsi="Courier New"/>
        </w:rPr>
        <w:t>render_standard_page</w:t>
      </w:r>
      <w:r>
        <w:t xml:space="preserve"> 统一渲染，首帧主题由 </w:t>
      </w:r>
      <w:r>
        <w:rPr>
          <w:rFonts w:ascii="Courier New" w:hAnsi="Courier New"/>
        </w:rPr>
        <w:t>apply_page_config</w:t>
      </w:r>
      <w:r>
        <w:t xml:space="preserve"> 注入，避免首屏无样式。</w:t>
      </w:r>
    </w:p>
    <w:p w14:paraId="7F03CED6">
      <w:pPr>
        <w:pStyle w:val="7"/>
        <w:spacing w:line="300" w:lineRule="auto"/>
        <w:ind w:firstLine="420"/>
      </w:pPr>
      <w:r>
        <w:t xml:space="preserve">- </w:t>
      </w:r>
      <w:r>
        <w:rPr>
          <w:b/>
        </w:rPr>
        <w:t>后端层</w:t>
      </w:r>
      <w:r>
        <w:t>：Flask 工厂应用（</w:t>
      </w:r>
      <w:r>
        <w:rPr>
          <w:rFonts w:ascii="Courier New" w:hAnsi="Courier New"/>
        </w:rPr>
        <w:t>create_app</w:t>
      </w:r>
      <w:r>
        <w:t>，监听 5050），注册 13 个业务蓝图，以三个全局 errorhandler 把任意异常收敛为统一 JSON 信封。</w:t>
      </w:r>
    </w:p>
    <w:p w14:paraId="56C620B0">
      <w:pPr>
        <w:pStyle w:val="7"/>
        <w:spacing w:line="300" w:lineRule="auto"/>
        <w:ind w:firstLine="420"/>
      </w:pPr>
      <w:r>
        <w:t xml:space="preserve">- </w:t>
      </w:r>
      <w:r>
        <w:rPr>
          <w:b/>
        </w:rPr>
        <w:t>逻辑层</w:t>
      </w:r>
      <w:r>
        <w:t>：</w:t>
      </w:r>
      <w:r>
        <w:rPr>
          <w:rFonts w:ascii="Courier New" w:hAnsi="Courier New"/>
        </w:rPr>
        <w:t>modules/</w:t>
      </w:r>
      <w:r>
        <w:t xml:space="preserve"> 下 56 个不依赖 </w:t>
      </w:r>
      <w:r>
        <w:rPr>
          <w:rFonts w:ascii="Courier New" w:hAnsi="Courier New"/>
        </w:rPr>
        <w:t>streamlit</w:t>
      </w:r>
      <w:r>
        <w:t xml:space="preserve"> 的纯逻辑模块（决策/回测/取数/校准/梯队等），不感知 UI 框架，可独立编译与单测。</w:t>
      </w:r>
    </w:p>
    <w:p w14:paraId="7451DD15">
      <w:pPr>
        <w:pStyle w:val="7"/>
        <w:spacing w:line="300" w:lineRule="auto"/>
        <w:ind w:firstLine="420"/>
      </w:pPr>
      <w:r>
        <w:t xml:space="preserve">- </w:t>
      </w:r>
      <w:r>
        <w:rPr>
          <w:b/>
        </w:rPr>
        <w:t>数据层</w:t>
      </w:r>
      <w:r>
        <w:t xml:space="preserve">：SQLite 存于 </w:t>
      </w:r>
      <w:r>
        <w:rPr>
          <w:rFonts w:ascii="Courier New" w:hAnsi="Courier New"/>
        </w:rPr>
        <w:t>data/</w:t>
      </w:r>
      <w:r>
        <w:t>，承载决策快照、预测记录、梯队与情绪表；外部行情经 akshare / Tushare / BaoStock / 新浪 / 腾讯自选股（westock-mcp）多源取数并降级。</w:t>
      </w:r>
    </w:p>
    <w:p w14:paraId="4C5F7AB0">
      <w:pPr>
        <w:pStyle w:val="7"/>
        <w:spacing w:line="300" w:lineRule="auto"/>
        <w:ind w:firstLine="420"/>
      </w:pPr>
      <w:r>
        <w:t xml:space="preserve">前后端之间的契约是固定结构的 JSON 信封 </w:t>
      </w:r>
      <w:r>
        <w:rPr>
          <w:rFonts w:ascii="Courier New" w:hAnsi="Courier New"/>
        </w:rPr>
        <w:t>{"status","code","message","data"}</w:t>
      </w:r>
      <w:r>
        <w:t>：前端只消费该信封，后端只产出该信封，逻辑层完全置于契约之外。这一约束把"界面变更"与"算法变更"解耦——新增页面不必改动决策算法，替换数据源也不必改动前端，从而把维护成本限制在单一层内。</w:t>
      </w:r>
    </w:p>
    <w:p w14:paraId="0178C0F5">
      <w:pPr>
        <w:pStyle w:val="7"/>
        <w:spacing w:line="300" w:lineRule="auto"/>
        <w:ind w:firstLine="420"/>
      </w:pPr>
      <w:r>
        <w:t>图 3-1 给出四层结构与层间契约，箭头上标注的是各层唯一的通信方式：前端与后端之间只有 JSON 信封，逻辑层与数据层之间只有落盘读写，逻辑层到外部源之间只有取数与降级。</w:t>
      </w:r>
    </w:p>
    <w:p w14:paraId="0629C852">
      <w:pPr>
        <w:pStyle w:val="7"/>
        <w:jc w:val="center"/>
      </w:pPr>
      <w:r>
        <w:rPr>
          <w:rFonts w:ascii="Times New Roman" w:hAnsi="Times New Roman" w:eastAsia="宋体"/>
          <w:sz w:val="21"/>
        </w:rPr>
        <w:pict>
          <v:shape id="_x0000_i1026" o:spt="75" alt="fig_architecture" type="#_x0000_t75" style="height:273pt;width:462pt;" filled="f" o:preferrelative="t" stroked="f" coordsize="21600,21600">
            <v:path/>
            <v:fill on="f" focussize="0,0"/>
            <v:stroke on="f"/>
            <v:imagedata r:id="rId17" o:title=""/>
            <o:lock v:ext="edit" aspectratio="t"/>
            <w10:wrap type="none"/>
            <w10:anchorlock/>
          </v:shape>
        </w:pict>
      </w:r>
      <w:r>
        <w:rPr>
          <w:rFonts w:ascii="Times New Roman" w:hAnsi="Times New Roman" w:eastAsia="宋体"/>
          <w:sz w:val="21"/>
        </w:rPr>
        <w:t>图 3-1　StockSignal 系统总体架构图</w:t>
      </w:r>
    </w:p>
    <w:p w14:paraId="3EE47B07">
      <w:pPr>
        <w:pStyle w:val="3"/>
      </w:pPr>
      <w:bookmarkStart w:id="24" w:name="_Toc8598"/>
      <w:r>
        <w:t>3.4 数据库设计</w:t>
      </w:r>
      <w:bookmarkEnd w:id="24"/>
    </w:p>
    <w:p w14:paraId="018CA49C">
      <w:pPr>
        <w:pStyle w:val="7"/>
        <w:spacing w:line="300" w:lineRule="auto"/>
        <w:ind w:firstLine="420"/>
      </w:pPr>
      <w:r>
        <w:t>关键表/文件：</w:t>
      </w:r>
    </w:p>
    <w:p w14:paraId="0C492A1A">
      <w:pPr>
        <w:pStyle w:val="7"/>
        <w:spacing w:line="300" w:lineRule="auto"/>
        <w:ind w:firstLine="420"/>
      </w:pPr>
      <w:r>
        <w:t xml:space="preserve">- </w:t>
      </w:r>
      <w:r>
        <w:rPr>
          <w:rFonts w:ascii="Courier New" w:hAnsi="Courier New"/>
        </w:rPr>
        <w:t>daily_snapshot.json</w:t>
      </w:r>
      <w:r>
        <w:t>（最新决策，首页直读）：</w:t>
      </w:r>
      <w:r>
        <w:rPr>
          <w:rFonts w:ascii="Courier New" w:hAnsi="Courier New"/>
        </w:rPr>
        <w:t>date, temperature, cycle, score, bias, confidence, promo_overall, ladder, position{pct,band,color,reasons}, event_factor, indicators, signals, scenario</w:t>
      </w:r>
      <w:r>
        <w:t>；</w:t>
      </w:r>
    </w:p>
    <w:p w14:paraId="68EA3AC8">
      <w:pPr>
        <w:pStyle w:val="7"/>
        <w:spacing w:line="300" w:lineRule="auto"/>
        <w:ind w:firstLine="420"/>
      </w:pPr>
      <w:r>
        <w:t xml:space="preserve">- </w:t>
      </w:r>
      <w:r>
        <w:rPr>
          <w:rFonts w:ascii="Courier New" w:hAnsi="Courier New"/>
        </w:rPr>
        <w:t>snapshots/YYYY-MM-DD.json</w:t>
      </w:r>
      <w:r>
        <w:t>：每日归档（复盘/回测源）；</w:t>
      </w:r>
    </w:p>
    <w:p w14:paraId="3E7ADAE8">
      <w:pPr>
        <w:pStyle w:val="7"/>
        <w:spacing w:line="300" w:lineRule="auto"/>
        <w:ind w:firstLine="420"/>
      </w:pPr>
      <w:r>
        <w:t xml:space="preserve">- </w:t>
      </w:r>
      <w:r>
        <w:rPr>
          <w:rFonts w:ascii="Courier New" w:hAnsi="Courier New"/>
        </w:rPr>
        <w:t>prediction_log.json</w:t>
      </w:r>
      <w:r>
        <w:t>：预测 vs 实际对账记录（</w:t>
      </w:r>
      <w:r>
        <w:rPr>
          <w:rFonts w:ascii="Courier New" w:hAnsi="Courier New"/>
        </w:rPr>
        <w:t>date, temp, cycle, bias, pct, realized, hit</w:t>
      </w:r>
      <w:r>
        <w:t>）；</w:t>
      </w:r>
    </w:p>
    <w:p w14:paraId="13BF240C">
      <w:pPr>
        <w:pStyle w:val="7"/>
        <w:spacing w:line="300" w:lineRule="auto"/>
        <w:ind w:firstLine="420"/>
      </w:pPr>
      <w:r>
        <w:t>- 梯队/情绪/事件表：支撑 3.1 中对应功能。</w:t>
      </w:r>
    </w:p>
    <w:p w14:paraId="68CE6646">
      <w:pPr>
        <w:pStyle w:val="7"/>
        <w:spacing w:line="300" w:lineRule="auto"/>
        <w:ind w:firstLine="420"/>
      </w:pPr>
      <w:r>
        <w:t>三份产物按"最新 / 归档 / 对账"分工，彼此以日期为主键关联：</w:t>
      </w:r>
      <w:r>
        <w:rPr>
          <w:rFonts w:ascii="Courier New" w:hAnsi="Courier New"/>
        </w:rPr>
        <w:t>daily_snapshot.json</w:t>
      </w:r>
      <w:r>
        <w:t xml:space="preserve"> 是 </w:t>
      </w:r>
      <w:r>
        <w:rPr>
          <w:rFonts w:ascii="Courier New" w:hAnsi="Courier New"/>
        </w:rPr>
        <w:t>snapshots/</w:t>
      </w:r>
      <w:r>
        <w:t xml:space="preserve"> 中最后一份的副本，供首页零成本直读；</w:t>
      </w:r>
      <w:r>
        <w:rPr>
          <w:rFonts w:ascii="Courier New" w:hAnsi="Courier New"/>
        </w:rPr>
        <w:t>snapshots/YYYY-MM-DD.json</w:t>
      </w:r>
      <w:r>
        <w:t xml:space="preserve"> 是按天归档的不可变事实源，决策复盘与回测只认它；</w:t>
      </w:r>
      <w:r>
        <w:rPr>
          <w:rFonts w:ascii="Courier New" w:hAnsi="Courier New"/>
        </w:rPr>
        <w:t>prediction_log.json</w:t>
      </w:r>
      <w:r>
        <w:t xml:space="preserve"> 只存预测侧必要字段与次日回填的 </w:t>
      </w:r>
      <w:r>
        <w:rPr>
          <w:rFonts w:ascii="Courier New" w:hAnsi="Courier New"/>
        </w:rPr>
        <w:t>realized</w:t>
      </w:r>
      <w:r>
        <w:t>、</w:t>
      </w:r>
      <w:r>
        <w:rPr>
          <w:rFonts w:ascii="Courier New" w:hAnsi="Courier New"/>
        </w:rPr>
        <w:t>hit</w:t>
      </w:r>
      <w:r>
        <w:t>，不复制快照全集。这样拆分使"当天看什么"、"事后查什么"、"长期统什么"三条访问路径互不干扰，也避免单文件随样本增长而膨胀。图 3-2 给出三者及核心字段的关系。</w:t>
      </w:r>
    </w:p>
    <w:p w14:paraId="12B648F6">
      <w:pPr>
        <w:pStyle w:val="7"/>
        <w:jc w:val="center"/>
      </w:pPr>
      <w:r>
        <w:rPr>
          <w:rFonts w:ascii="Times New Roman" w:hAnsi="Times New Roman" w:eastAsia="宋体"/>
          <w:sz w:val="21"/>
        </w:rPr>
        <w:pict>
          <v:shape id="_x0000_i1027" o:spt="75" alt="fig_er" type="#_x0000_t75" style="height:252pt;width:462pt;" filled="f" o:preferrelative="t" stroked="f" coordsize="21600,21600">
            <v:path/>
            <v:fill on="f" focussize="0,0"/>
            <v:stroke on="f"/>
            <v:imagedata r:id="rId18" o:title=""/>
            <o:lock v:ext="edit" aspectratio="t"/>
            <w10:wrap type="none"/>
            <w10:anchorlock/>
          </v:shape>
        </w:pict>
      </w:r>
      <w:r>
        <w:rPr>
          <w:rFonts w:ascii="Times New Roman" w:hAnsi="Times New Roman" w:eastAsia="宋体"/>
          <w:sz w:val="21"/>
        </w:rPr>
        <w:t>图 3-2　决策数据核心实体关系图</w:t>
      </w:r>
    </w:p>
    <w:p w14:paraId="0D2EB35D">
      <w:pPr>
        <w:pStyle w:val="3"/>
      </w:pPr>
      <w:bookmarkStart w:id="25" w:name="_Toc17720"/>
      <w:r>
        <w:t>3.5 设计模式与关键质量属性</w:t>
      </w:r>
      <w:bookmarkEnd w:id="25"/>
    </w:p>
    <w:p w14:paraId="6BE4229E">
      <w:pPr>
        <w:pStyle w:val="7"/>
        <w:spacing w:line="300" w:lineRule="auto"/>
        <w:ind w:firstLine="420"/>
      </w:pPr>
      <w:r>
        <w:t>总体设计在多处借用了成熟的软件设计模式，使系统在不引入微服务复杂度的前提下保持低耦合并可演进：</w:t>
      </w:r>
    </w:p>
    <w:p w14:paraId="0A239AF5">
      <w:pPr>
        <w:pStyle w:val="7"/>
        <w:spacing w:line="300" w:lineRule="auto"/>
        <w:ind w:firstLine="420"/>
      </w:pPr>
      <w:r>
        <w:t xml:space="preserve">- </w:t>
      </w:r>
      <w:r>
        <w:rPr>
          <w:b/>
        </w:rPr>
        <w:t>工厂模式</w:t>
      </w:r>
      <w:r>
        <w:t>：</w:t>
      </w:r>
      <w:r>
        <w:rPr>
          <w:rFonts w:ascii="Courier New" w:hAnsi="Courier New"/>
        </w:rPr>
        <w:t>create_app</w:t>
      </w:r>
      <w:r>
        <w:t xml:space="preserve"> 集中构造 Flask 应用、注册蓝图与错误处理器，配置对象可注入，便于测试时切换。</w:t>
      </w:r>
    </w:p>
    <w:p w14:paraId="61F578DF">
      <w:pPr>
        <w:pStyle w:val="7"/>
        <w:spacing w:line="300" w:lineRule="auto"/>
        <w:ind w:firstLine="420"/>
      </w:pPr>
      <w:r>
        <w:t xml:space="preserve">- </w:t>
      </w:r>
      <w:r>
        <w:rPr>
          <w:b/>
        </w:rPr>
        <w:t>单例</w:t>
      </w:r>
      <w:r>
        <w:t xml:space="preserve">：共享线程池 </w:t>
      </w:r>
      <w:r>
        <w:rPr>
          <w:rFonts w:ascii="Courier New" w:hAnsi="Courier New"/>
        </w:rPr>
        <w:t>_POOL</w:t>
      </w:r>
      <w:r>
        <w:t xml:space="preserve"> 与策略注册表 </w:t>
      </w:r>
      <w:r>
        <w:rPr>
          <w:rFonts w:ascii="Courier New" w:hAnsi="Courier New"/>
        </w:rPr>
        <w:t>STRATEGY_REGISTRY</w:t>
      </w:r>
      <w:r>
        <w:t xml:space="preserve"> 均为进程内单例，前者避免线程泄漏，后者避免策略重复注册。</w:t>
      </w:r>
    </w:p>
    <w:p w14:paraId="10B1F46A">
      <w:pPr>
        <w:pStyle w:val="7"/>
        <w:spacing w:line="300" w:lineRule="auto"/>
        <w:ind w:firstLine="420"/>
      </w:pPr>
      <w:r>
        <w:t xml:space="preserve">- </w:t>
      </w:r>
      <w:r>
        <w:rPr>
          <w:b/>
        </w:rPr>
        <w:t>策略模式 / 注册表</w:t>
      </w:r>
      <w:r>
        <w:t>：</w:t>
      </w:r>
      <w:r>
        <w:rPr>
          <w:rFonts w:ascii="Courier New" w:hAnsi="Courier New"/>
        </w:rPr>
        <w:t>BaseStrategy</w:t>
      </w:r>
      <w:r>
        <w:t xml:space="preserve"> 定义统一接口，</w:t>
      </w:r>
      <w:r>
        <w:rPr>
          <w:rFonts w:ascii="Courier New" w:hAnsi="Courier New"/>
        </w:rPr>
        <w:t>STRATEGY_REGISTRY</w:t>
      </w:r>
      <w:r>
        <w:t xml:space="preserve"> 以名字索引具体策略，回测引擎按名取策略，扩展新策略只需登记、不改引擎主流程。</w:t>
      </w:r>
    </w:p>
    <w:p w14:paraId="2E290E39">
      <w:pPr>
        <w:pStyle w:val="7"/>
        <w:spacing w:line="300" w:lineRule="auto"/>
        <w:ind w:firstLine="420"/>
      </w:pPr>
      <w:r>
        <w:t xml:space="preserve">- </w:t>
      </w:r>
      <w:r>
        <w:rPr>
          <w:b/>
        </w:rPr>
        <w:t>装饰器</w:t>
      </w:r>
      <w:r>
        <w:t>：</w:t>
      </w:r>
      <w:r>
        <w:rPr>
          <w:rFonts w:ascii="Courier New" w:hAnsi="Courier New"/>
        </w:rPr>
        <w:t>jwt_required</w:t>
      </w:r>
      <w:r>
        <w:t xml:space="preserve"> 把鉴权横切逻辑从业务路由中抽离，路由只声明"需要登录"而不必重复校验代码。</w:t>
      </w:r>
    </w:p>
    <w:p w14:paraId="33FB5E89">
      <w:pPr>
        <w:pStyle w:val="7"/>
        <w:spacing w:line="300" w:lineRule="auto"/>
        <w:ind w:firstLine="420"/>
      </w:pPr>
      <w:r>
        <w:t xml:space="preserve">- </w:t>
      </w:r>
      <w:r>
        <w:rPr>
          <w:b/>
        </w:rPr>
        <w:t>降级链（责任链变体）</w:t>
      </w:r>
      <w:r>
        <w:t>：</w:t>
      </w:r>
      <w:r>
        <w:rPr>
          <w:rFonts w:ascii="Courier New" w:hAnsi="Courier New"/>
        </w:rPr>
        <w:t>fetcher.py</w:t>
      </w:r>
      <w:r>
        <w:t xml:space="preserve"> 的五级数据源依次尝试，失败自动下沉到下一源，调用方无感知。</w:t>
      </w:r>
    </w:p>
    <w:p w14:paraId="4D30AFAF">
      <w:pPr>
        <w:pStyle w:val="7"/>
        <w:spacing w:line="300" w:lineRule="auto"/>
        <w:ind w:firstLine="420"/>
      </w:pPr>
      <w:r>
        <w:t xml:space="preserve">- </w:t>
      </w:r>
      <w:r>
        <w:rPr>
          <w:b/>
        </w:rPr>
        <w:t>统一信封（外观/适配器）</w:t>
      </w:r>
      <w:r>
        <w:t>：</w:t>
      </w:r>
      <w:r>
        <w:rPr>
          <w:rFonts w:ascii="Courier New" w:hAnsi="Courier New"/>
        </w:rPr>
        <w:t>response.ok/fail</w:t>
      </w:r>
      <w:r>
        <w:t xml:space="preserve"> 把异构业务结果适配为固定 JSON 结构，调用方与前端都只需理解一种响应形态。</w:t>
      </w:r>
    </w:p>
    <w:p w14:paraId="57CDA5CA">
      <w:pPr>
        <w:pStyle w:val="7"/>
        <w:spacing w:line="300" w:lineRule="auto"/>
        <w:ind w:firstLine="420"/>
      </w:pPr>
      <w:r>
        <w:t>这些模式共同支撑了四项质量属性：</w:t>
      </w:r>
      <w:r>
        <w:rPr>
          <w:b/>
        </w:rPr>
        <w:t>可维护性</w:t>
      </w:r>
      <w:r>
        <w:t>（分层与单例使改动局部化、2117 个单元测试可独立运行）、</w:t>
      </w:r>
      <w:r>
        <w:rPr>
          <w:b/>
        </w:rPr>
        <w:t>韧性</w:t>
      </w:r>
      <w:r>
        <w:t>（降级链与有界池使单点故障不扩散）、</w:t>
      </w:r>
      <w:r>
        <w:rPr>
          <w:b/>
        </w:rPr>
        <w:t>安全性</w:t>
      </w:r>
      <w:r>
        <w:t>（鉴权与信封作为横切关注点被集中固化）、</w:t>
      </w:r>
      <w:r>
        <w:rPr>
          <w:b/>
        </w:rPr>
        <w:t>可观测性</w:t>
      </w:r>
      <w:r>
        <w:t>（决策与预测落盘使行为可回溯）。第 4 章给出各模式的具体落点，第 6 章以测试与门禁验证这些属性确实成立。</w:t>
      </w:r>
    </w:p>
    <w:p w14:paraId="7AA4DBB1">
      <w:pPr>
        <w:pStyle w:val="3"/>
      </w:pPr>
      <w:bookmarkStart w:id="26" w:name="_Toc32646"/>
      <w:r>
        <w:t>3.6 本章小结</w:t>
      </w:r>
      <w:bookmarkEnd w:id="26"/>
    </w:p>
    <w:p w14:paraId="794C9E84">
      <w:pPr>
        <w:pStyle w:val="7"/>
        <w:spacing w:line="300" w:lineRule="auto"/>
        <w:ind w:firstLine="420"/>
      </w:pPr>
      <w:r>
        <w:t>本章从功能与非功能需求出发，确定了前后端分离、逻辑层独立于 UI 框架的总体架构，并定义了以 JSON 信封为契约的层间通信方式。数据库设计以决策快照、预测对账与梯队/情绪表为核心，支撑决策闭环的落盘与回溯。3.5 节进一步把设计选择抽象为工厂、单例、策略、装饰器、降级链与统一信封等模式，并映射到可维护性、韧性、安全、可观测四项质量属性，为后续实现与验证提供了评价维度。</w:t>
      </w:r>
    </w:p>
    <w:p w14:paraId="2320EAD6">
      <w:pPr>
        <w:pStyle w:val="7"/>
        <w:spacing w:line="300" w:lineRule="auto"/>
        <w:ind w:firstLine="420"/>
      </w:pPr>
      <w:r>
        <w:t xml:space="preserve">&gt; 参考文献（[1]–[15]）已正式并入 </w:t>
      </w:r>
      <w:r>
        <w:rPr>
          <w:b/>
        </w:rPr>
        <w:t>第 8 章</w:t>
      </w:r>
      <w:r>
        <w:t xml:space="preserve">（见 </w:t>
      </w:r>
      <w:r>
        <w:rPr>
          <w:rFonts w:ascii="Courier New" w:hAnsi="Courier New"/>
        </w:rPr>
        <w:t>第8章_参考文献_草稿.md</w:t>
      </w:r>
      <w:r>
        <w:t xml:space="preserve">），为避免重复此处不再罗列；正文中的 </w:t>
      </w:r>
      <w:r>
        <w:rPr>
          <w:rFonts w:ascii="Courier New" w:hAnsi="Courier New"/>
        </w:rPr>
        <w:t>[n]</w:t>
      </w:r>
      <w:r>
        <w:t xml:space="preserve"> 上标均指向该章。</w:t>
      </w:r>
    </w:p>
    <w:p w14:paraId="299B93AB">
      <w:pPr>
        <w:pStyle w:val="2"/>
      </w:pPr>
      <w:bookmarkStart w:id="27" w:name="_Toc21232"/>
      <w:r>
        <w:t>4 平台核心模块设计与实现</w:t>
      </w:r>
      <w:bookmarkEnd w:id="27"/>
    </w:p>
    <w:p w14:paraId="4626D0C0">
      <w:pPr>
        <w:pStyle w:val="7"/>
        <w:spacing w:line="300" w:lineRule="auto"/>
        <w:ind w:firstLine="420"/>
      </w:pPr>
      <w:r>
        <w:t>本章承接第 3 章的总体设计，逐模块说明 StockSignal 的实现方案。与常见"只罗列功能"的实现章不同，本章把笔墨放在两类工程事实上：一是</w:t>
      </w:r>
      <w:r>
        <w:rPr>
          <w:b/>
        </w:rPr>
        <w:t>分层与解耦</w:t>
      </w:r>
      <w:r>
        <w:t>如何支撑可维护性与可测试性（4.1、4.7、4.8），二是</w:t>
      </w:r>
      <w:r>
        <w:rPr>
          <w:b/>
        </w:rPr>
        <w:t>关键工程约束</w:t>
      </w:r>
      <w:r>
        <w:t>（成本真实扣除、并发有界、降级不中断、安全基线）如何被代码落实。每一节都给出对应的真实模块与关键函数，便于答辩时对照源码。</w:t>
      </w:r>
    </w:p>
    <w:p w14:paraId="25E3781E">
      <w:pPr>
        <w:pStyle w:val="3"/>
      </w:pPr>
      <w:bookmarkStart w:id="28" w:name="_Toc15330"/>
      <w:r>
        <w:t>4.1 系统分层架构与模块解耦</w:t>
      </w:r>
      <w:bookmarkEnd w:id="28"/>
    </w:p>
    <w:p w14:paraId="7F2DCB7C">
      <w:pPr>
        <w:pStyle w:val="7"/>
        <w:spacing w:line="300" w:lineRule="auto"/>
        <w:ind w:firstLine="420"/>
      </w:pPr>
      <w:r>
        <w:t>StockSignal 采用"前端多页应用 + 后端 JSON 服务 + 轻量本地数据层"的三段式结构，三段之间只通过约定好的数据契约通信，互不感知对方框架细节。</w:t>
      </w:r>
    </w:p>
    <w:p w14:paraId="539F5C1A">
      <w:pPr>
        <w:pStyle w:val="7"/>
        <w:spacing w:line="300" w:lineRule="auto"/>
        <w:ind w:firstLine="420"/>
      </w:pPr>
      <w:r>
        <w:rPr>
          <w:b/>
        </w:rPr>
        <w:t>前端层</w:t>
      </w:r>
      <w:r>
        <w:t>由 Streamlit 多页应用构成（</w:t>
      </w:r>
      <w:r>
        <w:rPr>
          <w:rFonts w:ascii="Courier New" w:hAnsi="Courier New"/>
        </w:rPr>
        <w:t>app.py</w:t>
      </w:r>
      <w:r>
        <w:t xml:space="preserve"> + </w:t>
      </w:r>
      <w:r>
        <w:rPr>
          <w:rFonts w:ascii="Courier New" w:hAnsi="Courier New"/>
        </w:rPr>
        <w:t>pages/</w:t>
      </w:r>
      <w:r>
        <w:t xml:space="preserve"> 下 41 个页面文件）。所有页面经由 </w:t>
      </w:r>
      <w:r>
        <w:rPr>
          <w:rFonts w:ascii="Courier New" w:hAnsi="Courier New"/>
        </w:rPr>
        <w:t>modules/page_utils.py</w:t>
      </w:r>
      <w:r>
        <w:t xml:space="preserve"> 的 </w:t>
      </w:r>
      <w:r>
        <w:rPr>
          <w:rFonts w:ascii="Courier New" w:hAnsi="Courier New"/>
        </w:rPr>
        <w:t>render_standard_page</w:t>
      </w:r>
      <w:r>
        <w:t xml:space="preserve"> 统一渲染，避免每页重复样板；页面首帧的主题样式由 </w:t>
      </w:r>
      <w:r>
        <w:rPr>
          <w:rFonts w:ascii="Courier New" w:hAnsi="Courier New"/>
        </w:rPr>
        <w:t>modules/ui_theme.py::apply_page_config</w:t>
      </w:r>
      <w:r>
        <w:t>（backend/app.py 调用链路中的统一入口）一次性注入，依次加载组件样式、Plotly 深色模板、字号、按钮配色与暗色文本修正，从而消除"首屏无样式白屏"这一 Streamlit 多页应用的常见缺陷。</w:t>
      </w:r>
    </w:p>
    <w:p w14:paraId="713B3E35">
      <w:pPr>
        <w:pStyle w:val="7"/>
        <w:spacing w:line="300" w:lineRule="auto"/>
        <w:ind w:firstLine="420"/>
      </w:pPr>
      <w:r>
        <w:rPr>
          <w:b/>
        </w:rPr>
        <w:t>后端层</w:t>
      </w:r>
      <w:r>
        <w:t>是基于工厂模式的 Flask 应用。</w:t>
      </w:r>
      <w:r>
        <w:rPr>
          <w:rFonts w:ascii="Courier New" w:hAnsi="Courier New"/>
        </w:rPr>
        <w:t>backend/app.py::create_app</w:t>
      </w:r>
      <w:r>
        <w:t xml:space="preserve">（第 69 行）构造 </w:t>
      </w:r>
      <w:r>
        <w:rPr>
          <w:rFonts w:ascii="Courier New" w:hAnsi="Courier New"/>
        </w:rPr>
        <w:t>Flask</w:t>
      </w:r>
      <w:r>
        <w:t xml:space="preserve"> 实例后，注册了 13 个业务蓝图（Blueprint）：</w:t>
      </w:r>
      <w:r>
        <w:rPr>
          <w:rFonts w:ascii="Courier New" w:hAnsi="Courier New"/>
        </w:rPr>
        <w:t>auth</w:t>
      </w:r>
      <w:r>
        <w:t>、</w:t>
      </w:r>
      <w:r>
        <w:rPr>
          <w:rFonts w:ascii="Courier New" w:hAnsi="Courier New"/>
        </w:rPr>
        <w:t>dashboard</w:t>
      </w:r>
      <w:r>
        <w:t>、</w:t>
      </w:r>
      <w:r>
        <w:rPr>
          <w:rFonts w:ascii="Courier New" w:hAnsi="Courier New"/>
        </w:rPr>
        <w:t>admin</w:t>
      </w:r>
      <w:r>
        <w:t>、</w:t>
      </w:r>
      <w:r>
        <w:rPr>
          <w:rFonts w:ascii="Courier New" w:hAnsi="Courier New"/>
        </w:rPr>
        <w:t>stock</w:t>
      </w:r>
      <w:r>
        <w:t>、</w:t>
      </w:r>
      <w:r>
        <w:rPr>
          <w:rFonts w:ascii="Courier New" w:hAnsi="Courier New"/>
        </w:rPr>
        <w:t>config</w:t>
      </w:r>
      <w:r>
        <w:t>、</w:t>
      </w:r>
      <w:r>
        <w:rPr>
          <w:rFonts w:ascii="Courier New" w:hAnsi="Courier New"/>
        </w:rPr>
        <w:t>market</w:t>
      </w:r>
      <w:r>
        <w:t>、</w:t>
      </w:r>
      <w:r>
        <w:rPr>
          <w:rFonts w:ascii="Courier New" w:hAnsi="Courier New"/>
        </w:rPr>
        <w:t>task</w:t>
      </w:r>
      <w:r>
        <w:t>、</w:t>
      </w:r>
      <w:r>
        <w:rPr>
          <w:rFonts w:ascii="Courier New" w:hAnsi="Courier New"/>
        </w:rPr>
        <w:t>chat</w:t>
      </w:r>
      <w:r>
        <w:t>、</w:t>
      </w:r>
      <w:r>
        <w:rPr>
          <w:rFonts w:ascii="Courier New" w:hAnsi="Courier New"/>
        </w:rPr>
        <w:t>alert</w:t>
      </w:r>
      <w:r>
        <w:t>、</w:t>
      </w:r>
      <w:r>
        <w:rPr>
          <w:rFonts w:ascii="Courier New" w:hAnsi="Courier New"/>
        </w:rPr>
        <w:t>stock_tag</w:t>
      </w:r>
      <w:r>
        <w:t>、</w:t>
      </w:r>
      <w:r>
        <w:rPr>
          <w:rFonts w:ascii="Courier New" w:hAnsi="Courier New"/>
        </w:rPr>
        <w:t>forum</w:t>
      </w:r>
      <w:r>
        <w:t>、</w:t>
      </w:r>
      <w:r>
        <w:rPr>
          <w:rFonts w:ascii="Courier New" w:hAnsi="Courier New"/>
        </w:rPr>
        <w:t>market_alert</w:t>
      </w:r>
      <w:r>
        <w:t>、</w:t>
      </w:r>
      <w:r>
        <w:rPr>
          <w:rFonts w:ascii="Courier New" w:hAnsi="Courier New"/>
        </w:rPr>
        <w:t>order</w:t>
      </w:r>
      <w:r>
        <w:t xml:space="preserve">。错误响应集中由 </w:t>
      </w:r>
      <w:r>
        <w:rPr>
          <w:rFonts w:ascii="Courier New" w:hAnsi="Courier New"/>
        </w:rPr>
        <w:t>_register_error_handlers</w:t>
      </w:r>
      <w:r>
        <w:t xml:space="preserve">（第 209 行）以三个全局处理器覆盖 </w:t>
      </w:r>
      <w:r>
        <w:rPr>
          <w:rFonts w:ascii="Courier New" w:hAnsi="Courier New"/>
        </w:rPr>
        <w:t>ApiError</w:t>
      </w:r>
      <w:r>
        <w:t>、</w:t>
      </w:r>
      <w:r>
        <w:rPr>
          <w:rFonts w:ascii="Courier New" w:hAnsi="Courier New"/>
        </w:rPr>
        <w:t>HTTPException</w:t>
      </w:r>
      <w:r>
        <w:t xml:space="preserve"> 与兜底 </w:t>
      </w:r>
      <w:r>
        <w:rPr>
          <w:rFonts w:ascii="Courier New" w:hAnsi="Courier New"/>
        </w:rPr>
        <w:t>Exception</w:t>
      </w:r>
      <w:r>
        <w:t>，保证任意异常都回落到统一的 JSON 信封，而非 Flask 默认的 HTML 错误页。</w:t>
      </w:r>
    </w:p>
    <w:p w14:paraId="0D335077">
      <w:pPr>
        <w:pStyle w:val="7"/>
        <w:spacing w:line="300" w:lineRule="auto"/>
        <w:ind w:firstLine="420"/>
      </w:pPr>
      <w:r>
        <w:rPr>
          <w:b/>
        </w:rPr>
        <w:t>逻辑层</w:t>
      </w:r>
      <w:r>
        <w:t>是系统的核心。</w:t>
      </w:r>
      <w:r>
        <w:rPr>
          <w:rFonts w:ascii="Courier New" w:hAnsi="Courier New"/>
        </w:rPr>
        <w:t>modules/</w:t>
      </w:r>
      <w:r>
        <w:t xml:space="preserve"> 目录包含 77 个 Python 文件，其中 56 个不引入 </w:t>
      </w:r>
      <w:r>
        <w:rPr>
          <w:rFonts w:ascii="Courier New" w:hAnsi="Courier New"/>
        </w:rPr>
        <w:t>streamlit</w:t>
      </w:r>
      <w:r>
        <w:t xml:space="preserve">，构成与 UI 框架无关的纯逻辑层——决策推导、回测、取数、校准、梯队递推等算法都在此层，因此可以不依赖前端独立编译与单测。UI 组件层 </w:t>
      </w:r>
      <w:r>
        <w:rPr>
          <w:rFonts w:ascii="Courier New" w:hAnsi="Courier New"/>
        </w:rPr>
        <w:t>modules/ui_kit.py</w:t>
      </w:r>
      <w:r>
        <w:t xml:space="preserve"> 提供 </w:t>
      </w:r>
      <w:r>
        <w:rPr>
          <w:rFonts w:ascii="Courier New" w:hAnsi="Courier New"/>
        </w:rPr>
        <w:t>page_hero</w:t>
      </w:r>
      <w:r>
        <w:t>、</w:t>
      </w:r>
      <w:r>
        <w:rPr>
          <w:rFonts w:ascii="Courier New" w:hAnsi="Courier New"/>
        </w:rPr>
        <w:t>info_banner</w:t>
      </w:r>
      <w:r>
        <w:t>、</w:t>
      </w:r>
      <w:r>
        <w:rPr>
          <w:rFonts w:ascii="Courier New" w:hAnsi="Courier New"/>
        </w:rPr>
        <w:t>stat_tile</w:t>
      </w:r>
      <w:r>
        <w:t>、</w:t>
      </w:r>
      <w:r>
        <w:rPr>
          <w:rFonts w:ascii="Courier New" w:hAnsi="Courier New"/>
        </w:rPr>
        <w:t>chart_card</w:t>
      </w:r>
      <w:r>
        <w:t>、</w:t>
      </w:r>
      <w:r>
        <w:rPr>
          <w:rFonts w:ascii="Courier New" w:hAnsi="Courier New"/>
        </w:rPr>
        <w:t>table_wrap</w:t>
      </w:r>
      <w:r>
        <w:t xml:space="preserve"> 等纯函数式 HTML 构建器，所有由数据派生的文本统一经 </w:t>
      </w:r>
      <w:r>
        <w:rPr>
          <w:rFonts w:ascii="Courier New" w:hAnsi="Courier New"/>
        </w:rPr>
        <w:t>html.escape</w:t>
      </w:r>
      <w:r>
        <w:t xml:space="preserve"> 转义，与系统既有的 XSS 防护契约对齐，杜绝存储型脚本注入。</w:t>
      </w:r>
    </w:p>
    <w:p w14:paraId="0293C0FA">
      <w:pPr>
        <w:pStyle w:val="7"/>
        <w:spacing w:line="300" w:lineRule="auto"/>
        <w:ind w:firstLine="420"/>
      </w:pPr>
      <w:r>
        <w:t>这种分层带来的直接收益是关注点分离：前端只消费后端返回的 JSON 信封，逻辑层不感知展示框架，后端不持有领域算法。第 6 章的 2117 个单元测试函数能脱离界面独立运行，正是这一解耦结构的产物。</w:t>
      </w:r>
    </w:p>
    <w:p w14:paraId="0ACD74F6">
      <w:pPr>
        <w:pStyle w:val="7"/>
        <w:spacing w:line="300" w:lineRule="auto"/>
        <w:ind w:firstLine="420"/>
      </w:pPr>
      <w:r>
        <w:t xml:space="preserve">&gt; 架构分层图建议取自 </w:t>
      </w:r>
      <w:r>
        <w:rPr>
          <w:rFonts w:ascii="Courier New" w:hAnsi="Courier New"/>
        </w:rPr>
        <w:t>thesis/素材/ch6_eval/</w:t>
      </w:r>
      <w:r>
        <w:t xml:space="preserve"> 下的架构 SVG，或按"前端 / 后端 / 逻辑层 / 数据层 / 外部源"五层自绘，标注各层之间的 JSON 契约与降级链路。</w:t>
      </w:r>
    </w:p>
    <w:p w14:paraId="5668E28F">
      <w:pPr>
        <w:pStyle w:val="3"/>
      </w:pPr>
      <w:bookmarkStart w:id="29" w:name="_Toc22759"/>
      <w:r>
        <w:t>4.2 行情看板</w:t>
      </w:r>
      <w:bookmarkEnd w:id="29"/>
    </w:p>
    <w:p w14:paraId="65F16915">
      <w:pPr>
        <w:pStyle w:val="7"/>
        <w:spacing w:line="300" w:lineRule="auto"/>
        <w:ind w:firstLine="420"/>
      </w:pPr>
      <w:r>
        <w:t xml:space="preserve">行情看板对应 </w:t>
      </w:r>
      <w:r>
        <w:rPr>
          <w:rFonts w:ascii="Courier New" w:hAnsi="Courier New"/>
        </w:rPr>
        <w:t>modules/</w:t>
      </w:r>
      <w:r>
        <w:t xml:space="preserve"> 下各行情页面与 </w:t>
      </w:r>
      <w:r>
        <w:rPr>
          <w:rFonts w:ascii="Courier New" w:hAnsi="Courier New"/>
        </w:rPr>
        <w:t>colors.py</w:t>
      </w:r>
      <w:r>
        <w:t>。后者定义 A 股"红涨绿跌"的全局配色（</w:t>
      </w:r>
      <w:r>
        <w:rPr>
          <w:rFonts w:ascii="Courier New" w:hAnsi="Courier New"/>
        </w:rPr>
        <w:t>#ff4d4f</w:t>
      </w:r>
      <w:r>
        <w:t xml:space="preserve"> 涨 / </w:t>
      </w:r>
      <w:r>
        <w:rPr>
          <w:rFonts w:ascii="Courier New" w:hAnsi="Courier New"/>
        </w:rPr>
        <w:t>#00d486</w:t>
      </w:r>
      <w:r>
        <w:t xml:space="preserve"> 跌），在全站 K 线、表格、指标中保持一致语义，避免涨跌色在不同页面错乱。</w:t>
      </w:r>
    </w:p>
    <w:p w14:paraId="5B8CF340">
      <w:pPr>
        <w:pStyle w:val="7"/>
        <w:spacing w:line="300" w:lineRule="auto"/>
        <w:ind w:firstLine="420"/>
      </w:pPr>
      <w:r>
        <w:t xml:space="preserve">功能上提供 K 线、技术面、均线、动量、量能、形态六类视图；页面以"显示位置"与"显示 K 线数量"两个滑块控制视图粒度，使长周期与短周期研判可在同一界面切换。架构形态上，每个行情页都通过 </w:t>
      </w:r>
      <w:r>
        <w:rPr>
          <w:rFonts w:ascii="Courier New" w:hAnsi="Courier New"/>
        </w:rPr>
        <w:t>render_standard_page</w:t>
      </w:r>
      <w:r>
        <w:t xml:space="preserve"> 接入统一渲染与首帧主题注入，因此新页面无需重复处理样式与布局样板。</w:t>
      </w:r>
    </w:p>
    <w:p w14:paraId="19E6A498">
      <w:pPr>
        <w:pStyle w:val="7"/>
        <w:spacing w:line="300" w:lineRule="auto"/>
        <w:ind w:firstLine="420"/>
      </w:pPr>
      <w:r>
        <w:t xml:space="preserve">六类视图的指标计算统一由 </w:t>
      </w:r>
      <w:r>
        <w:rPr>
          <w:rFonts w:ascii="Courier New" w:hAnsi="Courier New"/>
        </w:rPr>
        <w:t>modules/technical.py</w:t>
      </w:r>
      <w:r>
        <w:t xml:space="preserve"> 的 </w:t>
      </w:r>
      <w:r>
        <w:rPr>
          <w:rFonts w:ascii="Courier New" w:hAnsi="Courier New"/>
        </w:rPr>
        <w:t>full_analysis</w:t>
      </w:r>
      <w:r>
        <w:t xml:space="preserve"> 产出。它把趋势、动量、量能、形态四维打包成一个结构化字典供页面直接消费，并在任一子分析抛异常时把故障隔离在该维度内，而不是让整个技术面板崩掉——这一"故障隔离"写法对看板类页面尤为关键，因为任一指标的历史数据缺口都不应影响其余指标的展示：</w:t>
      </w:r>
    </w:p>
    <w:p w14:paraId="7D77E023">
      <w:pPr>
        <w:pStyle w:val="7"/>
      </w:pPr>
      <w:r>
        <w:rPr>
          <w:rFonts w:ascii="Courier New" w:hAnsi="Courier New" w:eastAsia="宋体"/>
          <w:sz w:val="18"/>
        </w:rPr>
        <w:t>def full_analysis(df) -&gt; Dict[str, Any]:</w:t>
      </w:r>
      <w:r>
        <w:rPr>
          <w:rFonts w:ascii="Courier New" w:hAnsi="Courier New" w:eastAsia="宋体"/>
          <w:sz w:val="18"/>
        </w:rPr>
        <w:br w:type="textWrapping"/>
      </w:r>
      <w:r>
        <w:rPr>
          <w:rFonts w:ascii="Courier New" w:hAnsi="Courier New" w:eastAsia="宋体"/>
          <w:sz w:val="18"/>
        </w:rPr>
        <w:t xml:space="preserve">    """一键执行所有技术面分析，返回结构化字典，供 Streamlit 直接展示。</w:t>
      </w:r>
      <w:r>
        <w:rPr>
          <w:rFonts w:ascii="Courier New" w:hAnsi="Courier New" w:eastAsia="宋体"/>
          <w:sz w:val="18"/>
        </w:rPr>
        <w:br w:type="textWrapping"/>
      </w:r>
      <w:r>
        <w:rPr>
          <w:rFonts w:ascii="Courier New" w:hAnsi="Courier New" w:eastAsia="宋体"/>
          <w:sz w:val="18"/>
        </w:rPr>
        <w:br w:type="textWrapping"/>
      </w:r>
      <w:r>
        <w:rPr>
          <w:rFonts w:ascii="Courier New" w:hAnsi="Courier New" w:eastAsia="宋体"/>
          <w:sz w:val="18"/>
        </w:rPr>
        <w:t xml:space="preserve">    防御性设计：任一子分析（趋势/动量/量能/形态）抛异常时隔离为 {"error": ...}，</w:t>
      </w:r>
      <w:r>
        <w:rPr>
          <w:rFonts w:ascii="Courier New" w:hAnsi="Courier New" w:eastAsia="宋体"/>
          <w:sz w:val="18"/>
        </w:rPr>
        <w:br w:type="textWrapping"/>
      </w:r>
      <w:r>
        <w:rPr>
          <w:rFonts w:ascii="Courier New" w:hAnsi="Courier New" w:eastAsia="宋体"/>
          <w:sz w:val="18"/>
        </w:rPr>
        <w:t xml:space="preserve">    不再因单点崩溃拖垮整个技术面板块。"""</w:t>
      </w:r>
      <w:r>
        <w:rPr>
          <w:rFonts w:ascii="Courier New" w:hAnsi="Courier New" w:eastAsia="宋体"/>
          <w:sz w:val="18"/>
        </w:rPr>
        <w:br w:type="textWrapping"/>
      </w:r>
      <w:r>
        <w:rPr>
          <w:rFonts w:ascii="Courier New" w:hAnsi="Courier New" w:eastAsia="宋体"/>
          <w:sz w:val="18"/>
        </w:rPr>
        <w:t xml:space="preserve">    def _safe(fn) -&gt; Dict[str, Any]:</w:t>
      </w:r>
      <w:r>
        <w:rPr>
          <w:rFonts w:ascii="Courier New" w:hAnsi="Courier New" w:eastAsia="宋体"/>
          <w:sz w:val="18"/>
        </w:rPr>
        <w:br w:type="textWrapping"/>
      </w:r>
      <w:r>
        <w:rPr>
          <w:rFonts w:ascii="Courier New" w:hAnsi="Courier New" w:eastAsia="宋体"/>
          <w:sz w:val="18"/>
        </w:rPr>
        <w:t xml:space="preserve">        try:</w:t>
      </w:r>
      <w:r>
        <w:rPr>
          <w:rFonts w:ascii="Courier New" w:hAnsi="Courier New" w:eastAsia="宋体"/>
          <w:sz w:val="18"/>
        </w:rPr>
        <w:br w:type="textWrapping"/>
      </w:r>
      <w:r>
        <w:rPr>
          <w:rFonts w:ascii="Courier New" w:hAnsi="Courier New" w:eastAsia="宋体"/>
          <w:sz w:val="18"/>
        </w:rPr>
        <w:t xml:space="preserve">            return fn(df)</w:t>
      </w:r>
      <w:r>
        <w:rPr>
          <w:rFonts w:ascii="Courier New" w:hAnsi="Courier New" w:eastAsia="宋体"/>
          <w:sz w:val="18"/>
        </w:rPr>
        <w:br w:type="textWrapping"/>
      </w:r>
      <w:r>
        <w:rPr>
          <w:rFonts w:ascii="Courier New" w:hAnsi="Courier New" w:eastAsia="宋体"/>
          <w:sz w:val="18"/>
        </w:rPr>
        <w:t xml:space="preserve">        except Exception as e:</w:t>
      </w:r>
      <w:r>
        <w:rPr>
          <w:rFonts w:ascii="Courier New" w:hAnsi="Courier New" w:eastAsia="宋体"/>
          <w:sz w:val="18"/>
        </w:rPr>
        <w:br w:type="textWrapping"/>
      </w:r>
      <w:r>
        <w:rPr>
          <w:rFonts w:ascii="Courier New" w:hAnsi="Courier New" w:eastAsia="宋体"/>
          <w:sz w:val="18"/>
        </w:rPr>
        <w:t xml:space="preserve">            logger.warning(f"[technical] 处理异常: {e}")</w:t>
      </w:r>
      <w:r>
        <w:rPr>
          <w:rFonts w:ascii="Courier New" w:hAnsi="Courier New" w:eastAsia="宋体"/>
          <w:sz w:val="18"/>
        </w:rPr>
        <w:br w:type="textWrapping"/>
      </w:r>
      <w:r>
        <w:rPr>
          <w:rFonts w:ascii="Courier New" w:hAnsi="Courier New" w:eastAsia="宋体"/>
          <w:sz w:val="18"/>
        </w:rPr>
        <w:t xml:space="preserve">            return {"error": f"{fn.__name__} 分析失败: {type(e).__name__}"}</w:t>
      </w:r>
      <w:r>
        <w:rPr>
          <w:rFonts w:ascii="Courier New" w:hAnsi="Courier New" w:eastAsia="宋体"/>
          <w:sz w:val="18"/>
        </w:rPr>
        <w:br w:type="textWrapping"/>
      </w:r>
      <w:r>
        <w:rPr>
          <w:rFonts w:ascii="Courier New" w:hAnsi="Courier New" w:eastAsia="宋体"/>
          <w:sz w:val="18"/>
        </w:rPr>
        <w:br w:type="textWrapping"/>
      </w:r>
      <w:r>
        <w:rPr>
          <w:rFonts w:ascii="Courier New" w:hAnsi="Courier New" w:eastAsia="宋体"/>
          <w:sz w:val="18"/>
        </w:rPr>
        <w:t xml:space="preserve">    return {"trend": _safe(analyze_trend),</w:t>
      </w:r>
      <w:r>
        <w:rPr>
          <w:rFonts w:ascii="Courier New" w:hAnsi="Courier New" w:eastAsia="宋体"/>
          <w:sz w:val="18"/>
        </w:rPr>
        <w:br w:type="textWrapping"/>
      </w:r>
      <w:r>
        <w:rPr>
          <w:rFonts w:ascii="Courier New" w:hAnsi="Courier New" w:eastAsia="宋体"/>
          <w:sz w:val="18"/>
        </w:rPr>
        <w:t xml:space="preserve">            "momentum": _safe(analyze_momentum),</w:t>
      </w:r>
      <w:r>
        <w:rPr>
          <w:rFonts w:ascii="Courier New" w:hAnsi="Courier New" w:eastAsia="宋体"/>
          <w:sz w:val="18"/>
        </w:rPr>
        <w:br w:type="textWrapping"/>
      </w:r>
      <w:r>
        <w:rPr>
          <w:rFonts w:ascii="Courier New" w:hAnsi="Courier New" w:eastAsia="宋体"/>
          <w:sz w:val="18"/>
        </w:rPr>
        <w:t xml:space="preserve">            "volume": _safe(analyze_volume), ...}</w:t>
      </w:r>
    </w:p>
    <w:p w14:paraId="64910D5A">
      <w:pPr>
        <w:pStyle w:val="7"/>
        <w:jc w:val="center"/>
      </w:pPr>
      <w:r>
        <w:drawing>
          <wp:inline distT="0" distB="0" distL="114300" distR="114300">
            <wp:extent cx="5029200" cy="1610423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029200" cy="16104447"/>
                    </a:xfrm>
                    <a:prstGeom prst="rect">
                      <a:avLst/>
                    </a:prstGeom>
                  </pic:spPr>
                </pic:pic>
              </a:graphicData>
            </a:graphic>
          </wp:inline>
        </w:drawing>
      </w:r>
    </w:p>
    <w:p w14:paraId="5A8FCF9C">
      <w:pPr>
        <w:pStyle w:val="7"/>
        <w:jc w:val="center"/>
      </w:pPr>
      <w:r>
        <w:rPr>
          <w:rFonts w:ascii="Times New Roman" w:hAnsi="Times New Roman" w:eastAsia="宋体"/>
          <w:sz w:val="21"/>
        </w:rPr>
        <w:t>图 4-1　行情看板页——多指数实时看板 + K 线主图 + 五日资金雷达 + 龙头股快照 + 板块涨幅面板 + 自选管理与新闻/公告推送，体现红涨绿跌全局配色（#ff4d4f 涨 / #00d486 跌）</w:t>
      </w:r>
    </w:p>
    <w:p w14:paraId="5ADD835C">
      <w:pPr>
        <w:pStyle w:val="3"/>
      </w:pPr>
      <w:bookmarkStart w:id="30" w:name="_Toc13815"/>
      <w:r>
        <w:t>4.3 事件追踪与板块详情</w:t>
      </w:r>
      <w:bookmarkEnd w:id="30"/>
    </w:p>
    <w:p w14:paraId="3116EA63">
      <w:pPr>
        <w:pStyle w:val="7"/>
        <w:spacing w:line="300" w:lineRule="auto"/>
        <w:ind w:firstLine="420"/>
      </w:pPr>
      <w:r>
        <w:t xml:space="preserve">事件侧对应 </w:t>
      </w:r>
      <w:r>
        <w:rPr>
          <w:rFonts w:ascii="Courier New" w:hAnsi="Courier New"/>
        </w:rPr>
        <w:t>event_factor</w:t>
      </w:r>
      <w:r>
        <w:t>、</w:t>
      </w:r>
      <w:r>
        <w:rPr>
          <w:rFonts w:ascii="Courier New" w:hAnsi="Courier New"/>
        </w:rPr>
        <w:t>events.csv</w:t>
      </w:r>
      <w:r>
        <w:t xml:space="preserve"> / </w:t>
      </w:r>
      <w:r>
        <w:rPr>
          <w:rFonts w:ascii="Courier New" w:hAnsi="Courier New"/>
        </w:rPr>
        <w:t>event_pool_brief.json</w:t>
      </w:r>
      <w:r>
        <w:t xml:space="preserve"> 与板块详情页。系统将公告、板块异动、题材事件聚合成"事件因子"，板块详情则呈现领涨/领跌、资金流向与成分股结构。</w:t>
      </w:r>
    </w:p>
    <w:p w14:paraId="5D71094C">
      <w:pPr>
        <w:pStyle w:val="7"/>
        <w:spacing w:line="300" w:lineRule="auto"/>
        <w:ind w:firstLine="420"/>
      </w:pPr>
      <w:r>
        <w:t xml:space="preserve">事件因子在决策链路中承担"事件催化"输入：经 </w:t>
      </w:r>
      <w:r>
        <w:rPr>
          <w:rFonts w:ascii="Courier New" w:hAnsi="Courier New"/>
        </w:rPr>
        <w:t>_event_position_adj</w:t>
      </w:r>
      <w:r>
        <w:t xml:space="preserve"> 映射为 </w:t>
      </w:r>
      <w:r>
        <w:rPr>
          <w:rFonts w:ascii="Courier New" w:hAnsi="Courier New"/>
        </w:rPr>
        <w:t>derive_position</w:t>
      </w:r>
      <w:r>
        <w:t xml:space="preserve"> 的 </w:t>
      </w:r>
      <w:r>
        <w:rPr>
          <w:rFonts w:ascii="Courier New" w:hAnsi="Courier New"/>
        </w:rPr>
        <w:t>event_adj</w:t>
      </w:r>
      <w:r>
        <w:t xml:space="preserve"> 参数（详见 5.2.1）。当某日事件信号取不到时，该调节项整段跳过而非臆造，这一"缺数据不加不减"的语义是决策诚实性的前提。</w:t>
      </w:r>
    </w:p>
    <w:p w14:paraId="788C7D6C">
      <w:pPr>
        <w:pStyle w:val="7"/>
        <w:spacing w:line="300" w:lineRule="auto"/>
        <w:ind w:firstLine="420"/>
      </w:pPr>
      <w:r>
        <w:t xml:space="preserve">事件侧到仓位调节的映射由 </w:t>
      </w:r>
      <w:r>
        <w:rPr>
          <w:rFonts w:ascii="Courier New" w:hAnsi="Courier New"/>
        </w:rPr>
        <w:t>_compute_event_adj</w:t>
      </w:r>
      <w:r>
        <w:t>（</w:t>
      </w:r>
      <w:r>
        <w:rPr>
          <w:rFonts w:ascii="Courier New" w:hAnsi="Courier New"/>
        </w:rPr>
        <w:t>modules/decision.py</w:t>
      </w:r>
      <w:r>
        <w:t xml:space="preserve"> L305）完成，规则刻意做得简单透明：事件驱动多头池每满 10 只高置信标的，仓位 +1 pt，封顶 +5。取不到真实信号时返回 </w:t>
      </w:r>
      <w:r>
        <w:rPr>
          <w:rFonts w:ascii="Courier New" w:hAnsi="Courier New"/>
        </w:rPr>
        <w:t>None</w:t>
      </w:r>
      <w:r>
        <w:t>，由调用方整段跳过。</w:t>
      </w:r>
    </w:p>
    <w:p w14:paraId="0129DB67">
      <w:pPr>
        <w:pStyle w:val="7"/>
        <w:spacing w:line="300" w:lineRule="auto"/>
        <w:ind w:firstLine="420"/>
      </w:pPr>
      <w:r>
        <w:t>该函数还有一条容易被忽略的护栏：即便当下多头池很宽、</w:t>
      </w:r>
      <w:r>
        <w:rPr>
          <w:rFonts w:ascii="Courier New" w:hAnsi="Courier New"/>
        </w:rPr>
        <w:t>adj</w:t>
      </w:r>
      <w:r>
        <w:t xml:space="preserve"> 算得出来，只要历史回测证明"事件开"的命中率并不优于"事件关"，就判定该催化只是噪声并返回 </w:t>
      </w:r>
      <w:r>
        <w:rPr>
          <w:rFonts w:ascii="Courier New" w:hAnsi="Courier New"/>
        </w:rPr>
        <w:t>None</w:t>
      </w:r>
      <w:r>
        <w:t>：</w:t>
      </w:r>
    </w:p>
    <w:p w14:paraId="797BEAE6">
      <w:pPr>
        <w:pStyle w:val="7"/>
      </w:pPr>
      <w:r>
        <w:rPr>
          <w:rFonts w:ascii="Courier New" w:hAnsi="Courier New" w:eastAsia="宋体"/>
          <w:sz w:val="18"/>
        </w:rPr>
        <w:t># 广度规则（透明、可解释）：事件驱动多头池每满 10 只高置信标的 → 仓位 +1pt，封顶 +5</w:t>
      </w:r>
      <w:r>
        <w:rPr>
          <w:rFonts w:ascii="Courier New" w:hAnsi="Courier New" w:eastAsia="宋体"/>
          <w:sz w:val="18"/>
        </w:rPr>
        <w:br w:type="textWrapping"/>
      </w:r>
      <w:r>
        <w:rPr>
          <w:rFonts w:ascii="Courier New" w:hAnsi="Courier New" w:eastAsia="宋体"/>
          <w:sz w:val="18"/>
        </w:rPr>
        <w:t>_edge = event_edge()</w:t>
      </w:r>
      <w:r>
        <w:rPr>
          <w:rFonts w:ascii="Courier New" w:hAnsi="Courier New" w:eastAsia="宋体"/>
          <w:sz w:val="18"/>
        </w:rPr>
        <w:br w:type="textWrapping"/>
      </w:r>
      <w:r>
        <w:rPr>
          <w:rFonts w:ascii="Courier New" w:hAnsi="Courier New" w:eastAsia="宋体"/>
          <w:sz w:val="18"/>
        </w:rPr>
        <w:t>if _edge.get("known") and not _edge.get("edge"):</w:t>
      </w:r>
      <w:r>
        <w:rPr>
          <w:rFonts w:ascii="Courier New" w:hAnsi="Courier New" w:eastAsia="宋体"/>
          <w:sz w:val="18"/>
        </w:rPr>
        <w:br w:type="textWrapping"/>
      </w:r>
      <w:r>
        <w:rPr>
          <w:rFonts w:ascii="Courier New" w:hAnsi="Courier New" w:eastAsia="宋体"/>
          <w:sz w:val="18"/>
        </w:rPr>
        <w:t xml:space="preserve">    return None                      # 诚实护栏：无统计优势则不加</w:t>
      </w:r>
      <w:r>
        <w:rPr>
          <w:rFonts w:ascii="Courier New" w:hAnsi="Courier New" w:eastAsia="宋体"/>
          <w:sz w:val="18"/>
        </w:rPr>
        <w:br w:type="textWrapping"/>
      </w:r>
      <w:r>
        <w:rPr>
          <w:rFonts w:ascii="Courier New" w:hAnsi="Courier New" w:eastAsia="宋体"/>
          <w:sz w:val="18"/>
        </w:rPr>
        <w:t>n = len(longs)</w:t>
      </w:r>
      <w:r>
        <w:rPr>
          <w:rFonts w:ascii="Courier New" w:hAnsi="Courier New" w:eastAsia="宋体"/>
          <w:sz w:val="18"/>
        </w:rPr>
        <w:br w:type="textWrapping"/>
      </w:r>
      <w:r>
        <w:rPr>
          <w:rFonts w:ascii="Courier New" w:hAnsi="Courier New" w:eastAsia="宋体"/>
          <w:sz w:val="18"/>
        </w:rPr>
        <w:t>return {"adj": min(5, n // 10), "long_count": n, "as_of": as_of}</w:t>
      </w:r>
    </w:p>
    <w:p w14:paraId="02994DBF">
      <w:pPr>
        <w:pStyle w:val="7"/>
        <w:spacing w:line="300" w:lineRule="auto"/>
        <w:ind w:firstLine="420"/>
      </w:pPr>
      <w:r>
        <w:t>这条护栏的意义在于：它使"事件驱动"成为可证伪的主张，而不是装饰性标签。若回测显示事件催化无优势，系统宁可不加，也不用它来装点模型的复杂度。</w:t>
      </w:r>
    </w:p>
    <w:p w14:paraId="023D49F7">
      <w:pPr>
        <w:pStyle w:val="7"/>
        <w:jc w:val="center"/>
      </w:pPr>
      <w:r>
        <w:drawing>
          <wp:inline distT="0" distB="0" distL="114300" distR="114300">
            <wp:extent cx="5029200" cy="120294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029200" cy="12029953"/>
                    </a:xfrm>
                    <a:prstGeom prst="rect">
                      <a:avLst/>
                    </a:prstGeom>
                  </pic:spPr>
                </pic:pic>
              </a:graphicData>
            </a:graphic>
          </wp:inline>
        </w:drawing>
      </w:r>
    </w:p>
    <w:p w14:paraId="7503CC63">
      <w:pPr>
        <w:pStyle w:val="7"/>
        <w:jc w:val="center"/>
      </w:pPr>
      <w:r>
        <w:rPr>
          <w:rFonts w:ascii="Times New Roman" w:hAnsi="Times New Roman" w:eastAsia="宋体"/>
          <w:sz w:val="21"/>
        </w:rPr>
        <w:t>图 4-2　事件追踪 / 板块详情页——事件追踪导读 + 信号评分 + 实时大盘异动监控 + 事件时间轴 + 事件管理表单 + 现有事件库与按时间/事件名检索</w:t>
      </w:r>
    </w:p>
    <w:p w14:paraId="0A999AAD">
      <w:pPr>
        <w:pStyle w:val="3"/>
      </w:pPr>
      <w:bookmarkStart w:id="31" w:name="_Toc3934"/>
      <w:r>
        <w:t>4.4 策略回测引擎与多进程隔离</w:t>
      </w:r>
      <w:bookmarkEnd w:id="31"/>
    </w:p>
    <w:p w14:paraId="07A85935">
      <w:pPr>
        <w:pStyle w:val="7"/>
        <w:spacing w:line="300" w:lineRule="auto"/>
        <w:ind w:firstLine="420"/>
      </w:pPr>
      <w:r>
        <w:t xml:space="preserve">回测引擎位于 </w:t>
      </w:r>
      <w:r>
        <w:rPr>
          <w:rFonts w:ascii="Courier New" w:hAnsi="Courier New"/>
        </w:rPr>
        <w:t>modules/backtest.py</w:t>
      </w:r>
      <w:r>
        <w:t xml:space="preserve">（1532 行），引擎类为 </w:t>
      </w:r>
      <w:r>
        <w:rPr>
          <w:rFonts w:ascii="Courier New" w:hAnsi="Courier New"/>
        </w:rPr>
        <w:t>Backtester</w:t>
      </w:r>
      <w:r>
        <w:t xml:space="preserve">，对外暴露 </w:t>
      </w:r>
      <w:r>
        <w:rPr>
          <w:rFonts w:ascii="Courier New" w:hAnsi="Courier New"/>
        </w:rPr>
        <w:t>run</w:t>
      </w:r>
      <w:r>
        <w:t>、</w:t>
      </w:r>
      <w:r>
        <w:rPr>
          <w:rFonts w:ascii="Courier New" w:hAnsi="Courier New"/>
        </w:rPr>
        <w:t>run_param_scan</w:t>
      </w:r>
      <w:r>
        <w:t>、</w:t>
      </w:r>
      <w:r>
        <w:rPr>
          <w:rFonts w:ascii="Courier New" w:hAnsi="Courier New"/>
        </w:rPr>
        <w:t>run_batch</w:t>
      </w:r>
      <w:r>
        <w:t xml:space="preserve"> 三个入口。引擎内置真实交易成本模型（</w:t>
      </w:r>
      <w:r>
        <w:rPr>
          <w:rFonts w:ascii="Courier New" w:hAnsi="Courier New"/>
        </w:rPr>
        <w:t>_simulate</w:t>
      </w:r>
      <w:r>
        <w:t xml:space="preserve"> 方法），是评估策略与验证决策可信度的基石：</w:t>
      </w:r>
    </w:p>
    <w:p w14:paraId="2227FF45"/>
    <w:tbl>
      <w:tblPr>
        <w:tblStyle w:val="20"/>
        <w:tblW w:w="0" w:type="auto"/>
        <w:tblInd w:w="0" w:type="dxa"/>
        <w:tblLayout w:type="autofit"/>
        <w:tblCellMar>
          <w:top w:w="0" w:type="dxa"/>
          <w:left w:w="108" w:type="dxa"/>
          <w:bottom w:w="0" w:type="dxa"/>
          <w:right w:w="108" w:type="dxa"/>
        </w:tblCellMar>
      </w:tblPr>
      <w:tblGrid>
        <w:gridCol w:w="3080"/>
        <w:gridCol w:w="3080"/>
        <w:gridCol w:w="3080"/>
      </w:tblGrid>
      <w:tr w14:paraId="3188BDD8">
        <w:tblPrEx>
          <w:tblCellMar>
            <w:top w:w="0" w:type="dxa"/>
            <w:left w:w="108" w:type="dxa"/>
            <w:bottom w:w="0" w:type="dxa"/>
            <w:right w:w="108" w:type="dxa"/>
          </w:tblCellMar>
        </w:tblPrEx>
        <w:tc>
          <w:tcPr>
            <w:tcW w:w="3080" w:type="dxa"/>
          </w:tcPr>
          <w:p w14:paraId="5D889105">
            <w:r>
              <w:rPr>
                <w:rFonts w:ascii="Times New Roman" w:hAnsi="Times New Roman" w:eastAsia="宋体"/>
                <w:sz w:val="21"/>
              </w:rPr>
              <w:t>成本项</w:t>
            </w:r>
          </w:p>
        </w:tc>
        <w:tc>
          <w:tcPr>
            <w:tcW w:w="3080" w:type="dxa"/>
          </w:tcPr>
          <w:p w14:paraId="34FDC231">
            <w:r>
              <w:rPr>
                <w:rFonts w:ascii="Times New Roman" w:hAnsi="Times New Roman" w:eastAsia="宋体"/>
                <w:sz w:val="21"/>
              </w:rPr>
              <w:t>取值</w:t>
            </w:r>
          </w:p>
        </w:tc>
        <w:tc>
          <w:tcPr>
            <w:tcW w:w="3080" w:type="dxa"/>
          </w:tcPr>
          <w:p w14:paraId="53B8601D">
            <w:r>
              <w:rPr>
                <w:rFonts w:ascii="Times New Roman" w:hAnsi="Times New Roman" w:eastAsia="宋体"/>
                <w:sz w:val="21"/>
              </w:rPr>
              <w:t>扣除侧</w:t>
            </w:r>
          </w:p>
        </w:tc>
      </w:tr>
      <w:tr w14:paraId="2BEB4BC8">
        <w:tblPrEx>
          <w:tblCellMar>
            <w:top w:w="0" w:type="dxa"/>
            <w:left w:w="108" w:type="dxa"/>
            <w:bottom w:w="0" w:type="dxa"/>
            <w:right w:w="108" w:type="dxa"/>
          </w:tblCellMar>
        </w:tblPrEx>
        <w:tc>
          <w:tcPr>
            <w:tcW w:w="3080" w:type="dxa"/>
          </w:tcPr>
          <w:p w14:paraId="18E003C7">
            <w:r>
              <w:rPr>
                <w:rFonts w:ascii="Times New Roman" w:hAnsi="Times New Roman" w:eastAsia="宋体"/>
                <w:sz w:val="21"/>
              </w:rPr>
              <w:t>佣金</w:t>
            </w:r>
          </w:p>
        </w:tc>
        <w:tc>
          <w:tcPr>
            <w:tcW w:w="3080" w:type="dxa"/>
          </w:tcPr>
          <w:p w14:paraId="04A34B21">
            <w:r>
              <w:rPr>
                <w:rFonts w:ascii="Times New Roman" w:hAnsi="Times New Roman" w:eastAsia="宋体"/>
                <w:sz w:val="21"/>
              </w:rPr>
              <w:t>`commission = 0.001`（万三）</w:t>
            </w:r>
          </w:p>
        </w:tc>
        <w:tc>
          <w:tcPr>
            <w:tcW w:w="3080" w:type="dxa"/>
          </w:tcPr>
          <w:p w14:paraId="16A3694F">
            <w:r>
              <w:rPr>
                <w:rFonts w:ascii="Times New Roman" w:hAnsi="Times New Roman" w:eastAsia="宋体"/>
                <w:sz w:val="21"/>
              </w:rPr>
              <w:t>买卖双侧</w:t>
            </w:r>
          </w:p>
        </w:tc>
      </w:tr>
      <w:tr w14:paraId="443CCA64">
        <w:tblPrEx>
          <w:tblCellMar>
            <w:top w:w="0" w:type="dxa"/>
            <w:left w:w="108" w:type="dxa"/>
            <w:bottom w:w="0" w:type="dxa"/>
            <w:right w:w="108" w:type="dxa"/>
          </w:tblCellMar>
        </w:tblPrEx>
        <w:tc>
          <w:tcPr>
            <w:tcW w:w="3080" w:type="dxa"/>
          </w:tcPr>
          <w:p w14:paraId="6823E7E5">
            <w:r>
              <w:rPr>
                <w:rFonts w:ascii="Times New Roman" w:hAnsi="Times New Roman" w:eastAsia="宋体"/>
                <w:sz w:val="21"/>
              </w:rPr>
              <w:t>滑点</w:t>
            </w:r>
          </w:p>
        </w:tc>
        <w:tc>
          <w:tcPr>
            <w:tcW w:w="3080" w:type="dxa"/>
          </w:tcPr>
          <w:p w14:paraId="4B8CC4C8">
            <w:r>
              <w:rPr>
                <w:rFonts w:ascii="Times New Roman" w:hAnsi="Times New Roman" w:eastAsia="宋体"/>
                <w:sz w:val="21"/>
              </w:rPr>
              <w:t>`slippage_pct = 0.001`（0.1%）</w:t>
            </w:r>
          </w:p>
        </w:tc>
        <w:tc>
          <w:tcPr>
            <w:tcW w:w="3080" w:type="dxa"/>
          </w:tcPr>
          <w:p w14:paraId="21A195E1">
            <w:r>
              <w:rPr>
                <w:rFonts w:ascii="Times New Roman" w:hAnsi="Times New Roman" w:eastAsia="宋体"/>
                <w:sz w:val="21"/>
              </w:rPr>
              <w:t>买卖双侧</w:t>
            </w:r>
          </w:p>
        </w:tc>
      </w:tr>
      <w:tr w14:paraId="43C07044">
        <w:tblPrEx>
          <w:tblCellMar>
            <w:top w:w="0" w:type="dxa"/>
            <w:left w:w="108" w:type="dxa"/>
            <w:bottom w:w="0" w:type="dxa"/>
            <w:right w:w="108" w:type="dxa"/>
          </w:tblCellMar>
        </w:tblPrEx>
        <w:tc>
          <w:tcPr>
            <w:tcW w:w="3080" w:type="dxa"/>
          </w:tcPr>
          <w:p w14:paraId="48B3DE3D">
            <w:r>
              <w:rPr>
                <w:rFonts w:ascii="Times New Roman" w:hAnsi="Times New Roman" w:eastAsia="宋体"/>
                <w:sz w:val="21"/>
              </w:rPr>
              <w:t>印花税</w:t>
            </w:r>
          </w:p>
        </w:tc>
        <w:tc>
          <w:tcPr>
            <w:tcW w:w="3080" w:type="dxa"/>
          </w:tcPr>
          <w:p w14:paraId="159EEFA5">
            <w:r>
              <w:rPr>
                <w:rFonts w:ascii="Times New Roman" w:hAnsi="Times New Roman" w:eastAsia="宋体"/>
                <w:sz w:val="21"/>
              </w:rPr>
              <w:t>`stamp_tax_pct = 0.001`（千一）</w:t>
            </w:r>
          </w:p>
        </w:tc>
        <w:tc>
          <w:tcPr>
            <w:tcW w:w="3080" w:type="dxa"/>
          </w:tcPr>
          <w:p w14:paraId="70EB3DE7">
            <w:r>
              <w:rPr>
                <w:rFonts w:ascii="Times New Roman" w:hAnsi="Times New Roman" w:eastAsia="宋体"/>
                <w:sz w:val="21"/>
              </w:rPr>
              <w:t>**仅卖出侧**</w:t>
            </w:r>
          </w:p>
        </w:tc>
      </w:tr>
    </w:tbl>
    <w:p w14:paraId="23A0CD78">
      <w:pPr>
        <w:pStyle w:val="7"/>
        <w:spacing w:line="300" w:lineRule="auto"/>
        <w:ind w:firstLine="420"/>
      </w:pPr>
      <w:r>
        <w:t xml:space="preserve">每股买入成本 = </w:t>
      </w:r>
      <w:r>
        <w:rPr>
          <w:rFonts w:ascii="Courier New" w:hAnsi="Courier New"/>
        </w:rPr>
        <w:t>price × (1 + slippage) × (1 + commission)</w:t>
      </w:r>
      <w:r>
        <w:t xml:space="preserve">；卖出到手金额 = </w:t>
      </w:r>
      <w:r>
        <w:rPr>
          <w:rFonts w:ascii="Courier New" w:hAnsi="Courier New"/>
        </w:rPr>
        <w:t>position × price × (1 − slippage) × (1 − commission − stamp_tax)</w:t>
      </w:r>
      <w:r>
        <w:t xml:space="preserve">。二者均为乘性叠加而非简单相加，避免把"滑点后的价差"也算进佣金基数。支持 </w:t>
      </w:r>
      <w:r>
        <w:rPr>
          <w:rFonts w:ascii="Courier New" w:hAnsi="Courier New"/>
        </w:rPr>
        <w:t>multi_factor</w:t>
      </w:r>
      <w:r>
        <w:t xml:space="preserve"> / </w:t>
      </w:r>
      <w:r>
        <w:rPr>
          <w:rFonts w:ascii="Courier New" w:hAnsi="Courier New"/>
        </w:rPr>
        <w:t>ma_cross</w:t>
      </w:r>
      <w:r>
        <w:t xml:space="preserve"> / </w:t>
      </w:r>
      <w:r>
        <w:rPr>
          <w:rFonts w:ascii="Courier New" w:hAnsi="Courier New"/>
        </w:rPr>
        <w:t>event_driven</w:t>
      </w:r>
      <w:r>
        <w:t xml:space="preserve"> / </w:t>
      </w:r>
      <w:r>
        <w:rPr>
          <w:rFonts w:ascii="Courier New" w:hAnsi="Courier New"/>
        </w:rPr>
        <w:t>dual_trend</w:t>
      </w:r>
      <w:r>
        <w:t xml:space="preserve"> 四类策略，内置 RSI / ATR / MACD / Bollinger / ADX 指标。成本模型真实扣除是回测结论可信的前提，也是第 6 章的验证对象。Perold[12] 关于"实现缺口"（implementation shortfall）的讨论，正说明成本假设的微小偏差会显著改变策略评价结论。</w:t>
      </w:r>
    </w:p>
    <w:p w14:paraId="5ADF2CB6">
      <w:pPr>
        <w:pStyle w:val="7"/>
        <w:spacing w:line="300" w:lineRule="auto"/>
        <w:ind w:firstLine="420"/>
      </w:pPr>
      <w:r>
        <w:t xml:space="preserve">策略以 </w:t>
      </w:r>
      <w:r>
        <w:rPr>
          <w:rFonts w:ascii="Courier New" w:hAnsi="Courier New"/>
        </w:rPr>
        <w:t>modules/strategies/registry.py</w:t>
      </w:r>
      <w:r>
        <w:t xml:space="preserve"> 的 </w:t>
      </w:r>
      <w:r>
        <w:rPr>
          <w:rFonts w:ascii="Courier New" w:hAnsi="Courier New"/>
        </w:rPr>
        <w:t>STRATEGY_REGISTRY</w:t>
      </w:r>
      <w:r>
        <w:t xml:space="preserve"> 全局单例字典组织，</w:t>
      </w:r>
      <w:r>
        <w:rPr>
          <w:rFonts w:ascii="Courier New" w:hAnsi="Courier New"/>
        </w:rPr>
        <w:t>BaseStrategy</w:t>
      </w:r>
      <w:r>
        <w:t xml:space="preserve"> 基类被刻意设计为可被 pickle 跨进程传输——这一约束使得批量回测（</w:t>
      </w:r>
      <w:r>
        <w:rPr>
          <w:rFonts w:ascii="Courier New" w:hAnsi="Courier New"/>
        </w:rPr>
        <w:t>run_batch</w:t>
      </w:r>
      <w:r>
        <w:t xml:space="preserve">）可借 </w:t>
      </w:r>
      <w:r>
        <w:rPr>
          <w:rFonts w:ascii="Courier New" w:hAnsi="Courier New"/>
        </w:rPr>
        <w:t>ProcessPoolExecutor</w:t>
      </w:r>
      <w:r>
        <w:t xml:space="preserve"> 并行执行，而不必担心策略对象无法跨进程传递。</w:t>
      </w:r>
    </w:p>
    <w:p w14:paraId="0E542AE4">
      <w:pPr>
        <w:pStyle w:val="7"/>
        <w:spacing w:line="300" w:lineRule="auto"/>
        <w:ind w:firstLine="420"/>
      </w:pPr>
      <w:r>
        <w:t xml:space="preserve">需要隔离原生扩展崩溃的场景则由 </w:t>
      </w:r>
      <w:r>
        <w:rPr>
          <w:rFonts w:ascii="Courier New" w:hAnsi="Courier New"/>
        </w:rPr>
        <w:t>modules/shepherd_reconstruct.py</w:t>
      </w:r>
      <w:r>
        <w:t xml:space="preserve"> 承担：该模块对牧羊人市场情绪指标做 2007 年至今的历史回溯重构，明确使用 </w:t>
      </w:r>
      <w:r>
        <w:rPr>
          <w:rFonts w:ascii="Courier New" w:hAnsi="Courier New"/>
        </w:rPr>
        <w:t>ProcessPoolExecutor</w:t>
      </w:r>
      <w:r>
        <w:t xml:space="preserve">（第 348 行）配合 </w:t>
      </w:r>
      <w:r>
        <w:rPr>
          <w:rFonts w:ascii="Courier New" w:hAnsi="Courier New"/>
        </w:rPr>
        <w:t>if __name__ == "__main__":</w:t>
      </w:r>
      <w:r>
        <w:t xml:space="preserve"> 守卫（第 650 行），让每个 worker 进程持有独立的 V8 实例，从而把 </w:t>
      </w:r>
      <w:r>
        <w:rPr>
          <w:rFonts w:ascii="Courier New" w:hAnsi="Courier New"/>
        </w:rPr>
        <w:t>py_mini_racer</w:t>
      </w:r>
      <w:r>
        <w:t xml:space="preserve"> 在 Windows 下的偶发崩溃隔离在单个子进程内，不拖垮主进程。这一"以进程边界换取稳定性"的取舍，是数据处理型模块应对不可控原生依赖的务实做法。</w:t>
      </w:r>
    </w:p>
    <w:p w14:paraId="31CB9185">
      <w:pPr>
        <w:pStyle w:val="7"/>
        <w:spacing w:line="300" w:lineRule="auto"/>
        <w:ind w:firstLine="420"/>
      </w:pPr>
      <w:r>
        <w:t>图 4-3 把上述流程串成一条可复核的链路：配置与数据是输入，信号生成与撮合彼此解耦（信号由策略预生成、撮合只消费信号序列），成本扣除集中在撮合环节，绩效统计与产物输出位于末端。并行的部分被刻意画成独立分支——只有批量与历史回溯走多进程，单标的回测仍是同步执行，避免为少量任务付出进程创建与序列化开销。</w:t>
      </w:r>
    </w:p>
    <w:p w14:paraId="76DAA21E">
      <w:pPr>
        <w:pStyle w:val="7"/>
        <w:jc w:val="center"/>
      </w:pPr>
      <w:r>
        <w:rPr>
          <w:rFonts w:ascii="Times New Roman" w:hAnsi="Times New Roman" w:eastAsia="宋体"/>
          <w:sz w:val="21"/>
        </w:rPr>
        <w:pict>
          <v:shape id="_x0000_i1028" o:spt="75" alt="fig_backtest" type="#_x0000_t75" style="height:304.5pt;width:462pt;" filled="f" o:preferrelative="t" stroked="f" coordsize="21600,21600">
            <v:path/>
            <v:fill on="f" focussize="0,0"/>
            <v:stroke on="f"/>
            <v:imagedata r:id="rId21" o:title=""/>
            <o:lock v:ext="edit" aspectratio="t"/>
            <w10:wrap type="none"/>
            <w10:anchorlock/>
          </v:shape>
        </w:pict>
      </w:r>
      <w:r>
        <w:rPr>
          <w:rFonts w:ascii="Times New Roman" w:hAnsi="Times New Roman" w:eastAsia="宋体"/>
          <w:sz w:val="21"/>
        </w:rPr>
        <w:t>图 4-3　策略回测引擎执行流程</w:t>
      </w:r>
    </w:p>
    <w:p w14:paraId="54CE53DD">
      <w:pPr>
        <w:pStyle w:val="7"/>
        <w:spacing w:line="300" w:lineRule="auto"/>
        <w:ind w:firstLine="420"/>
      </w:pPr>
      <w:r>
        <w:t xml:space="preserve">&gt; </w:t>
      </w:r>
      <w:r>
        <w:rPr>
          <w:b/>
        </w:rPr>
        <w:t>【待补截图 6】</w:t>
      </w:r>
      <w:r>
        <w:t xml:space="preserve"> 回测结果页：含净值曲线 + 逐笔交易明细 + 绩效指标（总收益/最大回撤/胜率/盈亏比），与正文图 4-3、图 6-5 对应。</w:t>
      </w:r>
    </w:p>
    <w:p w14:paraId="0C054EAD">
      <w:pPr>
        <w:pStyle w:val="3"/>
      </w:pPr>
      <w:bookmarkStart w:id="32" w:name="_Toc19099"/>
      <w:r>
        <w:t>4.5 个股分析与多股对比</w:t>
      </w:r>
      <w:bookmarkEnd w:id="32"/>
    </w:p>
    <w:p w14:paraId="04B39908">
      <w:pPr>
        <w:pStyle w:val="7"/>
        <w:spacing w:line="300" w:lineRule="auto"/>
        <w:ind w:firstLine="420"/>
      </w:pPr>
      <w:r>
        <w:t xml:space="preserve">个股分析对应 </w:t>
      </w:r>
      <w:r>
        <w:rPr>
          <w:rFonts w:ascii="Courier New" w:hAnsi="Courier New"/>
        </w:rPr>
        <w:t>2_个股分析.py</w:t>
      </w:r>
      <w:r>
        <w:t xml:space="preserve">，对单只标的给出基本面、技术面、资金面解读；多股对比由 </w:t>
      </w:r>
      <w:r>
        <w:rPr>
          <w:rFonts w:ascii="Courier New" w:hAnsi="Courier New"/>
        </w:rPr>
        <w:t>modules/compare.py</w:t>
      </w:r>
      <w:r>
        <w:t xml:space="preserve"> 支撑，支持 </w:t>
      </w:r>
      <w:r>
        <w:rPr>
          <w:b/>
        </w:rPr>
        <w:t>≥5 只标的</w:t>
      </w:r>
      <w:r>
        <w:t xml:space="preserve">同屏比较，复刻 </w:t>
      </w:r>
      <w:r>
        <w:rPr>
          <w:rFonts w:ascii="Courier New" w:hAnsi="Courier New"/>
        </w:rPr>
        <w:t>compare-analysis</w:t>
      </w:r>
      <w:r>
        <w:t xml:space="preserve"> 报告的 UI/UX——包含综合评分、维度雷达与相对强弱。多股对比的并行取数走 4.7 节的共享线程池与降级链，因此即便个别标的源暂时不可用，对比结果仍能在降级数据上完成。</w:t>
      </w:r>
    </w:p>
    <w:p w14:paraId="7D094380">
      <w:pPr>
        <w:pStyle w:val="7"/>
        <w:spacing w:line="300" w:lineRule="auto"/>
        <w:ind w:firstLine="420"/>
      </w:pPr>
      <w:r>
        <w:t xml:space="preserve">综合评分在 </w:t>
      </w:r>
      <w:r>
        <w:rPr>
          <w:rFonts w:ascii="Courier New" w:hAnsi="Courier New"/>
        </w:rPr>
        <w:t>modules/compare.py</w:t>
      </w:r>
      <w:r>
        <w:t xml:space="preserve"> 中由四维加权得到，权重对使用者公开（趋势 0.30、动量 0.25、量能 0.20、形态 0.25），因此"某只股票为什么排第一"是可以追问的，而不是黑箱排序：</w:t>
      </w:r>
    </w:p>
    <w:p w14:paraId="183BAE64">
      <w:pPr>
        <w:pStyle w:val="7"/>
      </w:pPr>
      <w:r>
        <w:rPr>
          <w:rFonts w:ascii="Courier New" w:hAnsi="Courier New" w:eastAsia="宋体"/>
          <w:sz w:val="18"/>
        </w:rPr>
        <w:t>composite = int(round(0.30 * trend + 0.25 * mom + 0.20 * vol + 0.25 * pat))</w:t>
      </w:r>
      <w:r>
        <w:rPr>
          <w:rFonts w:ascii="Courier New" w:hAnsi="Courier New" w:eastAsia="宋体"/>
          <w:sz w:val="18"/>
        </w:rPr>
        <w:br w:type="textWrapping"/>
      </w:r>
      <w:r>
        <w:rPr>
          <w:rFonts w:ascii="Courier New" w:hAnsi="Courier New" w:eastAsia="宋体"/>
          <w:sz w:val="18"/>
        </w:rPr>
        <w:t>row["scores"] = {"trend": trend, "momentum": mom, "volume": vol,</w:t>
      </w:r>
      <w:r>
        <w:rPr>
          <w:rFonts w:ascii="Courier New" w:hAnsi="Courier New" w:eastAsia="宋体"/>
          <w:sz w:val="18"/>
        </w:rPr>
        <w:br w:type="textWrapping"/>
      </w:r>
      <w:r>
        <w:rPr>
          <w:rFonts w:ascii="Courier New" w:hAnsi="Courier New" w:eastAsia="宋体"/>
          <w:sz w:val="18"/>
        </w:rPr>
        <w:t xml:space="preserve">                 "pattern": pat, "composite": composite}</w:t>
      </w:r>
      <w:r>
        <w:rPr>
          <w:rFonts w:ascii="Courier New" w:hAnsi="Courier New" w:eastAsia="宋体"/>
          <w:sz w:val="18"/>
        </w:rPr>
        <w:br w:type="textWrapping"/>
      </w:r>
      <w:r>
        <w:rPr>
          <w:rFonts w:ascii="Courier New" w:hAnsi="Courier New" w:eastAsia="宋体"/>
          <w:sz w:val="18"/>
        </w:rPr>
        <w:t>row["elasticity"] = float(rets.std() * np.sqrt(242) * 100)   # 年化波动率(%)</w:t>
      </w:r>
    </w:p>
    <w:p w14:paraId="50F7020A">
      <w:pPr>
        <w:pStyle w:val="7"/>
        <w:spacing w:line="300" w:lineRule="auto"/>
        <w:ind w:firstLine="420"/>
      </w:pPr>
      <w:r>
        <w:t xml:space="preserve">单只标的取数失败时的处理同样值得注意：不是把整张对比表置空，而是把该行降级为中性默认（各维度 50 分、信号"持有"）并标记 </w:t>
      </w:r>
      <w:r>
        <w:rPr>
          <w:rFonts w:ascii="Courier New" w:hAnsi="Courier New"/>
        </w:rPr>
        <w:t>error</w:t>
      </w:r>
      <w:r>
        <w:t>，让用户可以立刻看出"这一行没数据"，而不是被一个看起来正常的 50 分误导。多级降级与显式标记的配合，是对比类功能可用性的关键。</w:t>
      </w:r>
    </w:p>
    <w:p w14:paraId="4E4CA45D">
      <w:pPr>
        <w:pStyle w:val="7"/>
        <w:spacing w:line="300" w:lineRule="auto"/>
        <w:ind w:firstLine="420"/>
      </w:pPr>
      <w:r>
        <w:t xml:space="preserve">&gt; </w:t>
      </w:r>
      <w:r>
        <w:rPr>
          <w:b/>
        </w:rPr>
        <w:t>【待补截图 4】</w:t>
      </w:r>
      <w:r>
        <w:t xml:space="preserve"> 个股分析页（2_个股分析.py）：含基本面 / 技术面 / 资金面三维解读。</w:t>
      </w:r>
    </w:p>
    <w:p w14:paraId="3AB15AF1">
      <w:pPr>
        <w:pStyle w:val="7"/>
        <w:spacing w:line="300" w:lineRule="auto"/>
        <w:ind w:firstLine="420"/>
      </w:pPr>
      <w:r>
        <w:t xml:space="preserve">&gt; </w:t>
      </w:r>
      <w:r>
        <w:rPr>
          <w:b/>
        </w:rPr>
        <w:t>【待补截图 5】</w:t>
      </w:r>
      <w:r>
        <w:t xml:space="preserve"> 多股对比页：含综合评分列、维度雷达、相对强弱，至少 5 只标的同屏。</w:t>
      </w:r>
    </w:p>
    <w:p w14:paraId="57C847F1">
      <w:pPr>
        <w:pStyle w:val="3"/>
      </w:pPr>
      <w:bookmarkStart w:id="33" w:name="_Toc14077"/>
      <w:r>
        <w:t>4.6 持仓管理与数据多源治理</w:t>
      </w:r>
      <w:bookmarkEnd w:id="33"/>
    </w:p>
    <w:p w14:paraId="2A79324A">
      <w:pPr>
        <w:pStyle w:val="7"/>
        <w:spacing w:line="300" w:lineRule="auto"/>
        <w:ind w:firstLine="420"/>
      </w:pPr>
      <w:r>
        <w:t xml:space="preserve">持仓与治理对应 </w:t>
      </w:r>
      <w:r>
        <w:rPr>
          <w:rFonts w:ascii="Courier New" w:hAnsi="Courier New"/>
        </w:rPr>
        <w:t>fetcher.py</w:t>
      </w:r>
      <w:r>
        <w:t>（多源降级）、</w:t>
      </w:r>
      <w:r>
        <w:rPr>
          <w:rFonts w:ascii="Courier New" w:hAnsi="Courier New"/>
        </w:rPr>
        <w:t>mark_suspect</w:t>
      </w:r>
      <w:r>
        <w:t xml:space="preserve">（脏数据标记）与 </w:t>
      </w:r>
      <w:r>
        <w:rPr>
          <w:rFonts w:ascii="Courier New" w:hAnsi="Courier New"/>
        </w:rPr>
        <w:t>shepherd_ladder</w:t>
      </w:r>
      <w:r>
        <w:t>（</w:t>
      </w:r>
      <w:r>
        <w:rPr>
          <w:rFonts w:ascii="Courier New" w:hAnsi="Courier New"/>
        </w:rPr>
        <w:t>ladder_promotion_rates</w:t>
      </w:r>
      <w:r>
        <w:t xml:space="preserve"> 跨日递推、</w:t>
      </w:r>
      <w:r>
        <w:rPr>
          <w:rFonts w:ascii="Courier New" w:hAnsi="Courier New"/>
        </w:rPr>
        <w:t>prev_overall</w:t>
      </w:r>
      <w:r>
        <w:t xml:space="preserve"> 环比基准）。</w:t>
      </w:r>
    </w:p>
    <w:p w14:paraId="547B6205">
      <w:pPr>
        <w:pStyle w:val="7"/>
        <w:spacing w:line="300" w:lineRule="auto"/>
        <w:ind w:firstLine="420"/>
      </w:pPr>
      <w:r>
        <w:t xml:space="preserve">多源取数采用 akshare → BaoStock → 新浪财经 → 东方财富（urllib）→ 本地缓存的五级降级链：单源失败自动切换到下一源，最终仍以缓存兜底，保证取数韧性。外部源偶发的脏数据（例如涨停板晋级率异常）以 </w:t>
      </w:r>
      <w:r>
        <w:rPr>
          <w:rFonts w:ascii="Courier New" w:hAnsi="Courier New"/>
        </w:rPr>
        <w:t>mark_suspect</w:t>
      </w:r>
      <w:r>
        <w:t xml:space="preserve"> 标记，下游决策对其降权——这是第 5 章"决策可信"的前提，脏数据若直接进入 </w:t>
      </w:r>
      <w:r>
        <w:rPr>
          <w:rFonts w:ascii="Courier New" w:hAnsi="Courier New"/>
        </w:rPr>
        <w:t>derive_position</w:t>
      </w:r>
      <w:r>
        <w:t xml:space="preserve"> 会污染仓位建议。</w:t>
      </w:r>
    </w:p>
    <w:p w14:paraId="485FDCBC">
      <w:pPr>
        <w:pStyle w:val="7"/>
        <w:spacing w:line="300" w:lineRule="auto"/>
        <w:ind w:firstLine="420"/>
      </w:pPr>
      <w:r>
        <w:t>降级链的实现方式值得一说：四个在线源不是串行尝试，而是</w:t>
      </w:r>
      <w:r>
        <w:rPr>
          <w:b/>
        </w:rPr>
        <w:t>并行竞速</w:t>
      </w:r>
      <w:r>
        <w:t>——任一源先成功即被采用，慢源与挂起源随后取消，因此取数耗时由"各源之和"降为"最快单源"；四源全败才由第五级（任意过期缓存）兜底：</w:t>
      </w:r>
    </w:p>
    <w:p w14:paraId="54761DF2">
      <w:pPr>
        <w:pStyle w:val="7"/>
      </w:pPr>
      <w:r>
        <w:rPr>
          <w:rFonts w:ascii="Courier New" w:hAnsi="Courier New" w:eastAsia="宋体"/>
          <w:sz w:val="18"/>
        </w:rPr>
        <w:t>levels = ["L1", "L2", "L3", "L4"]                    # akshare / BaoStock / 新浪 / 东财</w:t>
      </w:r>
      <w:r>
        <w:rPr>
          <w:rFonts w:ascii="Courier New" w:hAnsi="Courier New" w:eastAsia="宋体"/>
          <w:sz w:val="18"/>
        </w:rPr>
        <w:br w:type="textWrapping"/>
      </w:r>
      <w:r>
        <w:rPr>
          <w:rFonts w:ascii="Courier New" w:hAnsi="Courier New" w:eastAsia="宋体"/>
          <w:sz w:val="18"/>
        </w:rPr>
        <w:t>futs = {ex.submit(self._fetch_level, lv, symbol, start, end, adjust): lv for lv in levels}</w:t>
      </w:r>
      <w:r>
        <w:rPr>
          <w:rFonts w:ascii="Courier New" w:hAnsi="Courier New" w:eastAsia="宋体"/>
          <w:sz w:val="18"/>
        </w:rPr>
        <w:br w:type="textWrapping"/>
      </w:r>
      <w:r>
        <w:rPr>
          <w:rFonts w:ascii="Courier New" w:hAnsi="Courier New" w:eastAsia="宋体"/>
          <w:sz w:val="18"/>
        </w:rPr>
        <w:t>done, not_done = _cf.wait(futs, timeout=10, return_when=_cf.FIRST_COMPLETED)</w:t>
      </w:r>
      <w:r>
        <w:rPr>
          <w:rFonts w:ascii="Courier New" w:hAnsi="Courier New" w:eastAsia="宋体"/>
          <w:sz w:val="18"/>
        </w:rPr>
        <w:br w:type="textWrapping"/>
      </w:r>
      <w:r>
        <w:rPr>
          <w:rFonts w:ascii="Courier New" w:hAnsi="Courier New" w:eastAsia="宋体"/>
          <w:sz w:val="18"/>
        </w:rPr>
        <w:t>for fut in done:                                      # 先完成者若成功立即采用，不再等慢源</w:t>
      </w:r>
      <w:r>
        <w:rPr>
          <w:rFonts w:ascii="Courier New" w:hAnsi="Courier New" w:eastAsia="宋体"/>
          <w:sz w:val="18"/>
        </w:rPr>
        <w:br w:type="textWrapping"/>
      </w:r>
      <w:r>
        <w:rPr>
          <w:rFonts w:ascii="Courier New" w:hAnsi="Courier New" w:eastAsia="宋体"/>
          <w:sz w:val="18"/>
        </w:rPr>
        <w:t xml:space="preserve">    res_df, res_err = fut.result()</w:t>
      </w:r>
      <w:r>
        <w:rPr>
          <w:rFonts w:ascii="Courier New" w:hAnsi="Courier New" w:eastAsia="宋体"/>
          <w:sz w:val="18"/>
        </w:rPr>
        <w:br w:type="textWrapping"/>
      </w:r>
      <w:r>
        <w:rPr>
          <w:rFonts w:ascii="Courier New" w:hAnsi="Courier New" w:eastAsia="宋体"/>
          <w:sz w:val="18"/>
        </w:rPr>
        <w:t xml:space="preserve">    if res_df is not None and not res_df.empty:</w:t>
      </w:r>
      <w:r>
        <w:rPr>
          <w:rFonts w:ascii="Courier New" w:hAnsi="Courier New" w:eastAsia="宋体"/>
          <w:sz w:val="18"/>
        </w:rPr>
        <w:br w:type="textWrapping"/>
      </w:r>
      <w:r>
        <w:rPr>
          <w:rFonts w:ascii="Courier New" w:hAnsi="Courier New" w:eastAsia="宋体"/>
          <w:sz w:val="18"/>
        </w:rPr>
        <w:t xml:space="preserve">        df = res_df</w:t>
      </w:r>
      <w:r>
        <w:rPr>
          <w:rFonts w:ascii="Courier New" w:hAnsi="Courier New" w:eastAsia="宋体"/>
          <w:sz w:val="18"/>
        </w:rPr>
        <w:br w:type="textWrapping"/>
      </w:r>
      <w:r>
        <w:rPr>
          <w:rFonts w:ascii="Courier New" w:hAnsi="Courier New" w:eastAsia="宋体"/>
          <w:sz w:val="18"/>
        </w:rPr>
        <w:t xml:space="preserve">        break</w:t>
      </w:r>
      <w:r>
        <w:rPr>
          <w:rFonts w:ascii="Courier New" w:hAnsi="Courier New" w:eastAsia="宋体"/>
          <w:sz w:val="18"/>
        </w:rPr>
        <w:br w:type="textWrapping"/>
      </w:r>
      <w:r>
        <w:rPr>
          <w:rFonts w:ascii="Courier New" w:hAnsi="Courier New" w:eastAsia="宋体"/>
          <w:sz w:val="18"/>
        </w:rPr>
        <w:t>...</w:t>
      </w:r>
      <w:r>
        <w:rPr>
          <w:rFonts w:ascii="Courier New" w:hAnsi="Courier New" w:eastAsia="宋体"/>
          <w:sz w:val="18"/>
        </w:rPr>
        <w:br w:type="textWrapping"/>
      </w:r>
      <w:r>
        <w:rPr>
          <w:rFonts w:ascii="Courier New" w:hAnsi="Courier New" w:eastAsia="宋体"/>
          <w:sz w:val="18"/>
        </w:rPr>
        <w:t>ex.shutdown(wait=False, cancel_futures=True)          # 取消被墙挂起的源，不阻塞等待</w:t>
      </w:r>
      <w:r>
        <w:rPr>
          <w:rFonts w:ascii="Courier New" w:hAnsi="Courier New" w:eastAsia="宋体"/>
          <w:sz w:val="18"/>
        </w:rPr>
        <w:br w:type="textWrapping"/>
      </w:r>
      <w:r>
        <w:rPr>
          <w:rFonts w:ascii="Courier New" w:hAnsi="Courier New" w:eastAsia="宋体"/>
          <w:sz w:val="18"/>
        </w:rPr>
        <w:t>if df is None or df.empty:</w:t>
      </w:r>
      <w:r>
        <w:rPr>
          <w:rFonts w:ascii="Courier New" w:hAnsi="Courier New" w:eastAsia="宋体"/>
          <w:sz w:val="18"/>
        </w:rPr>
        <w:br w:type="textWrapping"/>
      </w:r>
      <w:r>
        <w:rPr>
          <w:rFonts w:ascii="Courier New" w:hAnsi="Courier New" w:eastAsia="宋体"/>
          <w:sz w:val="18"/>
        </w:rPr>
        <w:t xml:space="preserve">    stale = self._read_stale_cache(conn, "daily_cache", f"daily_{symbol}")   # L5 缓存兜底</w:t>
      </w:r>
    </w:p>
    <w:p w14:paraId="2328294C">
      <w:pPr>
        <w:pStyle w:val="7"/>
        <w:spacing w:line="300" w:lineRule="auto"/>
        <w:ind w:firstLine="420"/>
      </w:pPr>
      <w:r>
        <w:t xml:space="preserve">脏数据处理则体现为 </w:t>
      </w:r>
      <w:r>
        <w:rPr>
          <w:rFonts w:ascii="Courier New" w:hAnsi="Courier New"/>
        </w:rPr>
        <w:t>mark_suspect</w:t>
      </w:r>
      <w:r>
        <w:t>（</w:t>
      </w:r>
      <w:r>
        <w:rPr>
          <w:rFonts w:ascii="Courier New" w:hAnsi="Courier New"/>
        </w:rPr>
        <w:t>modules/shepherd_ladder.py</w:t>
      </w:r>
      <w:r>
        <w:t xml:space="preserve"> L353）。它采用</w:t>
      </w:r>
      <w:r>
        <w:rPr>
          <w:b/>
        </w:rPr>
        <w:t>软标记</w:t>
      </w:r>
      <w:r>
        <w:t xml:space="preserve">：只给条目打 </w:t>
      </w:r>
      <w:r>
        <w:rPr>
          <w:rFonts w:ascii="Courier New" w:hAnsi="Courier New"/>
        </w:rPr>
        <w:t>suspect</w:t>
      </w:r>
      <w:r>
        <w:t xml:space="preserve"> 标记并记录原因与时间，被标记的条目在 </w:t>
      </w:r>
      <w:r>
        <w:rPr>
          <w:rFonts w:ascii="Courier New" w:hAnsi="Courier New"/>
        </w:rPr>
        <w:t>ladder_promotion_rates()</w:t>
      </w:r>
      <w:r>
        <w:t xml:space="preserve"> 中被跳过，但数据本身从不删除、可随时 </w:t>
      </w:r>
      <w:r>
        <w:rPr>
          <w:rFonts w:ascii="Courier New" w:hAnsi="Courier New"/>
        </w:rPr>
        <w:t>unmark</w:t>
      </w:r>
      <w:r>
        <w:t xml:space="preserve"> 恢复。这一取舍的理由是——脏数据往往要过一段时间才能确认是不是真的脏，直接删除会让日后的复核无从下手。</w:t>
      </w:r>
    </w:p>
    <w:p w14:paraId="5BEE4983">
      <w:pPr>
        <w:pStyle w:val="7"/>
        <w:spacing w:line="300" w:lineRule="auto"/>
        <w:ind w:firstLine="420"/>
      </w:pPr>
      <w:r>
        <w:t xml:space="preserve">&gt; </w:t>
      </w:r>
      <w:r>
        <w:rPr>
          <w:b/>
        </w:rPr>
        <w:t>【待补截图 7】</w:t>
      </w:r>
      <w:r>
        <w:t xml:space="preserve"> 持仓管理页：含持仓列表、多源取数降级状态、mark_suspect 标记示意（可选，能体现 4.6 节脏数据软标记即可）。</w:t>
      </w:r>
    </w:p>
    <w:p w14:paraId="67A12603">
      <w:pPr>
        <w:pStyle w:val="3"/>
      </w:pPr>
      <w:bookmarkStart w:id="34" w:name="_Toc31292"/>
      <w:r>
        <w:t>4.7 并发取数与降级链工程</w:t>
      </w:r>
      <w:bookmarkEnd w:id="34"/>
    </w:p>
    <w:p w14:paraId="0D65931E">
      <w:pPr>
        <w:pStyle w:val="7"/>
        <w:spacing w:line="300" w:lineRule="auto"/>
        <w:ind w:firstLine="420"/>
      </w:pPr>
      <w:r>
        <w:t>行情、事件、梯队等信号在日内高频涌现，页面往往需要在一次渲染中并发拉取十余个数据源。若对每个请求都新建线程池，高峰时段会积累大量短命线程直至资源耗尽；若单源卡死，又会拖垮整页。StockSignal 用三个相互配合的机制解决这个问题。</w:t>
      </w:r>
    </w:p>
    <w:p w14:paraId="68597E64">
      <w:pPr>
        <w:pStyle w:val="7"/>
        <w:spacing w:line="300" w:lineRule="auto"/>
        <w:ind w:firstLine="420"/>
      </w:pPr>
      <w:r>
        <w:rPr>
          <w:b/>
        </w:rPr>
        <w:t>共享有界线程池。</w:t>
      </w:r>
      <w:r>
        <w:t xml:space="preserve"> </w:t>
      </w:r>
      <w:r>
        <w:rPr>
          <w:rFonts w:ascii="Courier New" w:hAnsi="Courier New"/>
        </w:rPr>
        <w:t>modules/timeout_exec.py</w:t>
      </w:r>
      <w:r>
        <w:t xml:space="preserve"> 在模块级维护一个单例 </w:t>
      </w:r>
      <w:r>
        <w:rPr>
          <w:rFonts w:ascii="Courier New" w:hAnsi="Courier New"/>
        </w:rPr>
        <w:t>_POOL</w:t>
      </w:r>
      <w:r>
        <w:t>（</w:t>
      </w:r>
      <w:r>
        <w:rPr>
          <w:rFonts w:ascii="Courier New" w:hAnsi="Courier New"/>
        </w:rPr>
        <w:t>_MAX_WORKERS = 16</w:t>
      </w:r>
      <w:r>
        <w:t>），以双重检查锁（</w:t>
      </w:r>
      <w:r>
        <w:rPr>
          <w:rFonts w:ascii="Courier New" w:hAnsi="Courier New"/>
        </w:rPr>
        <w:t>_POOL_LOCK</w:t>
      </w:r>
      <w:r>
        <w:t xml:space="preserve">）保证进程内只存在一个线程池实例，取代早期"每次调用都新建 </w:t>
      </w:r>
      <w:r>
        <w:rPr>
          <w:rFonts w:ascii="Courier New" w:hAnsi="Courier New"/>
        </w:rPr>
        <w:t>ThreadPoolExecutor(max_workers=1)</w:t>
      </w:r>
      <w:r>
        <w:t>"的实现。这样所有网络取数复用同一批 16 个工作线程，彻底消除线程泄漏。</w:t>
      </w:r>
    </w:p>
    <w:p w14:paraId="3A299632">
      <w:pPr>
        <w:pStyle w:val="7"/>
        <w:spacing w:line="300" w:lineRule="auto"/>
        <w:ind w:firstLine="420"/>
      </w:pPr>
      <w:r>
        <w:rPr>
          <w:b/>
        </w:rPr>
        <w:t>整批超时与并发闸门。</w:t>
      </w:r>
      <w:r>
        <w:t xml:space="preserve"> </w:t>
      </w:r>
      <w:r>
        <w:rPr>
          <w:rFonts w:ascii="Courier New" w:hAnsi="Courier New"/>
        </w:rPr>
        <w:t>modules/fetch_parallel.py::fetch_many</w:t>
      </w:r>
      <w:r>
        <w:t xml:space="preserve"> 与 </w:t>
      </w:r>
      <w:r>
        <w:rPr>
          <w:rFonts w:ascii="Courier New" w:hAnsi="Courier New"/>
        </w:rPr>
        <w:t>_POOL</w:t>
      </w:r>
      <w:r>
        <w:t xml:space="preserve"> 共用同一池，以 </w:t>
      </w:r>
      <w:r>
        <w:rPr>
          <w:rFonts w:ascii="Courier New" w:hAnsi="Courier New"/>
        </w:rPr>
        <w:t>Semaphore(max_workers)</w:t>
      </w:r>
      <w:r>
        <w:t xml:space="preserve"> 限制同时发起的请求数；循环改用 </w:t>
      </w:r>
      <w:r>
        <w:rPr>
          <w:rFonts w:ascii="Courier New" w:hAnsi="Courier New"/>
        </w:rPr>
        <w:t>as_completed</w:t>
      </w:r>
      <w:r>
        <w:t xml:space="preserve"> 并在整批上施加硬超时（默认取 </w:t>
      </w:r>
      <w:r>
        <w:rPr>
          <w:rFonts w:ascii="Courier New" w:hAnsi="Courier New"/>
        </w:rPr>
        <w:t>CALL_TIMEOUT_CAP</w:t>
      </w:r>
      <w:r>
        <w:t xml:space="preserve">）。注释中特别指出：若不用 </w:t>
      </w:r>
      <w:r>
        <w:rPr>
          <w:rFonts w:ascii="Courier New" w:hAnsi="Courier New"/>
        </w:rPr>
        <w:t>as_completed</w:t>
      </w:r>
      <w:r>
        <w:t xml:space="preserve"> 而改用顺序 </w:t>
      </w:r>
      <w:r>
        <w:rPr>
          <w:rFonts w:ascii="Courier New" w:hAnsi="Courier New"/>
        </w:rPr>
        <w:t>fut.result(timeout=...)</w:t>
      </w:r>
      <w:r>
        <w:t xml:space="preserve">，当某个任务永久阻塞时，后续 </w:t>
      </w:r>
      <w:r>
        <w:rPr>
          <w:rFonts w:ascii="Courier New" w:hAnsi="Courier New"/>
        </w:rPr>
        <w:t>result</w:t>
      </w:r>
      <w:r>
        <w:t xml:space="preserve"> 调用根本执行不到，超时保护形同虚设。因此必须让先完成的任务先被回收，再对剩余任务统一施加整批边界。</w:t>
      </w:r>
    </w:p>
    <w:p w14:paraId="27C751FA">
      <w:pPr>
        <w:pStyle w:val="7"/>
        <w:spacing w:line="300" w:lineRule="auto"/>
        <w:ind w:firstLine="420"/>
      </w:pPr>
      <w:r>
        <w:rPr>
          <w:b/>
        </w:rPr>
        <w:t>配置不变量自纠。</w:t>
      </w:r>
      <w:r>
        <w:t xml:space="preserve"> 整批超时的正确性依赖一个不变量：</w:t>
      </w:r>
      <w:r>
        <w:rPr>
          <w:rFonts w:ascii="Courier New" w:hAnsi="Courier New"/>
        </w:rPr>
        <w:t>modules/site_config.py</w:t>
      </w:r>
      <w:r>
        <w:t xml:space="preserve"> 中 </w:t>
      </w:r>
      <w:r>
        <w:rPr>
          <w:rFonts w:ascii="Courier New" w:hAnsi="Courier New"/>
        </w:rPr>
        <w:t>REQUEST_TIMEOUT</w:t>
      </w:r>
      <w:r>
        <w:t>（底层网络默认超时）= 10 秒，</w:t>
      </w:r>
      <w:r>
        <w:rPr>
          <w:b/>
        </w:rPr>
        <w:t>必须严格小于</w:t>
      </w:r>
      <w:r>
        <w:t xml:space="preserve"> </w:t>
      </w:r>
      <w:r>
        <w:rPr>
          <w:rFonts w:ascii="Courier New" w:hAnsi="Courier New"/>
        </w:rPr>
        <w:t>CALL_TIMEOUT_CAP</w:t>
      </w:r>
      <w:r>
        <w:t xml:space="preserve">（单只取数硬边界）= 12 秒。若运维误配使二者关系反转，底层网络不会先被传输层超时唤醒，共享池反而会被硬边界丢弃线程造成泄漏。该模块在检测到 </w:t>
      </w:r>
      <w:r>
        <w:rPr>
          <w:rFonts w:ascii="Courier New" w:hAnsi="Courier New"/>
        </w:rPr>
        <w:t>CALL_TIMEOUT_CAP &lt;= REQUEST_TIMEOUT</w:t>
      </w:r>
      <w:r>
        <w:t xml:space="preserve"> 时，自动纠正为 </w:t>
      </w:r>
      <w:r>
        <w:rPr>
          <w:rFonts w:ascii="Courier New" w:hAnsi="Courier New"/>
        </w:rPr>
        <w:t>REQUEST_TIMEOUT + 2</w:t>
      </w:r>
      <w:r>
        <w:t xml:space="preserve"> 并打印告警，而不是静默留下泄漏隐患。</w:t>
      </w:r>
    </w:p>
    <w:p w14:paraId="4E62FB90">
      <w:pPr>
        <w:pStyle w:val="7"/>
        <w:spacing w:line="300" w:lineRule="auto"/>
        <w:ind w:firstLine="420"/>
      </w:pPr>
      <w:r>
        <w:rPr>
          <w:b/>
        </w:rPr>
        <w:t>多源降级兜底。</w:t>
      </w:r>
      <w:r>
        <w:t xml:space="preserve"> 如 4.6 所述，</w:t>
      </w:r>
      <w:r>
        <w:rPr>
          <w:rFonts w:ascii="Courier New" w:hAnsi="Courier New"/>
        </w:rPr>
        <w:t>fetcher.py</w:t>
      </w:r>
      <w:r>
        <w:t xml:space="preserve"> 的五级降级链让并发取数在任意单源故障时不中断。共享池、整批超时、配置自纠、源级降级四者叠加，构成了"取数永远有界、单点故障不扩散"的工程底座。</w:t>
      </w:r>
    </w:p>
    <w:p w14:paraId="0120DE34">
      <w:pPr>
        <w:pStyle w:val="3"/>
      </w:pPr>
      <w:bookmarkStart w:id="35" w:name="_Toc12094"/>
      <w:r>
        <w:t>4.8 安全基线：接口契约、鉴权与防护</w:t>
      </w:r>
      <w:bookmarkEnd w:id="35"/>
    </w:p>
    <w:p w14:paraId="3265E32F">
      <w:pPr>
        <w:pStyle w:val="7"/>
        <w:spacing w:line="300" w:lineRule="auto"/>
        <w:ind w:firstLine="420"/>
      </w:pPr>
      <w:r>
        <w:t>作为面向网络的投研平台，StockSignal 在后端固化了一套安全基线，而非把安全当作可选的展示层装饰。</w:t>
      </w:r>
    </w:p>
    <w:p w14:paraId="27CCD996">
      <w:pPr>
        <w:pStyle w:val="7"/>
        <w:spacing w:line="300" w:lineRule="auto"/>
        <w:ind w:firstLine="420"/>
      </w:pPr>
      <w:r>
        <w:rPr>
          <w:b/>
        </w:rPr>
        <w:t>统一响应信封。</w:t>
      </w:r>
      <w:r>
        <w:t xml:space="preserve"> </w:t>
      </w:r>
      <w:r>
        <w:rPr>
          <w:rFonts w:ascii="Courier New" w:hAnsi="Courier New"/>
        </w:rPr>
        <w:t>backend/utils/response.py</w:t>
      </w:r>
      <w:r>
        <w:t xml:space="preserve"> 的 </w:t>
      </w:r>
      <w:r>
        <w:rPr>
          <w:rFonts w:ascii="Courier New" w:hAnsi="Courier New"/>
        </w:rPr>
        <w:t>ok()</w:t>
      </w:r>
      <w:r>
        <w:t xml:space="preserve"> / </w:t>
      </w:r>
      <w:r>
        <w:rPr>
          <w:rFonts w:ascii="Courier New" w:hAnsi="Courier New"/>
        </w:rPr>
        <w:t>fail()</w:t>
      </w:r>
      <w:r>
        <w:t xml:space="preserve"> 始终把业务结果包装为 </w:t>
      </w:r>
      <w:r>
        <w:rPr>
          <w:rFonts w:ascii="Courier New" w:hAnsi="Courier New"/>
        </w:rPr>
        <w:t>{"status", "code", "message", "data"}</w:t>
      </w:r>
      <w:r>
        <w:t xml:space="preserve"> 四字段 JSON。任意异常（含未预期异常）经三个全局 errorhandler 后仍返回同一信封，错误信息中的 </w:t>
      </w:r>
      <w:r>
        <w:rPr>
          <w:rFonts w:ascii="Courier New" w:hAnsi="Courier New"/>
        </w:rPr>
        <w:t>message</w:t>
      </w:r>
      <w:r>
        <w:t xml:space="preserve"> 经过脱敏处理，不回显堆栈或内部路径。</w:t>
      </w:r>
      <w:r>
        <w:rPr>
          <w:rFonts w:ascii="Courier New" w:hAnsi="Courier New"/>
        </w:rPr>
        <w:t>backend/tests/test_security.py</w:t>
      </w:r>
      <w:r>
        <w:t xml:space="preserve"> 用正则断言响应体不含栈帧特征，锁死"异常泄露内部实现"的回退。</w:t>
      </w:r>
    </w:p>
    <w:p w14:paraId="38EACCDA">
      <w:pPr>
        <w:pStyle w:val="7"/>
        <w:spacing w:line="300" w:lineRule="auto"/>
        <w:ind w:firstLine="420"/>
      </w:pPr>
      <w:r>
        <w:rPr>
          <w:b/>
        </w:rPr>
        <w:t>鉴权。</w:t>
      </w:r>
      <w:r>
        <w:t xml:space="preserve"> 登录签发 PyJWT 令牌，算法固定为 HS256，默认有效期 7 天（604800 秒），可通过环境变量 </w:t>
      </w:r>
      <w:r>
        <w:rPr>
          <w:rFonts w:ascii="Courier New" w:hAnsi="Courier New"/>
        </w:rPr>
        <w:t>JWT_EXPIRES_SECONDS</w:t>
      </w:r>
      <w:r>
        <w:t xml:space="preserve"> 在生产环境缩短。</w:t>
      </w:r>
      <w:r>
        <w:rPr>
          <w:rFonts w:ascii="Courier New" w:hAnsi="Courier New"/>
        </w:rPr>
        <w:t>backend/auth/service.py</w:t>
      </w:r>
      <w:r>
        <w:t xml:space="preserve"> 负责签发与校验，受 </w:t>
      </w:r>
      <w:r>
        <w:rPr>
          <w:rFonts w:ascii="Courier New" w:hAnsi="Courier New"/>
        </w:rPr>
        <w:t>jwt_required</w:t>
      </w:r>
      <w:r>
        <w:t xml:space="preserve"> 装饰器保护的关键路由（如持仓、订单、配置类接口）必须先验令牌。</w:t>
      </w:r>
    </w:p>
    <w:p w14:paraId="3A9CF46C">
      <w:pPr>
        <w:pStyle w:val="7"/>
        <w:spacing w:line="300" w:lineRule="auto"/>
        <w:ind w:firstLine="420"/>
      </w:pPr>
      <w:r>
        <w:rPr>
          <w:b/>
        </w:rPr>
        <w:t>抗枚举与注入。</w:t>
      </w:r>
      <w:r>
        <w:t xml:space="preserve"> </w:t>
      </w:r>
      <w:r>
        <w:rPr>
          <w:rFonts w:ascii="Courier New" w:hAnsi="Courier New"/>
        </w:rPr>
        <w:t>backend/tests/test_auth_timing_enumeration.py</w:t>
      </w:r>
      <w:r>
        <w:t xml:space="preserve"> 验证登录成功与失败的响应耗时一致，防止攻击者通过响应时间差枚举有效用户名。</w:t>
      </w:r>
      <w:r>
        <w:rPr>
          <w:rFonts w:ascii="Courier New" w:hAnsi="Courier New"/>
        </w:rPr>
        <w:t>ui_kit</w:t>
      </w:r>
      <w:r>
        <w:t xml:space="preserve"> 组件层对所有数据派生文本统一 </w:t>
      </w:r>
      <w:r>
        <w:rPr>
          <w:rFonts w:ascii="Courier New" w:hAnsi="Courier New"/>
        </w:rPr>
        <w:t>html.escape</w:t>
      </w:r>
      <w:r>
        <w:t>，从渲染侧封堵存储型 XSS。分页边界、JSON 体健壮性、请求体大小限制与速率限制均有对应测试（</w:t>
      </w:r>
      <w:r>
        <w:rPr>
          <w:rFonts w:ascii="Courier New" w:hAnsi="Courier New"/>
        </w:rPr>
        <w:t>test_pagination_bounds.py</w:t>
      </w:r>
      <w:r>
        <w:t>、</w:t>
      </w:r>
      <w:r>
        <w:rPr>
          <w:rFonts w:ascii="Courier New" w:hAnsi="Courier New"/>
        </w:rPr>
        <w:t>test_json_body_robustness.py</w:t>
      </w:r>
      <w:r>
        <w:t xml:space="preserve"> 等）覆盖，避免越界或超大负载触发异常。</w:t>
      </w:r>
    </w:p>
    <w:p w14:paraId="2F9BC97D">
      <w:pPr>
        <w:pStyle w:val="7"/>
        <w:spacing w:line="300" w:lineRule="auto"/>
        <w:ind w:firstLine="420"/>
      </w:pPr>
      <w:r>
        <w:t>这套基线使平台在"展示"之外具备可被回归验证的安全属性，也是第 6 章质量门禁的一部分。</w:t>
      </w:r>
    </w:p>
    <w:p w14:paraId="008B42A7">
      <w:pPr>
        <w:pStyle w:val="3"/>
      </w:pPr>
      <w:bookmarkStart w:id="36" w:name="_Toc3110"/>
      <w:r>
        <w:t>4.9 本章小结</w:t>
      </w:r>
      <w:bookmarkEnd w:id="36"/>
    </w:p>
    <w:p w14:paraId="55523B94">
      <w:pPr>
        <w:pStyle w:val="7"/>
        <w:spacing w:line="300" w:lineRule="auto"/>
        <w:ind w:firstLine="420"/>
      </w:pPr>
      <w:r>
        <w:t>本章从分层架构、核心功能到工程底座三个层面说明了平台的实现。分层与解耦（4.1）使 56 个无 UI 依赖的逻辑模块可独立单测；回测引擎以真实成本模型与可 pickle 的策略基类支撑可信评价与并行执行（4.4）；并发取数用共享有界池、整批超时、配置自纠与多级降级四重机制保证韧性（4.7）；安全基线以统一信封、HS256 鉴权、抗枚举与防注入构成可被测试锁死的防护面（4.8）。这些工程事实既是平台"跑得通"的证据，也为第 5 章决策闭环提供了高质量、可信、安全的输入。</w:t>
      </w:r>
    </w:p>
    <w:p w14:paraId="3F01AF81">
      <w:pPr>
        <w:pStyle w:val="2"/>
      </w:pPr>
      <w:bookmarkStart w:id="37" w:name="_Toc22803"/>
      <w:r>
        <w:t>5 创新点：决策闭环与刻度校准</w:t>
      </w:r>
      <w:bookmarkEnd w:id="37"/>
    </w:p>
    <w:p w14:paraId="3345E28C">
      <w:pPr>
        <w:pStyle w:val="7"/>
        <w:spacing w:line="300" w:lineRule="auto"/>
        <w:ind w:firstLine="420"/>
      </w:pPr>
      <w:r>
        <w:t>本章所有算法、函数与常量均引自 StockSignal 真实代码（</w:t>
      </w:r>
      <w:r>
        <w:rPr>
          <w:rFonts w:ascii="Courier New" w:hAnsi="Courier New"/>
        </w:rPr>
        <w:t>modules/decision.py</w:t>
      </w:r>
      <w:r>
        <w:t>、</w:t>
      </w:r>
      <w:r>
        <w:rPr>
          <w:rFonts w:ascii="Courier New" w:hAnsi="Courier New"/>
        </w:rPr>
        <w:t>modules/calibration.py</w:t>
      </w:r>
      <w:r>
        <w:t>、</w:t>
      </w:r>
      <w:r>
        <w:rPr>
          <w:rFonts w:ascii="Courier New" w:hAnsi="Courier New"/>
        </w:rPr>
        <w:t>modules/decision_track.py</w:t>
      </w:r>
      <w:r>
        <w:t>），答辩时可逐行对照源码。论述重心放在"为何这样设计"，代码仅作为设计意图的注脚。</w:t>
      </w:r>
    </w:p>
    <w:p w14:paraId="3A15E9BC">
      <w:pPr>
        <w:pStyle w:val="3"/>
      </w:pPr>
      <w:bookmarkStart w:id="38" w:name="_Toc276"/>
      <w:r>
        <w:t>5.1 问题提出：为何需要"可解释 + 可自纠偏"的仓位决策</w:t>
      </w:r>
      <w:bookmarkEnd w:id="38"/>
    </w:p>
    <w:p w14:paraId="0A987778">
      <w:pPr>
        <w:pStyle w:val="7"/>
        <w:spacing w:line="300" w:lineRule="auto"/>
        <w:ind w:firstLine="420"/>
      </w:pPr>
      <w:r>
        <w:t>现有面向个人投资者的投研工具，在"仓位决策"这一环节普遍存在三类缺陷，构成本章要解决的问题：</w:t>
      </w:r>
    </w:p>
    <w:p w14:paraId="3100E034">
      <w:pPr>
        <w:pStyle w:val="7"/>
        <w:spacing w:line="300" w:lineRule="auto"/>
        <w:ind w:firstLine="420"/>
      </w:pPr>
      <w:r>
        <w:t xml:space="preserve">1. </w:t>
      </w:r>
      <w:r>
        <w:rPr>
          <w:b/>
        </w:rPr>
        <w:t>只展示不决策</w:t>
      </w:r>
      <w:r>
        <w:t>：绝大多数行情/资讯平台止步于"把数据呈现出来"，是否买入、买多少完全交给用户凭感觉拍板，决策过程不可追溯。</w:t>
      </w:r>
    </w:p>
    <w:p w14:paraId="4E8F147E">
      <w:pPr>
        <w:pStyle w:val="7"/>
        <w:spacing w:line="300" w:lineRule="auto"/>
        <w:ind w:firstLine="420"/>
      </w:pPr>
      <w:r>
        <w:t xml:space="preserve">2. </w:t>
      </w:r>
      <w:r>
        <w:rPr>
          <w:b/>
        </w:rPr>
        <w:t>黑箱不可复盘</w:t>
      </w:r>
      <w:r>
        <w:t>：少数做决策的系统依赖机器学习模型直接输出仓位，模型给出一个数，却说不清"为什么是这个数"；一旦出错，无法定位是温度看错了、还是周期判断错了。</w:t>
      </w:r>
    </w:p>
    <w:p w14:paraId="2B6FC288">
      <w:pPr>
        <w:pStyle w:val="7"/>
        <w:spacing w:line="300" w:lineRule="auto"/>
        <w:ind w:firstLine="420"/>
      </w:pPr>
      <w:r>
        <w:t xml:space="preserve">3. </w:t>
      </w:r>
      <w:r>
        <w:rPr>
          <w:b/>
        </w:rPr>
        <w:t>静态刻度在动态市场中失真，且小样本下盲目自调会过拟合</w:t>
      </w:r>
      <w:r>
        <w:t>：同一套仓位规则在牛市高潮与熊市退潮下"刻度"应当不同；若让系统据少量历史样本自动改规则，等于用噪声拟合，反而把规则改坏。</w:t>
      </w:r>
    </w:p>
    <w:p w14:paraId="38F61508">
      <w:pPr>
        <w:pStyle w:val="7"/>
        <w:spacing w:line="300" w:lineRule="auto"/>
        <w:ind w:firstLine="420"/>
      </w:pPr>
      <w:r>
        <w:t>本章提出并实现一个</w:t>
      </w:r>
      <w:r>
        <w:rPr>
          <w:b/>
        </w:rPr>
        <w:t>决策闭环</w:t>
      </w:r>
      <w:r>
        <w:t>——把"温度/方向/周期/晋级率"四维输入，经显式规则推导为 5%~95% 的可解释仓位，并用</w:t>
      </w:r>
      <w:r>
        <w:rPr>
          <w:b/>
        </w:rPr>
        <w:t>刻度校准</w:t>
      </w:r>
      <w:r>
        <w:t>机制以历史回测反推、有界地修正各周期仓位刻度，形成"可解释（每个建议都能回溯到规则）、可自纠偏（刻度随回测修正）、可验证（预测 vs 实际每日对账）"三位一体的仓位推导方法。其贡献不在于单点技术的新颖，而在于把"可解释 + 可自纠偏 + 不靠小样本过拟合"三者组合并工程落地。</w:t>
      </w:r>
    </w:p>
    <w:p w14:paraId="60AAFD3C">
      <w:pPr>
        <w:pStyle w:val="3"/>
      </w:pPr>
      <w:bookmarkStart w:id="39" w:name="_Toc28583"/>
      <w:r>
        <w:t>5.2 决策闭环：从四维输入到可解释仓位</w:t>
      </w:r>
      <w:bookmarkEnd w:id="39"/>
    </w:p>
    <w:p w14:paraId="62B64CBA">
      <w:pPr>
        <w:pStyle w:val="7"/>
        <w:spacing w:line="300" w:lineRule="auto"/>
        <w:ind w:firstLine="420"/>
      </w:pPr>
      <w:r>
        <w:t>图 5-1 是本章的全景：上半部分是"推导"，把四类输入收口到唯一函数并输出带理由的仓位；下半部分是"回溯"，把每天的建议落盘、与次日实际对账，再把对账结果反馈给刻度校准，形成闭环。两条支路的区别在于——推导是同步的、每天必跑；回溯是异步的、依赖次日数据到位后才补。</w:t>
      </w:r>
    </w:p>
    <w:p w14:paraId="71E5DAAB">
      <w:pPr>
        <w:pStyle w:val="7"/>
        <w:jc w:val="center"/>
      </w:pPr>
      <w:r>
        <w:rPr>
          <w:rFonts w:ascii="Times New Roman" w:hAnsi="Times New Roman" w:eastAsia="宋体"/>
          <w:sz w:val="21"/>
        </w:rPr>
        <w:pict>
          <v:shape id="_x0000_i1029" o:spt="75" alt="fig_decision_loop" type="#_x0000_t75" style="height:367.5pt;width:462pt;" filled="f" o:preferrelative="t" stroked="f" coordsize="21600,21600">
            <v:path/>
            <v:fill on="f" focussize="0,0"/>
            <v:stroke on="f"/>
            <v:imagedata r:id="rId22" o:title=""/>
            <o:lock v:ext="edit" aspectratio="t"/>
            <w10:wrap type="none"/>
            <w10:anchorlock/>
          </v:shape>
        </w:pict>
      </w:r>
      <w:r>
        <w:rPr>
          <w:rFonts w:ascii="Times New Roman" w:hAnsi="Times New Roman" w:eastAsia="宋体"/>
          <w:sz w:val="21"/>
        </w:rPr>
        <w:t>图 5-1　决策闭环流程图</w:t>
      </w:r>
    </w:p>
    <w:p w14:paraId="597C0960">
      <w:pPr>
        <w:pStyle w:val="4"/>
      </w:pPr>
      <w:bookmarkStart w:id="40" w:name="_Toc30551"/>
      <w:r>
        <w:t>5.2.1 单一实现入口 `derive_position`</w:t>
      </w:r>
      <w:bookmarkEnd w:id="40"/>
    </w:p>
    <w:p w14:paraId="1D7C3323">
      <w:pPr>
        <w:pStyle w:val="7"/>
        <w:spacing w:line="300" w:lineRule="auto"/>
        <w:ind w:firstLine="420"/>
      </w:pPr>
      <w:r>
        <w:t>系统所有仓位建议都收口于一个函数（单一真理源，避免多套逻辑漂移）：</w:t>
      </w:r>
    </w:p>
    <w:p w14:paraId="35CDD65A">
      <w:pPr>
        <w:pStyle w:val="7"/>
      </w:pPr>
      <w:r>
        <w:rPr>
          <w:rFonts w:ascii="Courier New" w:hAnsi="Courier New" w:eastAsia="宋体"/>
          <w:sz w:val="18"/>
        </w:rPr>
        <w:t>def derive_position(temp, score=None, bias=None, cycle_name=None,</w:t>
      </w:r>
      <w:r>
        <w:rPr>
          <w:rFonts w:ascii="Courier New" w:hAnsi="Courier New" w:eastAsia="宋体"/>
          <w:sz w:val="18"/>
        </w:rPr>
        <w:br w:type="textWrapping"/>
      </w:r>
      <w:r>
        <w:rPr>
          <w:rFonts w:ascii="Courier New" w:hAnsi="Courier New" w:eastAsia="宋体"/>
          <w:sz w:val="18"/>
        </w:rPr>
        <w:t xml:space="preserve">                    overall_promo=None, event_adj=None,</w:t>
      </w:r>
      <w:r>
        <w:rPr>
          <w:rFonts w:ascii="Courier New" w:hAnsi="Courier New" w:eastAsia="宋体"/>
          <w:sz w:val="18"/>
        </w:rPr>
        <w:br w:type="textWrapping"/>
      </w:r>
      <w:r>
        <w:rPr>
          <w:rFonts w:ascii="Courier New" w:hAnsi="Courier New" w:eastAsia="宋体"/>
          <w:sz w:val="18"/>
        </w:rPr>
        <w:t xml:space="preserve">                    freshness_status=None) -&gt; dict:</w:t>
      </w:r>
    </w:p>
    <w:p w14:paraId="61A7FF9A">
      <w:pPr>
        <w:pStyle w:val="7"/>
        <w:spacing w:line="300" w:lineRule="auto"/>
        <w:ind w:firstLine="420"/>
      </w:pPr>
      <w:r>
        <w:t xml:space="preserve">推导链路（逐条留痕，前端直接展示 </w:t>
      </w:r>
      <w:r>
        <w:rPr>
          <w:rFonts w:ascii="Courier New" w:hAnsi="Courier New"/>
        </w:rPr>
        <w:t>reasons</w:t>
      </w:r>
      <w:r>
        <w:t>，让建议可解释而非黑箱）：</w:t>
      </w:r>
    </w:p>
    <w:p w14:paraId="5BC369F4"/>
    <w:tbl>
      <w:tblPr>
        <w:tblStyle w:val="20"/>
        <w:tblW w:w="0" w:type="auto"/>
        <w:tblInd w:w="0" w:type="dxa"/>
        <w:tblLayout w:type="autofit"/>
        <w:tblCellMar>
          <w:top w:w="0" w:type="dxa"/>
          <w:left w:w="108" w:type="dxa"/>
          <w:bottom w:w="0" w:type="dxa"/>
          <w:right w:w="108" w:type="dxa"/>
        </w:tblCellMar>
      </w:tblPr>
      <w:tblGrid>
        <w:gridCol w:w="2310"/>
        <w:gridCol w:w="2310"/>
        <w:gridCol w:w="2310"/>
        <w:gridCol w:w="2310"/>
      </w:tblGrid>
      <w:tr w14:paraId="1C21A291">
        <w:tc>
          <w:tcPr>
            <w:tcW w:w="2310" w:type="dxa"/>
          </w:tcPr>
          <w:p w14:paraId="191374ED">
            <w:r>
              <w:rPr>
                <w:rFonts w:ascii="Times New Roman" w:hAnsi="Times New Roman" w:eastAsia="宋体"/>
                <w:sz w:val="21"/>
              </w:rPr>
              <w:t>调节项</w:t>
            </w:r>
          </w:p>
        </w:tc>
        <w:tc>
          <w:tcPr>
            <w:tcW w:w="2310" w:type="dxa"/>
          </w:tcPr>
          <w:p w14:paraId="2CA80E6F">
            <w:r>
              <w:rPr>
                <w:rFonts w:ascii="Times New Roman" w:hAnsi="Times New Roman" w:eastAsia="宋体"/>
                <w:sz w:val="21"/>
              </w:rPr>
              <w:t>取值</w:t>
            </w:r>
          </w:p>
        </w:tc>
        <w:tc>
          <w:tcPr>
            <w:tcW w:w="2310" w:type="dxa"/>
          </w:tcPr>
          <w:p w14:paraId="331E72AF">
            <w:r>
              <w:rPr>
                <w:rFonts w:ascii="Times New Roman" w:hAnsi="Times New Roman" w:eastAsia="宋体"/>
                <w:sz w:val="21"/>
              </w:rPr>
              <w:t>作用</w:t>
            </w:r>
          </w:p>
        </w:tc>
        <w:tc>
          <w:tcPr>
            <w:tcW w:w="2310" w:type="dxa"/>
          </w:tcPr>
          <w:p w14:paraId="406FE086">
            <w:r>
              <w:rPr>
                <w:rFonts w:ascii="Times New Roman" w:hAnsi="Times New Roman" w:eastAsia="宋体"/>
                <w:sz w:val="21"/>
              </w:rPr>
              <w:t>代码位置</w:t>
            </w:r>
          </w:p>
        </w:tc>
      </w:tr>
      <w:tr w14:paraId="43B28668">
        <w:tblPrEx>
          <w:tblCellMar>
            <w:top w:w="0" w:type="dxa"/>
            <w:left w:w="108" w:type="dxa"/>
            <w:bottom w:w="0" w:type="dxa"/>
            <w:right w:w="108" w:type="dxa"/>
          </w:tblCellMar>
        </w:tblPrEx>
        <w:tc>
          <w:tcPr>
            <w:tcW w:w="2310" w:type="dxa"/>
          </w:tcPr>
          <w:p w14:paraId="3519C6CC">
            <w:r>
              <w:rPr>
                <w:rFonts w:ascii="Times New Roman" w:hAnsi="Times New Roman" w:eastAsia="宋体"/>
                <w:sz w:val="21"/>
              </w:rPr>
              <w:t>基准仓位</w:t>
            </w:r>
          </w:p>
        </w:tc>
        <w:tc>
          <w:tcPr>
            <w:tcW w:w="2310" w:type="dxa"/>
          </w:tcPr>
          <w:p w14:paraId="45D5F987">
            <w:r>
              <w:rPr>
                <w:rFonts w:ascii="Times New Roman" w:hAnsi="Times New Roman" w:eastAsia="宋体"/>
                <w:sz w:val="21"/>
              </w:rPr>
              <w:t>市场温度 `temp`（0–100，越界先 clamp）</w:t>
            </w:r>
          </w:p>
        </w:tc>
        <w:tc>
          <w:tcPr>
            <w:tcW w:w="2310" w:type="dxa"/>
          </w:tcPr>
          <w:p w14:paraId="4CDE0873">
            <w:r>
              <w:rPr>
                <w:rFonts w:ascii="Times New Roman" w:hAnsi="Times New Roman" w:eastAsia="宋体"/>
                <w:sz w:val="21"/>
              </w:rPr>
              <w:t>`pct = temp`</w:t>
            </w:r>
          </w:p>
        </w:tc>
        <w:tc>
          <w:tcPr>
            <w:tcW w:w="2310" w:type="dxa"/>
          </w:tcPr>
          <w:p w14:paraId="30C7F1BE">
            <w:r>
              <w:rPr>
                <w:rFonts w:ascii="Times New Roman" w:hAnsi="Times New Roman" w:eastAsia="宋体"/>
                <w:sz w:val="21"/>
              </w:rPr>
              <w:t>decision.py L127–137</w:t>
            </w:r>
          </w:p>
        </w:tc>
      </w:tr>
      <w:tr w14:paraId="594D1BAD">
        <w:tblPrEx>
          <w:tblCellMar>
            <w:top w:w="0" w:type="dxa"/>
            <w:left w:w="108" w:type="dxa"/>
            <w:bottom w:w="0" w:type="dxa"/>
            <w:right w:w="108" w:type="dxa"/>
          </w:tblCellMar>
        </w:tblPrEx>
        <w:tc>
          <w:tcPr>
            <w:tcW w:w="2310" w:type="dxa"/>
          </w:tcPr>
          <w:p w14:paraId="63E179A5">
            <w:r>
              <w:rPr>
                <w:rFonts w:ascii="Times New Roman" w:hAnsi="Times New Roman" w:eastAsia="宋体"/>
                <w:sz w:val="21"/>
              </w:rPr>
              <w:t>方向调节</w:t>
            </w:r>
          </w:p>
        </w:tc>
        <w:tc>
          <w:tcPr>
            <w:tcW w:w="2310" w:type="dxa"/>
          </w:tcPr>
          <w:p w14:paraId="2B337A1F">
            <w:r>
              <w:rPr>
                <w:rFonts w:ascii="Times New Roman" w:hAnsi="Times New Roman" w:eastAsia="宋体"/>
                <w:sz w:val="21"/>
              </w:rPr>
              <w:t>偏多 +8 / 偏空 −8 / 中性 0</w:t>
            </w:r>
          </w:p>
        </w:tc>
        <w:tc>
          <w:tcPr>
            <w:tcW w:w="2310" w:type="dxa"/>
          </w:tcPr>
          <w:p w14:paraId="67B0CFA8">
            <w:r>
              <w:rPr>
                <w:rFonts w:ascii="Times New Roman" w:hAnsi="Times New Roman" w:eastAsia="宋体"/>
                <w:sz w:val="21"/>
              </w:rPr>
              <w:t>次日方向是短周期最强信号</w:t>
            </w:r>
          </w:p>
        </w:tc>
        <w:tc>
          <w:tcPr>
            <w:tcW w:w="2310" w:type="dxa"/>
          </w:tcPr>
          <w:p w14:paraId="6F96DB38">
            <w:r>
              <w:rPr>
                <w:rFonts w:ascii="Times New Roman" w:hAnsi="Times New Roman" w:eastAsia="宋体"/>
                <w:sz w:val="21"/>
              </w:rPr>
              <w:t>L139–147</w:t>
            </w:r>
          </w:p>
        </w:tc>
      </w:tr>
      <w:tr w14:paraId="4596F39A">
        <w:tblPrEx>
          <w:tblCellMar>
            <w:top w:w="0" w:type="dxa"/>
            <w:left w:w="108" w:type="dxa"/>
            <w:bottom w:w="0" w:type="dxa"/>
            <w:right w:w="108" w:type="dxa"/>
          </w:tblCellMar>
        </w:tblPrEx>
        <w:tc>
          <w:tcPr>
            <w:tcW w:w="2310" w:type="dxa"/>
          </w:tcPr>
          <w:p w14:paraId="53FBB3C9">
            <w:r>
              <w:rPr>
                <w:rFonts w:ascii="Times New Roman" w:hAnsi="Times New Roman" w:eastAsia="宋体"/>
                <w:sz w:val="21"/>
              </w:rPr>
              <w:t>**周期调节**</w:t>
            </w:r>
          </w:p>
        </w:tc>
        <w:tc>
          <w:tcPr>
            <w:tcW w:w="2310" w:type="dxa"/>
          </w:tcPr>
          <w:p w14:paraId="367D82F5">
            <w:r>
              <w:rPr>
                <w:rFonts w:ascii="Times New Roman" w:hAnsi="Times New Roman" w:eastAsia="宋体"/>
                <w:sz w:val="21"/>
              </w:rPr>
              <w:t>来自模块级 `CYCLE_ADJ` 字典（**即校准变量**）</w:t>
            </w:r>
          </w:p>
        </w:tc>
        <w:tc>
          <w:tcPr>
            <w:tcW w:w="2310" w:type="dxa"/>
          </w:tcPr>
          <w:p w14:paraId="36FE89AC">
            <w:r>
              <w:rPr>
                <w:rFonts w:ascii="Times New Roman" w:hAnsi="Times New Roman" w:eastAsia="宋体"/>
                <w:sz w:val="21"/>
              </w:rPr>
              <w:t>主升 +5 / 修复确认 +3 / 高潮分化 −5 / 退潮 −10 / 冰点 +5</w:t>
            </w:r>
          </w:p>
        </w:tc>
        <w:tc>
          <w:tcPr>
            <w:tcW w:w="2310" w:type="dxa"/>
          </w:tcPr>
          <w:p w14:paraId="742FE865">
            <w:r>
              <w:rPr>
                <w:rFonts w:ascii="Times New Roman" w:hAnsi="Times New Roman" w:eastAsia="宋体"/>
                <w:sz w:val="21"/>
              </w:rPr>
              <w:t>L149–157</w:t>
            </w:r>
          </w:p>
        </w:tc>
      </w:tr>
      <w:tr w14:paraId="4CD1153A">
        <w:tblPrEx>
          <w:tblCellMar>
            <w:top w:w="0" w:type="dxa"/>
            <w:left w:w="108" w:type="dxa"/>
            <w:bottom w:w="0" w:type="dxa"/>
            <w:right w:w="108" w:type="dxa"/>
          </w:tblCellMar>
        </w:tblPrEx>
        <w:tc>
          <w:tcPr>
            <w:tcW w:w="2310" w:type="dxa"/>
          </w:tcPr>
          <w:p w14:paraId="5264C384">
            <w:r>
              <w:rPr>
                <w:rFonts w:ascii="Times New Roman" w:hAnsi="Times New Roman" w:eastAsia="宋体"/>
                <w:sz w:val="21"/>
              </w:rPr>
              <w:t>梯队晋级率调节</w:t>
            </w:r>
          </w:p>
        </w:tc>
        <w:tc>
          <w:tcPr>
            <w:tcW w:w="2310" w:type="dxa"/>
          </w:tcPr>
          <w:p w14:paraId="5846735B">
            <w:r>
              <w:rPr>
                <w:rFonts w:ascii="Times New Roman" w:hAnsi="Times New Roman" w:eastAsia="宋体"/>
                <w:sz w:val="21"/>
              </w:rPr>
              <w:t>`overall_promo≥60:+5 / 40–60:0 / 20–40:−3 / &lt;20:−6`</w:t>
            </w:r>
          </w:p>
        </w:tc>
        <w:tc>
          <w:tcPr>
            <w:tcW w:w="2310" w:type="dxa"/>
          </w:tcPr>
          <w:p w14:paraId="1F1317D4">
            <w:r>
              <w:rPr>
                <w:rFonts w:ascii="Times New Roman" w:hAnsi="Times New Roman" w:eastAsia="宋体"/>
                <w:sz w:val="21"/>
              </w:rPr>
              <w:t>接力强度是赚钱效应能否延续的硬指标</w:t>
            </w:r>
          </w:p>
        </w:tc>
        <w:tc>
          <w:tcPr>
            <w:tcW w:w="2310" w:type="dxa"/>
          </w:tcPr>
          <w:p w14:paraId="4DFC54CC">
            <w:r>
              <w:rPr>
                <w:rFonts w:ascii="Times New Roman" w:hAnsi="Times New Roman" w:eastAsia="宋体"/>
                <w:sz w:val="21"/>
              </w:rPr>
              <w:t>L159–170</w:t>
            </w:r>
          </w:p>
        </w:tc>
      </w:tr>
      <w:tr w14:paraId="110EE739">
        <w:tblPrEx>
          <w:tblCellMar>
            <w:top w:w="0" w:type="dxa"/>
            <w:left w:w="108" w:type="dxa"/>
            <w:bottom w:w="0" w:type="dxa"/>
            <w:right w:w="108" w:type="dxa"/>
          </w:tblCellMar>
        </w:tblPrEx>
        <w:tc>
          <w:tcPr>
            <w:tcW w:w="2310" w:type="dxa"/>
          </w:tcPr>
          <w:p w14:paraId="5A58B6D6">
            <w:r>
              <w:rPr>
                <w:rFonts w:ascii="Times New Roman" w:hAnsi="Times New Roman" w:eastAsia="宋体"/>
                <w:sz w:val="21"/>
              </w:rPr>
              <w:t>事件催化调节</w:t>
            </w:r>
          </w:p>
        </w:tc>
        <w:tc>
          <w:tcPr>
            <w:tcW w:w="2310" w:type="dxa"/>
          </w:tcPr>
          <w:p w14:paraId="62F66F1C">
            <w:r>
              <w:rPr>
                <w:rFonts w:ascii="Times New Roman" w:hAnsi="Times New Roman" w:eastAsia="宋体"/>
                <w:sz w:val="21"/>
              </w:rPr>
              <w:t>真实事件因子 `event_adj`；取不到则为 `None`，**不臆造**</w:t>
            </w:r>
          </w:p>
        </w:tc>
        <w:tc>
          <w:tcPr>
            <w:tcW w:w="2310" w:type="dxa"/>
          </w:tcPr>
          <w:p w14:paraId="239F6011">
            <w:r>
              <w:rPr>
                <w:rFonts w:ascii="Times New Roman" w:hAnsi="Times New Roman" w:eastAsia="宋体"/>
                <w:sz w:val="21"/>
              </w:rPr>
              <w:t>事件侧微调</w:t>
            </w:r>
          </w:p>
        </w:tc>
        <w:tc>
          <w:tcPr>
            <w:tcW w:w="2310" w:type="dxa"/>
          </w:tcPr>
          <w:p w14:paraId="6ACA0EBB">
            <w:r>
              <w:rPr>
                <w:rFonts w:ascii="Times New Roman" w:hAnsi="Times New Roman" w:eastAsia="宋体"/>
                <w:sz w:val="21"/>
              </w:rPr>
              <w:t>L176–182</w:t>
            </w:r>
          </w:p>
        </w:tc>
      </w:tr>
      <w:tr w14:paraId="0ECEBE65">
        <w:tblPrEx>
          <w:tblCellMar>
            <w:top w:w="0" w:type="dxa"/>
            <w:left w:w="108" w:type="dxa"/>
            <w:bottom w:w="0" w:type="dxa"/>
            <w:right w:w="108" w:type="dxa"/>
          </w:tblCellMar>
        </w:tblPrEx>
        <w:tc>
          <w:tcPr>
            <w:tcW w:w="2310" w:type="dxa"/>
          </w:tcPr>
          <w:p w14:paraId="6C642816">
            <w:r>
              <w:rPr>
                <w:rFonts w:ascii="Times New Roman" w:hAnsi="Times New Roman" w:eastAsia="宋体"/>
                <w:sz w:val="21"/>
              </w:rPr>
              <w:t>硬约束</w:t>
            </w:r>
          </w:p>
        </w:tc>
        <w:tc>
          <w:tcPr>
            <w:tcW w:w="2310" w:type="dxa"/>
          </w:tcPr>
          <w:p w14:paraId="2C4E5358">
            <w:r>
              <w:rPr>
                <w:rFonts w:ascii="Times New Roman" w:hAnsi="Times New Roman" w:eastAsia="宋体"/>
                <w:sz w:val="21"/>
              </w:rPr>
              <w:t>`clamp(pct, 5, 95)`</w:t>
            </w:r>
          </w:p>
        </w:tc>
        <w:tc>
          <w:tcPr>
            <w:tcW w:w="2310" w:type="dxa"/>
          </w:tcPr>
          <w:p w14:paraId="0A9754D9">
            <w:r>
              <w:rPr>
                <w:rFonts w:ascii="Times New Roman" w:hAnsi="Times New Roman" w:eastAsia="宋体"/>
                <w:sz w:val="21"/>
              </w:rPr>
              <w:t>仓位永远落在 5%~95%</w:t>
            </w:r>
          </w:p>
        </w:tc>
        <w:tc>
          <w:tcPr>
            <w:tcW w:w="2310" w:type="dxa"/>
          </w:tcPr>
          <w:p w14:paraId="76A91CB0">
            <w:r>
              <w:rPr>
                <w:rFonts w:ascii="Times New Roman" w:hAnsi="Times New Roman" w:eastAsia="宋体"/>
                <w:sz w:val="21"/>
              </w:rPr>
              <w:t>L184</w:t>
            </w:r>
          </w:p>
        </w:tc>
      </w:tr>
    </w:tbl>
    <w:p w14:paraId="1AB1C427">
      <w:pPr>
        <w:pStyle w:val="7"/>
        <w:spacing w:line="300" w:lineRule="auto"/>
        <w:ind w:firstLine="420"/>
      </w:pPr>
      <w:r>
        <w:t xml:space="preserve">一个关键设计选择是：当 </w:t>
      </w:r>
      <w:r>
        <w:rPr>
          <w:rFonts w:ascii="Courier New" w:hAnsi="Courier New"/>
        </w:rPr>
        <w:t>overall_promo=None</w:t>
      </w:r>
      <w:r>
        <w:t xml:space="preserve">（数据缺失）时，该调节项整段跳过、不加不减——"缺数据"在语义上不等于"看空"。这一处理避免了"因为某天梯队数据没爬到就莫名减仓"的静默错误（参见第 6 章测试 </w:t>
      </w:r>
      <w:r>
        <w:rPr>
          <w:rFonts w:ascii="Courier New" w:hAnsi="Courier New"/>
        </w:rPr>
        <w:t>test_daily_snapshot_wiring</w:t>
      </w:r>
      <w:r>
        <w:t xml:space="preserve"> 对数据缺失路径的守卫）。</w:t>
      </w:r>
    </w:p>
    <w:p w14:paraId="193DE578">
      <w:pPr>
        <w:pStyle w:val="4"/>
      </w:pPr>
      <w:bookmarkStart w:id="41" w:name="_Toc4223"/>
      <w:r>
        <w:t>5.2.2 透明推导与可解释性（创新点的第一支柱）</w:t>
      </w:r>
      <w:bookmarkEnd w:id="41"/>
    </w:p>
    <w:p w14:paraId="5AB739F2">
      <w:pPr>
        <w:pStyle w:val="7"/>
        <w:spacing w:line="300" w:lineRule="auto"/>
        <w:ind w:firstLine="420"/>
      </w:pPr>
      <w:r>
        <w:rPr>
          <w:rFonts w:ascii="Courier New" w:hAnsi="Courier New"/>
        </w:rPr>
        <w:t>derive_position</w:t>
      </w:r>
      <w:r>
        <w:t xml:space="preserve"> 返回的不是一个裸数字，而是：</w:t>
      </w:r>
    </w:p>
    <w:p w14:paraId="03103427">
      <w:pPr>
        <w:pStyle w:val="7"/>
      </w:pPr>
      <w:r>
        <w:rPr>
          <w:rFonts w:ascii="Courier New" w:hAnsi="Courier New" w:eastAsia="宋体"/>
          <w:sz w:val="18"/>
        </w:rPr>
        <w:t>dict(pct=int, band=str, color=str, reasons=list[str])</w:t>
      </w:r>
    </w:p>
    <w:p w14:paraId="69A68896">
      <w:pPr>
        <w:pStyle w:val="7"/>
        <w:spacing w:line="300" w:lineRule="auto"/>
        <w:ind w:firstLine="420"/>
      </w:pPr>
      <w:r>
        <w:t xml:space="preserve">其中 </w:t>
      </w:r>
      <w:r>
        <w:rPr>
          <w:rFonts w:ascii="Courier New" w:hAnsi="Courier New"/>
        </w:rPr>
        <w:t>reasons</w:t>
      </w:r>
      <w:r>
        <w:t xml:space="preserve"> 是</w:t>
      </w:r>
      <w:r>
        <w:rPr>
          <w:b/>
        </w:rPr>
        <w:t>逐条自然语言推导依据</w:t>
      </w:r>
      <w:r>
        <w:t xml:space="preserve">。真实样本（来自 </w:t>
      </w:r>
      <w:r>
        <w:rPr>
          <w:rFonts w:ascii="Courier New" w:hAnsi="Courier New"/>
        </w:rPr>
        <w:t>data/daily_snapshot.json</w:t>
      </w:r>
      <w:r>
        <w:t>）：</w:t>
      </w:r>
    </w:p>
    <w:p w14:paraId="5FF69434">
      <w:pPr>
        <w:pStyle w:val="7"/>
      </w:pPr>
      <w:r>
        <w:rPr>
          <w:rFonts w:ascii="Courier New" w:hAnsi="Courier New" w:eastAsia="宋体"/>
          <w:sz w:val="18"/>
        </w:rPr>
        <w:t>市场温度 24 作为基准仓位</w:t>
      </w:r>
      <w:r>
        <w:rPr>
          <w:rFonts w:ascii="Courier New" w:hAnsi="Courier New" w:eastAsia="宋体"/>
          <w:sz w:val="18"/>
        </w:rPr>
        <w:br w:type="textWrapping"/>
      </w:r>
      <w:r>
        <w:rPr>
          <w:rFonts w:ascii="Courier New" w:hAnsi="Courier New" w:eastAsia="宋体"/>
          <w:sz w:val="18"/>
        </w:rPr>
        <w:t>次日方向「中性」加仓 0%</w:t>
      </w:r>
      <w:r>
        <w:rPr>
          <w:rFonts w:ascii="Courier New" w:hAnsi="Courier New" w:eastAsia="宋体"/>
          <w:sz w:val="18"/>
        </w:rPr>
        <w:br w:type="textWrapping"/>
      </w:r>
      <w:r>
        <w:rPr>
          <w:rFonts w:ascii="Courier New" w:hAnsi="Courier New" w:eastAsia="宋体"/>
          <w:sz w:val="18"/>
        </w:rPr>
        <w:t>梯队断档（晋级率&lt;20%）：减仓 6%</w:t>
      </w:r>
      <w:r>
        <w:rPr>
          <w:rFonts w:ascii="Courier New" w:hAnsi="Courier New" w:eastAsia="宋体"/>
          <w:sz w:val="18"/>
        </w:rPr>
        <w:br w:type="textWrapping"/>
      </w:r>
      <w:r>
        <w:rPr>
          <w:rFonts w:ascii="Courier New" w:hAnsi="Courier New" w:eastAsia="宋体"/>
          <w:sz w:val="18"/>
        </w:rPr>
        <w:t>事件驱动信号不可用，未施加催化（不臆造）</w:t>
      </w:r>
    </w:p>
    <w:p w14:paraId="439A5AF6">
      <w:pPr>
        <w:pStyle w:val="7"/>
        <w:spacing w:line="300" w:lineRule="auto"/>
        <w:ind w:firstLine="420"/>
      </w:pPr>
      <w:r>
        <w:t>任何一个仓位建议都能被用户与回测者逐条回溯：为什么是 20%？因为温度 24 打底、方向中性不加、梯队断档减了 6、当天没拿到事件信号所以不靠事件催化。这正是"可解释"的落地形态——不是事后用 SHAP 近似解释黑箱，而是规则本身就可读。</w:t>
      </w:r>
    </w:p>
    <w:p w14:paraId="2796DBBF">
      <w:pPr>
        <w:pStyle w:val="4"/>
      </w:pPr>
      <w:bookmarkStart w:id="42" w:name="_Toc29965"/>
      <w:r>
        <w:t>5.2.3 极端行情与数据新鲜度的"诚实守卫"</w:t>
      </w:r>
      <w:bookmarkEnd w:id="42"/>
    </w:p>
    <w:p w14:paraId="28A04A5C">
      <w:pPr>
        <w:pStyle w:val="7"/>
        <w:spacing w:line="300" w:lineRule="auto"/>
        <w:ind w:firstLine="420"/>
      </w:pPr>
      <w:r>
        <w:t>可解释之外，规则必须"诚实优先于好看"，否则基于过期或极端数据的激进位建议会误导用户：</w:t>
      </w:r>
    </w:p>
    <w:p w14:paraId="7B4590C4">
      <w:pPr>
        <w:pStyle w:val="7"/>
        <w:spacing w:line="300" w:lineRule="auto"/>
        <w:ind w:firstLine="420"/>
      </w:pPr>
      <w:r>
        <w:t xml:space="preserve">- </w:t>
      </w:r>
      <w:r>
        <w:rPr>
          <w:b/>
        </w:rPr>
        <w:t>极端风控硬约束</w:t>
      </w:r>
      <w:r>
        <w:t xml:space="preserve">（凌驾于常规推导之上）：温度 </w:t>
      </w:r>
      <w:r>
        <w:rPr>
          <w:rFonts w:ascii="Courier New" w:hAnsi="Courier New"/>
        </w:rPr>
        <w:t>&lt;20</w:t>
      </w:r>
      <w:r>
        <w:t xml:space="preserve"> 且处「退潮」→ 仓位封顶 30%（防流动性枯竭期重仓接飞刀）；温度 </w:t>
      </w:r>
      <w:r>
        <w:rPr>
          <w:rFonts w:ascii="Courier New" w:hAnsi="Courier New"/>
        </w:rPr>
        <w:t>≥80</w:t>
      </w:r>
      <w:r>
        <w:t xml:space="preserve"> 且处「高潮分化」→ 仓位兜底 40%（防过热分歧期踏空主升末端）。（decision.py L186–199）</w:t>
      </w:r>
    </w:p>
    <w:p w14:paraId="45F912D3">
      <w:pPr>
        <w:pStyle w:val="7"/>
        <w:spacing w:line="300" w:lineRule="auto"/>
        <w:ind w:firstLine="420"/>
      </w:pPr>
      <w:r>
        <w:t xml:space="preserve">- </w:t>
      </w:r>
      <w:r>
        <w:rPr>
          <w:b/>
        </w:rPr>
        <w:t>数据新鲜度诚实降级</w:t>
      </w:r>
      <w:r>
        <w:t xml:space="preserve">：输入源滞后 </w:t>
      </w:r>
      <w:r>
        <w:rPr>
          <w:rFonts w:ascii="Courier New" w:hAnsi="Courier New"/>
        </w:rPr>
        <w:t>≥8</w:t>
      </w:r>
      <w:r>
        <w:t xml:space="preserve"> 天判定 </w:t>
      </w:r>
      <w:r>
        <w:rPr>
          <w:rFonts w:ascii="Courier New" w:hAnsi="Courier New"/>
        </w:rPr>
        <w:t>stale</w:t>
      </w:r>
      <w:r>
        <w:t xml:space="preserve"> → 仓位封顶 40%；滞后 </w:t>
      </w:r>
      <w:r>
        <w:rPr>
          <w:rFonts w:ascii="Courier New" w:hAnsi="Courier New"/>
        </w:rPr>
        <w:t>≥4</w:t>
      </w:r>
      <w:r>
        <w:t xml:space="preserve"> 天 </w:t>
      </w:r>
      <w:r>
        <w:rPr>
          <w:rFonts w:ascii="Courier New" w:hAnsi="Courier New"/>
        </w:rPr>
        <w:t>warn</w:t>
      </w:r>
      <w:r>
        <w:t xml:space="preserve"> → 封顶 60%；</w:t>
      </w:r>
      <w:r>
        <w:rPr>
          <w:b/>
        </w:rPr>
        <w:t>仅封顶、不抬底</w:t>
      </w:r>
      <w:r>
        <w:t xml:space="preserve">。（L201–217，阈值 </w:t>
      </w:r>
      <w:r>
        <w:rPr>
          <w:rFonts w:ascii="Courier New" w:hAnsi="Courier New"/>
        </w:rPr>
        <w:t>FRESH_STALE_DAYS=8 / FRESH_WARN_DAYS=4</w:t>
      </w:r>
      <w:r>
        <w:t>）</w:t>
      </w:r>
    </w:p>
    <w:p w14:paraId="19E5B28D">
      <w:pPr>
        <w:pStyle w:val="7"/>
        <w:spacing w:line="300" w:lineRule="auto"/>
        <w:ind w:firstLine="420"/>
      </w:pPr>
      <w:r>
        <w:t>守卫不能只停留在 UI 提示层面——陈旧数据必须真正让仓位建议变保守，否则等于"附了句仅供参考却仍给激进仓位"，与诚实原则正面冲突。</w:t>
      </w:r>
    </w:p>
    <w:p w14:paraId="533D974B">
      <w:pPr>
        <w:pStyle w:val="4"/>
      </w:pPr>
      <w:bookmarkStart w:id="43" w:name="_Toc13633"/>
      <w:r>
        <w:t>5.2.4 落盘与归档：决策可回溯</w:t>
      </w:r>
      <w:bookmarkEnd w:id="43"/>
    </w:p>
    <w:p w14:paraId="44AD277D">
      <w:pPr>
        <w:pStyle w:val="7"/>
        <w:spacing w:line="300" w:lineRule="auto"/>
        <w:ind w:firstLine="420"/>
      </w:pPr>
      <w:r>
        <w:t xml:space="preserve">每日决策经 </w:t>
      </w:r>
      <w:r>
        <w:rPr>
          <w:rFonts w:ascii="Courier New" w:hAnsi="Courier New"/>
        </w:rPr>
        <w:t>build_snapshot</w:t>
      </w:r>
      <w:r>
        <w:t xml:space="preserve"> → </w:t>
      </w:r>
      <w:r>
        <w:rPr>
          <w:rFonts w:ascii="Courier New" w:hAnsi="Courier New"/>
        </w:rPr>
        <w:t>save_snapshot</w:t>
      </w:r>
      <w:r>
        <w:t xml:space="preserve"> 落盘两份：</w:t>
      </w:r>
    </w:p>
    <w:p w14:paraId="6124D1F6">
      <w:pPr>
        <w:pStyle w:val="7"/>
        <w:spacing w:line="300" w:lineRule="auto"/>
        <w:ind w:firstLine="420"/>
      </w:pPr>
      <w:r>
        <w:t xml:space="preserve">- </w:t>
      </w:r>
      <w:r>
        <w:rPr>
          <w:rFonts w:ascii="Courier New" w:hAnsi="Courier New"/>
        </w:rPr>
        <w:t>data/daily_snapshot.json</w:t>
      </w:r>
      <w:r>
        <w:t>：最新快照，首页直读；</w:t>
      </w:r>
    </w:p>
    <w:p w14:paraId="064CEDBC">
      <w:pPr>
        <w:pStyle w:val="7"/>
        <w:spacing w:line="300" w:lineRule="auto"/>
        <w:ind w:firstLine="420"/>
      </w:pPr>
      <w:r>
        <w:t xml:space="preserve">- </w:t>
      </w:r>
      <w:r>
        <w:rPr>
          <w:rFonts w:ascii="Courier New" w:hAnsi="Courier New"/>
        </w:rPr>
        <w:t>data/snapshots/YYYY-MM-DD.json</w:t>
      </w:r>
      <w:r>
        <w:t>：按数据日期归档，是</w:t>
      </w:r>
      <w:r>
        <w:rPr>
          <w:b/>
        </w:rPr>
        <w:t>复盘与回测的唯一事实源</w:t>
      </w:r>
      <w:r>
        <w:t xml:space="preserve">（注意用数据日期而非 </w:t>
      </w:r>
      <w:r>
        <w:rPr>
          <w:rFonts w:ascii="Courier New" w:hAnsi="Courier New"/>
        </w:rPr>
        <w:t>now()</w:t>
      </w:r>
      <w:r>
        <w:t>，避免盘前盘后错位）。</w:t>
      </w:r>
    </w:p>
    <w:p w14:paraId="293E7BDA">
      <w:pPr>
        <w:pStyle w:val="7"/>
        <w:spacing w:line="300" w:lineRule="auto"/>
        <w:ind w:firstLine="420"/>
      </w:pPr>
      <w:r>
        <w:t xml:space="preserve">配套 </w:t>
      </w:r>
      <w:r>
        <w:rPr>
          <w:rFonts w:ascii="Courier New" w:hAnsi="Courier New"/>
        </w:rPr>
        <w:t>load_snapshot</w:t>
      </w:r>
      <w:r>
        <w:t xml:space="preserve"> / </w:t>
      </w:r>
      <w:r>
        <w:rPr>
          <w:rFonts w:ascii="Courier New" w:hAnsi="Courier New"/>
        </w:rPr>
        <w:t>archive_path</w:t>
      </w:r>
      <w:r>
        <w:t xml:space="preserve"> / </w:t>
      </w:r>
      <w:r>
        <w:rPr>
          <w:rFonts w:ascii="Courier New" w:hAnsi="Courier New"/>
        </w:rPr>
        <w:t>list_archive_dates</w:t>
      </w:r>
      <w:r>
        <w:t xml:space="preserve"> / </w:t>
      </w:r>
      <w:r>
        <w:rPr>
          <w:rFonts w:ascii="Courier New" w:hAnsi="Courier New"/>
        </w:rPr>
        <w:t>is_stale</w:t>
      </w:r>
      <w:r>
        <w:t xml:space="preserve"> 构成完整的"写—读—判陈旧"闭环。</w:t>
      </w:r>
    </w:p>
    <w:p w14:paraId="6ECFC524">
      <w:pPr>
        <w:pStyle w:val="3"/>
      </w:pPr>
      <w:bookmarkStart w:id="44" w:name="_Toc28994"/>
      <w:r>
        <w:t>5.3 刻度校准：让决策"可自纠偏"而不"过小样本过拟合"</w:t>
      </w:r>
      <w:bookmarkEnd w:id="44"/>
    </w:p>
    <w:p w14:paraId="5FE54AC4">
      <w:pPr>
        <w:pStyle w:val="4"/>
      </w:pPr>
      <w:bookmarkStart w:id="45" w:name="_Toc13529"/>
      <w:r>
        <w:t>5.3.1 校准目标与校准变量</w:t>
      </w:r>
      <w:bookmarkEnd w:id="45"/>
    </w:p>
    <w:p w14:paraId="7BA8D653">
      <w:pPr>
        <w:pStyle w:val="7"/>
        <w:spacing w:line="300" w:lineRule="auto"/>
        <w:ind w:firstLine="420"/>
      </w:pPr>
      <w:r>
        <w:t>5.2.1 中的"周期调节"读取的是模块级字典（decision.py L79）：</w:t>
      </w:r>
    </w:p>
    <w:p w14:paraId="4C909A2E">
      <w:pPr>
        <w:pStyle w:val="7"/>
      </w:pPr>
      <w:r>
        <w:rPr>
          <w:rFonts w:ascii="Courier New" w:hAnsi="Courier New" w:eastAsia="宋体"/>
          <w:sz w:val="18"/>
        </w:rPr>
        <w:t>CYCLE_ADJ = {"主升高潮": 5, "修复确认": 3, "修复试探": 0,</w:t>
      </w:r>
      <w:r>
        <w:rPr>
          <w:rFonts w:ascii="Courier New" w:hAnsi="Courier New" w:eastAsia="宋体"/>
          <w:sz w:val="18"/>
        </w:rPr>
        <w:br w:type="textWrapping"/>
      </w:r>
      <w:r>
        <w:rPr>
          <w:rFonts w:ascii="Courier New" w:hAnsi="Courier New" w:eastAsia="宋体"/>
          <w:sz w:val="18"/>
        </w:rPr>
        <w:t xml:space="preserve">             "高潮分化": -5, "退潮": -10, "冰点": 5}</w:t>
      </w:r>
    </w:p>
    <w:p w14:paraId="3057CBED">
      <w:pPr>
        <w:pStyle w:val="7"/>
        <w:spacing w:line="300" w:lineRule="auto"/>
        <w:ind w:firstLine="420"/>
      </w:pPr>
      <w:r>
        <w:t>这是一个</w:t>
      </w:r>
      <w:r>
        <w:rPr>
          <w:b/>
        </w:rPr>
        <w:t>可校准旋钮</w:t>
      </w:r>
      <w:r>
        <w:t xml:space="preserve">：每个情绪周期对应一个固定的仓位加减点数。问题是如何确定这些点数"对不对"——这就是 </w:t>
      </w:r>
      <w:r>
        <w:rPr>
          <w:rFonts w:ascii="Courier New" w:hAnsi="Courier New"/>
        </w:rPr>
        <w:t>calibration.py</w:t>
      </w:r>
      <w:r>
        <w:t xml:space="preserve"> 要解决的：用历史回测反推，给出"该往哪个方向、调多少"的建议。</w:t>
      </w:r>
    </w:p>
    <w:p w14:paraId="1CA51E49">
      <w:pPr>
        <w:pStyle w:val="4"/>
      </w:pPr>
      <w:bookmarkStart w:id="46" w:name="_Toc31476"/>
      <w:r>
        <w:t>5.3.2 回测反推建议量（有界）</w:t>
      </w:r>
      <w:bookmarkEnd w:id="46"/>
    </w:p>
    <w:p w14:paraId="11CE7056">
      <w:pPr>
        <w:pStyle w:val="7"/>
        <w:spacing w:line="300" w:lineRule="auto"/>
        <w:ind w:firstLine="420"/>
      </w:pPr>
      <w:r>
        <w:t>校准以"预测 vs 实际"回测为输入（见 5.4），对每个战术分组计算"次日平均实际涨跌"，建议调节量：</w:t>
      </w:r>
    </w:p>
    <w:p w14:paraId="1B30098E">
      <w:pPr>
        <w:pStyle w:val="7"/>
      </w:pPr>
      <w:r>
        <w:rPr>
          <w:rFonts w:ascii="Courier New" w:hAnsi="Courier New" w:eastAsia="宋体"/>
          <w:sz w:val="18"/>
        </w:rPr>
        <w:t>GAIN = 2.0        # 次日平均涨跌 1% → 刻度调 2 点</w:t>
      </w:r>
      <w:r>
        <w:rPr>
          <w:rFonts w:ascii="Courier New" w:hAnsi="Courier New" w:eastAsia="宋体"/>
          <w:sz w:val="18"/>
        </w:rPr>
        <w:br w:type="textWrapping"/>
      </w:r>
      <w:r>
        <w:rPr>
          <w:rFonts w:ascii="Courier New" w:hAnsi="Courier New" w:eastAsia="宋体"/>
          <w:sz w:val="18"/>
        </w:rPr>
        <w:t>MAX_DELTA = 5     # 单次校准调节上限（防过拟合）</w:t>
      </w:r>
      <w:r>
        <w:rPr>
          <w:rFonts w:ascii="Courier New" w:hAnsi="Courier New" w:eastAsia="宋体"/>
          <w:sz w:val="18"/>
        </w:rPr>
        <w:br w:type="textWrapping"/>
      </w:r>
      <w:r>
        <w:rPr>
          <w:rFonts w:ascii="Courier New" w:hAnsi="Courier New" w:eastAsia="宋体"/>
          <w:sz w:val="18"/>
        </w:rPr>
        <w:br w:type="textWrapping"/>
      </w:r>
      <w:r>
        <w:rPr>
          <w:rFonts w:ascii="Courier New" w:hAnsi="Courier New" w:eastAsia="宋体"/>
          <w:sz w:val="18"/>
        </w:rPr>
        <w:t>raw = GAIN * float(avg_realized)                      # 经验增益，非拟合参数</w:t>
      </w:r>
      <w:r>
        <w:rPr>
          <w:rFonts w:ascii="Courier New" w:hAnsi="Courier New" w:eastAsia="宋体"/>
          <w:sz w:val="18"/>
        </w:rPr>
        <w:br w:type="textWrapping"/>
      </w:r>
      <w:r>
        <w:rPr>
          <w:rFonts w:ascii="Courier New" w:hAnsi="Courier New" w:eastAsia="宋体"/>
          <w:sz w:val="18"/>
        </w:rPr>
        <w:t>sug_delta = int(max(-MAX_DELTA, min(MAX_DELTA, round(raw))))</w:t>
      </w:r>
    </w:p>
    <w:p w14:paraId="0F36A940">
      <w:pPr>
        <w:pStyle w:val="7"/>
        <w:spacing w:line="300" w:lineRule="auto"/>
        <w:ind w:firstLine="420"/>
      </w:pPr>
      <w:r>
        <w:rPr>
          <w:rFonts w:ascii="Courier New" w:hAnsi="Courier New"/>
        </w:rPr>
        <w:t>GAIN = 2.0</w:t>
      </w:r>
      <w:r>
        <w:t xml:space="preserve"> 的取值理由写在源码注释里：仓位点数与涨跌幅本就不同量纲，这里取的是"方向正确时把刻度往收益方向推一点"的保守比例，而不是从样本里拟合出来的系数——拟合出的系数会随样本变化而摇摆，正是要避免的过拟合。</w:t>
      </w:r>
      <w:r>
        <w:rPr>
          <w:rFonts w:ascii="Courier New" w:hAnsi="Courier New"/>
        </w:rPr>
        <w:t>MAX_DELTA</w:t>
      </w:r>
      <w:r>
        <w:t xml:space="preserve"> 把单次建议</w:t>
      </w:r>
      <w:r>
        <w:rPr>
          <w:b/>
        </w:rPr>
        <w:t>有界在 ±5</w:t>
      </w:r>
      <w:r>
        <w:t xml:space="preserve"> 以内，使任何刻度修正都是"微调"而非"漂移"——这是防过拟合的第一道闸。</w:t>
      </w:r>
      <w:r>
        <w:rPr>
          <w:rFonts w:ascii="Courier New" w:hAnsi="Courier New"/>
        </w:rPr>
        <w:t>suggestions()</w:t>
      </w:r>
      <w:r>
        <w:t xml:space="preserve"> 进一步给出结构化建议（</w:t>
      </w:r>
      <w:r>
        <w:rPr>
          <w:rFonts w:ascii="Courier New" w:hAnsi="Courier New"/>
        </w:rPr>
        <w:t>actionable</w:t>
      </w:r>
      <w:r>
        <w:t xml:space="preserve"> 是否值得采纳、</w:t>
      </w:r>
      <w:r>
        <w:rPr>
          <w:rFonts w:ascii="Courier New" w:hAnsi="Courier New"/>
        </w:rPr>
        <w:t>confidence = min(n_call/strong, 1)</w:t>
      </w:r>
      <w:r>
        <w:t>、</w:t>
      </w:r>
      <w:r>
        <w:rPr>
          <w:rFonts w:ascii="Courier New" w:hAnsi="Courier New"/>
        </w:rPr>
        <w:t>verdict</w:t>
      </w:r>
      <w:r>
        <w:t xml:space="preserve"> 人话结论），例如样本不足时直接返回"样本仅 N 条（需 ≥strong），暂不构成调参依据"，而非硬凑一个数字。</w:t>
      </w:r>
    </w:p>
    <w:p w14:paraId="31090280">
      <w:pPr>
        <w:pStyle w:val="4"/>
      </w:pPr>
      <w:bookmarkStart w:id="47" w:name="_Toc20206"/>
      <w:r>
        <w:t>5.3.3 三条铁律（方法论核心）</w:t>
      </w:r>
      <w:bookmarkEnd w:id="47"/>
    </w:p>
    <w:p w14:paraId="21A343D2">
      <w:pPr>
        <w:pStyle w:val="7"/>
        <w:spacing w:line="300" w:lineRule="auto"/>
        <w:ind w:firstLine="420"/>
      </w:pPr>
      <w:r>
        <w:t xml:space="preserve">1. </w:t>
      </w:r>
      <w:r>
        <w:rPr>
          <w:b/>
        </w:rPr>
        <w:t>T1 只出建议、绝不自动改规则</w:t>
      </w:r>
      <w:r>
        <w:t>：</w:t>
      </w:r>
      <w:r>
        <w:rPr>
          <w:rFonts w:ascii="Courier New" w:hAnsi="Courier New"/>
        </w:rPr>
        <w:t>as_patch()</w:t>
      </w:r>
      <w:r>
        <w:t xml:space="preserve"> 只生成可直接抄进 </w:t>
      </w:r>
      <w:r>
        <w:rPr>
          <w:rFonts w:ascii="Courier New" w:hAnsi="Courier New"/>
        </w:rPr>
        <w:t>decision.py</w:t>
      </w:r>
      <w:r>
        <w:t xml:space="preserve"> 的 </w:t>
      </w:r>
      <w:r>
        <w:rPr>
          <w:rFonts w:ascii="Courier New" w:hAnsi="Courier New"/>
        </w:rPr>
        <w:t>CYCLE_ADJ</w:t>
      </w:r>
      <w:r>
        <w:t xml:space="preserve"> 补丁字典，</w:t>
      </w:r>
      <w:r>
        <w:rPr>
          <w:b/>
        </w:rPr>
        <w:t>永不写文件</w:t>
      </w:r>
      <w:r>
        <w:t xml:space="preserve">；且只含 </w:t>
      </w:r>
      <w:r>
        <w:rPr>
          <w:rFonts w:ascii="Courier New" w:hAnsi="Courier New"/>
        </w:rPr>
        <w:t>actionable</w:t>
      </w:r>
      <w:r>
        <w:t xml:space="preserve"> 的分组，非 actionable 的阶段不出现在返回值里（保持原值不动）。早期小样本下盲目把规则改坏，正是要规避的过拟合。</w:t>
      </w:r>
    </w:p>
    <w:p w14:paraId="7F4B24AF">
      <w:pPr>
        <w:pStyle w:val="7"/>
        <w:spacing w:line="300" w:lineRule="auto"/>
        <w:ind w:firstLine="420"/>
      </w:pPr>
      <w:r>
        <w:t xml:space="preserve">2. </w:t>
      </w:r>
      <w:r>
        <w:rPr>
          <w:b/>
        </w:rPr>
        <w:t>T2 有界 ±5（且落地再收窄）</w:t>
      </w:r>
      <w:r>
        <w:t xml:space="preserve">：建议量本身受 </w:t>
      </w:r>
      <w:r>
        <w:rPr>
          <w:rFonts w:ascii="Courier New" w:hAnsi="Courier New"/>
        </w:rPr>
        <w:t>±MAX_DELTA</w:t>
      </w:r>
      <w:r>
        <w:t xml:space="preserve"> 约束；即便走到程序化落地，</w:t>
      </w:r>
      <w:r>
        <w:rPr>
          <w:rFonts w:ascii="Courier New" w:hAnsi="Courier New"/>
        </w:rPr>
        <w:t>apply_patch</w:t>
      </w:r>
      <w:r>
        <w:t xml:space="preserve"> 也把改动 </w:t>
      </w:r>
      <w:r>
        <w:rPr>
          <w:rFonts w:ascii="Courier New" w:hAnsi="Courier New"/>
        </w:rPr>
        <w:t>clamp</w:t>
      </w:r>
      <w:r>
        <w:t xml:space="preserve"> 到 </w:t>
      </w:r>
      <w:r>
        <w:rPr>
          <w:rFonts w:ascii="Courier New" w:hAnsi="Courier New"/>
        </w:rPr>
        <w:t>[-15, +15]</w:t>
      </w:r>
      <w:r>
        <w:t>，防离谱。</w:t>
      </w:r>
    </w:p>
    <w:p w14:paraId="5081DD26">
      <w:pPr>
        <w:pStyle w:val="7"/>
        <w:spacing w:line="300" w:lineRule="auto"/>
        <w:ind w:firstLine="420"/>
      </w:pPr>
      <w:r>
        <w:t xml:space="preserve">3. </w:t>
      </w:r>
      <w:r>
        <w:rPr>
          <w:b/>
        </w:rPr>
        <w:t>T3 小样本不表态</w:t>
      </w:r>
      <w:r>
        <w:t>：</w:t>
      </w:r>
      <w:r>
        <w:rPr>
          <w:rFonts w:ascii="Courier New" w:hAnsi="Courier New"/>
        </w:rPr>
        <w:t>actionable = (n_call ≥ strong_samples) 且 (|delta| ≥ NOISE_DELTA)</w:t>
      </w:r>
      <w:r>
        <w:t>——样本不够、或调节量未超过噪音阈值时，系统</w:t>
      </w:r>
      <w:r>
        <w:rPr>
          <w:b/>
        </w:rPr>
        <w:t>如实沉默</w:t>
      </w:r>
      <w:r>
        <w:t>，绝不输出假阳性"建议调参"。</w:t>
      </w:r>
    </w:p>
    <w:p w14:paraId="5FD1701A">
      <w:pPr>
        <w:pStyle w:val="4"/>
      </w:pPr>
      <w:bookmarkStart w:id="48" w:name="_Toc5453"/>
      <w:r>
        <w:t>5.3.4 闭环落地的护栏（必要时才接通，人仍在回路）</w:t>
      </w:r>
      <w:bookmarkEnd w:id="48"/>
    </w:p>
    <w:p w14:paraId="120C4CE9">
      <w:pPr>
        <w:pStyle w:val="7"/>
        <w:spacing w:line="300" w:lineRule="auto"/>
        <w:ind w:firstLine="420"/>
      </w:pPr>
      <w:r>
        <w:t xml:space="preserve">为消除"只展示不闭环"导致补丁永远靠人肉 copy、易与测试期望值漂移，系统提供 </w:t>
      </w:r>
      <w:r>
        <w:rPr>
          <w:rFonts w:ascii="Courier New" w:hAnsi="Courier New"/>
        </w:rPr>
        <w:t>apply_patch(dry_run=True, max_abs=15)</w:t>
      </w:r>
      <w:r>
        <w:t>：</w:t>
      </w:r>
    </w:p>
    <w:p w14:paraId="716E7858">
      <w:pPr>
        <w:pStyle w:val="7"/>
        <w:spacing w:line="300" w:lineRule="auto"/>
        <w:ind w:firstLine="420"/>
      </w:pPr>
      <w:r>
        <w:t xml:space="preserve">- 必须 </w:t>
      </w:r>
      <w:r>
        <w:rPr>
          <w:rFonts w:ascii="Courier New" w:hAnsi="Courier New"/>
        </w:rPr>
        <w:t>verdict.ready</w:t>
      </w:r>
      <w:r>
        <w:t xml:space="preserve"> 才允许写，否则拒绝；</w:t>
      </w:r>
    </w:p>
    <w:p w14:paraId="1C557752">
      <w:pPr>
        <w:pStyle w:val="7"/>
        <w:spacing w:line="300" w:lineRule="auto"/>
        <w:ind w:firstLine="420"/>
      </w:pPr>
      <w:r>
        <w:t xml:space="preserve">- </w:t>
      </w:r>
      <w:r>
        <w:rPr>
          <w:b/>
        </w:rPr>
        <w:t>`dry_run=True`（默认）只回显将要改什么，绝不写文件</w:t>
      </w:r>
      <w:r>
        <w:t xml:space="preserve">；真正落地需显式 </w:t>
      </w:r>
      <w:r>
        <w:rPr>
          <w:rFonts w:ascii="Courier New" w:hAnsi="Courier New"/>
        </w:rPr>
        <w:t>dry_run=False</w:t>
      </w:r>
      <w:r>
        <w:t>；</w:t>
      </w:r>
    </w:p>
    <w:p w14:paraId="35D3CCDE">
      <w:pPr>
        <w:pStyle w:val="7"/>
        <w:spacing w:line="300" w:lineRule="auto"/>
        <w:ind w:firstLine="420"/>
      </w:pPr>
      <w:r>
        <w:t xml:space="preserve">- 写前备份 </w:t>
      </w:r>
      <w:r>
        <w:rPr>
          <w:rFonts w:ascii="Courier New" w:hAnsi="Courier New"/>
        </w:rPr>
        <w:t>decision.py.bak</w:t>
      </w:r>
      <w:r>
        <w:t xml:space="preserve">，写后追加审计日志 </w:t>
      </w:r>
      <w:r>
        <w:rPr>
          <w:rFonts w:ascii="Courier New" w:hAnsi="Courier New"/>
        </w:rPr>
        <w:t>calibration_apply.log</w:t>
      </w:r>
      <w:r>
        <w:t>；</w:t>
      </w:r>
    </w:p>
    <w:p w14:paraId="5CE88254">
      <w:pPr>
        <w:pStyle w:val="7"/>
        <w:spacing w:line="300" w:lineRule="auto"/>
        <w:ind w:firstLine="420"/>
      </w:pPr>
      <w:r>
        <w:t>- 若打分证据陈旧（</w:t>
      </w:r>
      <w:r>
        <w:rPr>
          <w:rFonts w:ascii="Courier New" w:hAnsi="Courier New"/>
        </w:rPr>
        <w:t>last_scored</w:t>
      </w:r>
      <w:r>
        <w:t xml:space="preserve"> 过期），</w:t>
      </w:r>
      <w:r>
        <w:rPr>
          <w:b/>
        </w:rPr>
        <w:t>拒绝落地</w:t>
      </w:r>
      <w:r>
        <w:t>——"banner 说别采纳、命令却照写"会自相矛盾，陈旧刻度不许悄悄污染决策闭环。</w:t>
      </w:r>
    </w:p>
    <w:p w14:paraId="594909B0">
      <w:pPr>
        <w:pStyle w:val="7"/>
        <w:spacing w:line="300" w:lineRule="auto"/>
        <w:ind w:firstLine="420"/>
      </w:pPr>
      <w:r>
        <w:t>自动化是"带护栏的、需人确认的最后一步"，而非无人值守的自调参。</w:t>
      </w:r>
    </w:p>
    <w:p w14:paraId="290B65F0">
      <w:pPr>
        <w:pStyle w:val="4"/>
      </w:pPr>
      <w:bookmarkStart w:id="49" w:name="_Toc7096"/>
      <w:r>
        <w:t>5.3.5 就绪语义：`any_actionable` 而非全局阈值（易被忽略的设计细节）</w:t>
      </w:r>
      <w:bookmarkEnd w:id="49"/>
    </w:p>
    <w:p w14:paraId="4385E934">
      <w:pPr>
        <w:pStyle w:val="7"/>
        <w:spacing w:line="300" w:lineRule="auto"/>
        <w:ind w:firstLine="420"/>
      </w:pPr>
      <w:r>
        <w:rPr>
          <w:rFonts w:ascii="Courier New" w:hAnsi="Courier New"/>
        </w:rPr>
        <w:t>verdict()</w:t>
      </w:r>
      <w:r>
        <w:t xml:space="preserve"> 的 </w:t>
      </w:r>
      <w:r>
        <w:rPr>
          <w:rFonts w:ascii="Courier New" w:hAnsi="Courier New"/>
        </w:rPr>
        <w:t>ready</w:t>
      </w:r>
      <w:r>
        <w:t xml:space="preserve"> 含义是：</w:t>
      </w:r>
      <w:r>
        <w:rPr>
          <w:b/>
        </w:rPr>
        <w:t>至少有一个战术分组达到可采纳阈值</w:t>
      </w:r>
      <w:r>
        <w:t>（</w:t>
      </w:r>
      <w:r>
        <w:rPr>
          <w:rFonts w:ascii="Courier New" w:hAnsi="Courier New"/>
        </w:rPr>
        <w:t>any_actionable</w:t>
      </w:r>
      <w:r>
        <w:t>），</w:t>
      </w:r>
      <w:r>
        <w:rPr>
          <w:b/>
        </w:rPr>
        <w:t>不是</w:t>
      </w:r>
      <w:r>
        <w:t xml:space="preserve">"全局样本数 ≥ strong_samples"。原因：真实样本会平摊到 4 个战术分组（进攻/分化/修复/防守），全局到 20 时往往没有任何单组到 20，此时 </w:t>
      </w:r>
      <w:r>
        <w:rPr>
          <w:rFonts w:ascii="Courier New" w:hAnsi="Courier New"/>
        </w:rPr>
        <w:t>as_patch()</w:t>
      </w:r>
      <w:r>
        <w:t xml:space="preserve"> 本就返回空；若 </w:t>
      </w:r>
      <w:r>
        <w:rPr>
          <w:rFonts w:ascii="Courier New" w:hAnsi="Courier New"/>
        </w:rPr>
        <w:t>verdict</w:t>
      </w:r>
      <w:r>
        <w:t xml:space="preserve"> 仍报"可校准"，会与页面下方"各分组表态样本均不足"自相矛盾。因此 </w:t>
      </w:r>
      <w:r>
        <w:rPr>
          <w:rFonts w:ascii="Courier New" w:hAnsi="Courier New"/>
        </w:rPr>
        <w:t>ready</w:t>
      </w:r>
      <w:r>
        <w:t xml:space="preserve"> 必须与 </w:t>
      </w:r>
      <w:r>
        <w:rPr>
          <w:rFonts w:ascii="Courier New" w:hAnsi="Courier New"/>
        </w:rPr>
        <w:t>as_patch</w:t>
      </w:r>
      <w:r>
        <w:t xml:space="preserve"> 的实际产出对齐（单测 </w:t>
      </w:r>
      <w:r>
        <w:rPr>
          <w:rFonts w:ascii="Courier New" w:hAnsi="Courier New"/>
        </w:rPr>
        <w:t>test_verdict_spread_not_ready</w:t>
      </w:r>
      <w:r>
        <w:t xml:space="preserve"> 锁死此语义）。</w:t>
      </w:r>
    </w:p>
    <w:p w14:paraId="6B962A18">
      <w:pPr>
        <w:pStyle w:val="7"/>
        <w:spacing w:line="300" w:lineRule="auto"/>
        <w:ind w:firstLine="420"/>
      </w:pPr>
      <w:r>
        <w:t xml:space="preserve">图 5-2 把 5.3 的机制串成一条带闸门的链路。注意两处"拒绝"分支：样本不足时 </w:t>
      </w:r>
      <w:r>
        <w:rPr>
          <w:rFonts w:ascii="Courier New" w:hAnsi="Courier New"/>
        </w:rPr>
        <w:t>suggestions()</w:t>
      </w:r>
      <w:r>
        <w:t xml:space="preserve"> 直接不给建议（T3），证据陈旧时 </w:t>
      </w:r>
      <w:r>
        <w:rPr>
          <w:rFonts w:ascii="Courier New" w:hAnsi="Courier New"/>
        </w:rPr>
        <w:t>apply_patch()</w:t>
      </w:r>
      <w:r>
        <w:t xml:space="preserve"> 拒绝落地——它们不是异常路径，而是设计的正常行为，目的都是让"不表态"成为可能，而不是被迫输出一个听起来专业却站不住的数字。</w:t>
      </w:r>
    </w:p>
    <w:p w14:paraId="075B0859">
      <w:pPr>
        <w:pStyle w:val="7"/>
        <w:jc w:val="center"/>
      </w:pPr>
      <w:r>
        <w:rPr>
          <w:rFonts w:ascii="Times New Roman" w:hAnsi="Times New Roman" w:eastAsia="宋体"/>
          <w:sz w:val="21"/>
        </w:rPr>
        <w:pict>
          <v:shape id="_x0000_i1030" o:spt="75" alt="fig_calibration" type="#_x0000_t75" style="height:299.25pt;width:462pt;" filled="f" o:preferrelative="t" stroked="f" coordsize="21600,21600">
            <v:path/>
            <v:fill on="f" focussize="0,0"/>
            <v:stroke on="f"/>
            <v:imagedata r:id="rId23" o:title=""/>
            <o:lock v:ext="edit" aspectratio="t"/>
            <w10:wrap type="none"/>
            <w10:anchorlock/>
          </v:shape>
        </w:pict>
      </w:r>
      <w:r>
        <w:rPr>
          <w:rFonts w:ascii="Times New Roman" w:hAnsi="Times New Roman" w:eastAsia="宋体"/>
          <w:sz w:val="21"/>
        </w:rPr>
        <w:t>图 5-2　刻度校准机制框图</w:t>
      </w:r>
    </w:p>
    <w:p w14:paraId="442D3B1B">
      <w:pPr>
        <w:pStyle w:val="3"/>
      </w:pPr>
      <w:bookmarkStart w:id="50" w:name="_Toc23184"/>
      <w:r>
        <w:t>5.4 预测 vs 实际回测：闭环可验证性</w:t>
      </w:r>
      <w:bookmarkEnd w:id="50"/>
    </w:p>
    <w:p w14:paraId="14457C22">
      <w:pPr>
        <w:pStyle w:val="7"/>
        <w:spacing w:line="300" w:lineRule="auto"/>
        <w:ind w:firstLine="420"/>
      </w:pPr>
      <w:r>
        <w:t xml:space="preserve">&gt; </w:t>
      </w:r>
      <w:r>
        <w:rPr>
          <w:b/>
        </w:rPr>
        <w:t>【待补截图 1】</w:t>
      </w:r>
      <w:r>
        <w:t xml:space="preserve"> 首页 / 决策面板（54_今日决策面板）：含每日仓位建议卡片（带逐条 reasons）、温度/周期、预测 vs 实际模块，以及「⚖️ 仓位刻度校准」横幅与各周期命中率表（对应图 5-1 / 图 5-2）。</w:t>
      </w:r>
    </w:p>
    <w:p w14:paraId="45A98CDA">
      <w:pPr>
        <w:pStyle w:val="7"/>
        <w:spacing w:line="300" w:lineRule="auto"/>
        <w:ind w:firstLine="420"/>
      </w:pPr>
      <w:r>
        <w:t>校准的输入来自"预测 vs 实际"对账（</w:t>
      </w:r>
      <w:r>
        <w:rPr>
          <w:rFonts w:ascii="Courier New" w:hAnsi="Courier New"/>
        </w:rPr>
        <w:t>decision_track.py</w:t>
      </w:r>
      <w:r>
        <w:t>）：</w:t>
      </w:r>
    </w:p>
    <w:p w14:paraId="572A70B4">
      <w:pPr>
        <w:pStyle w:val="7"/>
        <w:spacing w:line="300" w:lineRule="auto"/>
        <w:ind w:firstLine="420"/>
      </w:pPr>
      <w:r>
        <w:t xml:space="preserve">- </w:t>
      </w:r>
      <w:r>
        <w:rPr>
          <w:rFonts w:ascii="Courier New" w:hAnsi="Courier New"/>
        </w:rPr>
        <w:t>record_prediction(date, temp, cycle, bias, pct, ...)</w:t>
      </w:r>
      <w:r>
        <w:t>：每日决策落盘后自动记一条预测；</w:t>
      </w:r>
    </w:p>
    <w:p w14:paraId="62164C03">
      <w:pPr>
        <w:pStyle w:val="7"/>
        <w:spacing w:line="300" w:lineRule="auto"/>
        <w:ind w:firstLine="420"/>
      </w:pPr>
      <w:r>
        <w:t xml:space="preserve">- </w:t>
      </w:r>
      <w:r>
        <w:rPr>
          <w:rFonts w:ascii="Courier New" w:hAnsi="Courier New"/>
        </w:rPr>
        <w:t>score_predictions()</w:t>
      </w:r>
      <w:r>
        <w:t>：联网拉次日上证指数（000001）涨跌，判方向命中；</w:t>
      </w:r>
    </w:p>
    <w:p w14:paraId="753ECBDE">
      <w:pPr>
        <w:pStyle w:val="7"/>
        <w:spacing w:line="300" w:lineRule="auto"/>
        <w:ind w:firstLine="420"/>
      </w:pPr>
      <w:r>
        <w:t xml:space="preserve">- </w:t>
      </w:r>
      <w:r>
        <w:rPr>
          <w:rFonts w:ascii="Courier New" w:hAnsi="Courier New"/>
        </w:rPr>
        <w:t>summary()</w:t>
      </w:r>
      <w:r>
        <w:t xml:space="preserve"> / </w:t>
      </w:r>
      <w:r>
        <w:rPr>
          <w:rFonts w:ascii="Courier New" w:hAnsi="Courier New"/>
        </w:rPr>
        <w:t>chart_data()</w:t>
      </w:r>
      <w:r>
        <w:t>：纯本地、断网优雅降级；</w:t>
      </w:r>
    </w:p>
    <w:p w14:paraId="0C323BAE">
      <w:pPr>
        <w:pStyle w:val="7"/>
        <w:spacing w:line="300" w:lineRule="auto"/>
        <w:ind w:firstLine="420"/>
      </w:pPr>
      <w:r>
        <w:t xml:space="preserve">- </w:t>
      </w:r>
      <w:r>
        <w:rPr>
          <w:rFonts w:ascii="Courier New" w:hAnsi="Courier New"/>
        </w:rPr>
        <w:t>by_cycle()</w:t>
      </w:r>
      <w:r>
        <w:t xml:space="preserve"> / </w:t>
      </w:r>
      <w:r>
        <w:rPr>
          <w:rFonts w:ascii="Courier New" w:hAnsi="Courier New"/>
        </w:rPr>
        <w:t>by_group()</w:t>
      </w:r>
      <w:r>
        <w:t>：六阶段归并为四大战术分组，输出"平均建议仓位 vs 次日平均实际"，并带可信度；</w:t>
      </w:r>
      <w:r>
        <w:rPr>
          <w:rFonts w:ascii="Courier New" w:hAnsi="Courier New"/>
        </w:rPr>
        <w:t>by_event()</w:t>
      </w:r>
      <w:r>
        <w:t xml:space="preserve"> 单独拆"事件驱动到底有没有用"；</w:t>
      </w:r>
    </w:p>
    <w:p w14:paraId="5C952DF2">
      <w:pPr>
        <w:pStyle w:val="7"/>
        <w:spacing w:line="300" w:lineRule="auto"/>
        <w:ind w:firstLine="420"/>
      </w:pPr>
      <w:r>
        <w:t>- 命中率配色</w:t>
      </w:r>
      <w:r>
        <w:rPr>
          <w:b/>
        </w:rPr>
        <w:t>不套红涨绿跌</w:t>
      </w:r>
      <w:r>
        <w:t>（≥60 绿=可信 / &lt;40 红=不可信 / 中间黄），语义是"可信度"而非"涨跌"。</w:t>
      </w:r>
    </w:p>
    <w:p w14:paraId="3FEEF81D">
      <w:pPr>
        <w:pStyle w:val="7"/>
        <w:spacing w:line="300" w:lineRule="auto"/>
        <w:ind w:firstLine="420"/>
      </w:pPr>
      <w:r>
        <w:t>该模块使整个决策闭环具备</w:t>
      </w:r>
      <w:r>
        <w:rPr>
          <w:b/>
        </w:rPr>
        <w:t>可验证性</w:t>
      </w:r>
      <w:r>
        <w:t>：建议不是说完就完，而是每日与实际对账，校准才有据可依。</w:t>
      </w:r>
    </w:p>
    <w:p w14:paraId="196EA2FC">
      <w:pPr>
        <w:pStyle w:val="3"/>
      </w:pPr>
      <w:bookmarkStart w:id="51" w:name="_Toc19376"/>
      <w:r>
        <w:t>5.5 本章小结</w:t>
      </w:r>
      <w:bookmarkEnd w:id="51"/>
    </w:p>
    <w:p w14:paraId="379517C7">
      <w:pPr>
        <w:pStyle w:val="7"/>
        <w:spacing w:line="300" w:lineRule="auto"/>
        <w:ind w:firstLine="420"/>
      </w:pPr>
      <w:r>
        <w:t>本章给出"决策闭环 + 刻度校准"的完整设计：</w:t>
      </w:r>
    </w:p>
    <w:p w14:paraId="18C16501">
      <w:pPr>
        <w:pStyle w:val="7"/>
        <w:spacing w:line="300" w:lineRule="auto"/>
        <w:ind w:firstLine="420"/>
      </w:pPr>
      <w:r>
        <w:t xml:space="preserve">- 决策闭环以单一函数 </w:t>
      </w:r>
      <w:r>
        <w:rPr>
          <w:rFonts w:ascii="Courier New" w:hAnsi="Courier New"/>
        </w:rPr>
        <w:t>derive_position</w:t>
      </w:r>
      <w:r>
        <w:t xml:space="preserve"> 收口，四维输入经显式规则推导出 5%~95% 仓位，并输出逐条 </w:t>
      </w:r>
      <w:r>
        <w:rPr>
          <w:rFonts w:ascii="Courier New" w:hAnsi="Courier New"/>
        </w:rPr>
        <w:t>reasons</w:t>
      </w:r>
      <w:r>
        <w:t xml:space="preserve"> 实现</w:t>
      </w:r>
      <w:r>
        <w:rPr>
          <w:b/>
        </w:rPr>
        <w:t>可解释</w:t>
      </w:r>
      <w:r>
        <w:t>；极端行情与数据陈旧守卫保证建议</w:t>
      </w:r>
      <w:r>
        <w:rPr>
          <w:b/>
        </w:rPr>
        <w:t>诚实</w:t>
      </w:r>
      <w:r>
        <w:t>；落盘归档保证</w:t>
      </w:r>
      <w:r>
        <w:rPr>
          <w:b/>
        </w:rPr>
        <w:t>可回溯</w:t>
      </w:r>
      <w:r>
        <w:t>。</w:t>
      </w:r>
    </w:p>
    <w:p w14:paraId="229ACD62">
      <w:pPr>
        <w:pStyle w:val="7"/>
        <w:spacing w:line="300" w:lineRule="auto"/>
        <w:ind w:firstLine="420"/>
      </w:pPr>
      <w:r>
        <w:t xml:space="preserve">- 刻度校准以模块级 </w:t>
      </w:r>
      <w:r>
        <w:rPr>
          <w:rFonts w:ascii="Courier New" w:hAnsi="Courier New"/>
        </w:rPr>
        <w:t>CYCLE_ADJ</w:t>
      </w:r>
      <w:r>
        <w:t xml:space="preserve"> 为校准变量，用回测反推有界建议量，并以</w:t>
      </w:r>
      <w:r>
        <w:rPr>
          <w:b/>
        </w:rPr>
        <w:t>三条铁律</w:t>
      </w:r>
      <w:r>
        <w:t>（只建议不写 / 有界 ±5 / 小样本不表态）+ 带护栏的落地机制，实现</w:t>
      </w:r>
      <w:r>
        <w:rPr>
          <w:b/>
        </w:rPr>
        <w:t>可自纠偏而不靠小样本过拟合</w:t>
      </w:r>
      <w:r>
        <w:t>。</w:t>
      </w:r>
    </w:p>
    <w:p w14:paraId="1B9A41AC">
      <w:pPr>
        <w:pStyle w:val="7"/>
        <w:spacing w:line="300" w:lineRule="auto"/>
        <w:ind w:firstLine="420"/>
      </w:pPr>
      <w:r>
        <w:t>- 预测 vs 实际回测为校准提供真实输入，使闭环</w:t>
      </w:r>
      <w:r>
        <w:rPr>
          <w:b/>
        </w:rPr>
        <w:t>可验证</w:t>
      </w:r>
      <w:r>
        <w:t>。</w:t>
      </w:r>
    </w:p>
    <w:p w14:paraId="50F4B2F4">
      <w:pPr>
        <w:pStyle w:val="7"/>
        <w:spacing w:line="300" w:lineRule="auto"/>
        <w:ind w:firstLine="420"/>
      </w:pPr>
      <w:r>
        <w:t>三者共同构成"可解释、可自纠偏、可验证"的仓位推导方法——这是本系统相对"只展示型平台"与"黑箱决策型系统"的核心差异。</w:t>
      </w:r>
    </w:p>
    <w:p w14:paraId="38FA0D18">
      <w:pPr>
        <w:pStyle w:val="2"/>
      </w:pPr>
      <w:bookmarkStart w:id="52" w:name="_Toc17290"/>
      <w:r>
        <w:t>6 系统测试与评估</w:t>
      </w:r>
      <w:bookmarkEnd w:id="52"/>
    </w:p>
    <w:p w14:paraId="1FFE50FC">
      <w:pPr>
        <w:pStyle w:val="7"/>
        <w:spacing w:line="300" w:lineRule="auto"/>
        <w:ind w:firstLine="420"/>
      </w:pPr>
      <w:r>
        <w:t>本章所有数字均来自对 StockSignal 真实运行数据与真实测试输出的统计，不编造。运行评估脚本（需 envs/default venv 的 python，因其装有 kaleido）：</w:t>
      </w:r>
    </w:p>
    <w:p w14:paraId="4AD3DB20">
      <w:pPr>
        <w:pStyle w:val="7"/>
        <w:spacing w:line="300" w:lineRule="auto"/>
        <w:ind w:firstLine="420"/>
      </w:pPr>
      <w:r>
        <w:rPr>
          <w:rFonts w:ascii="Courier New" w:hAnsi="Courier New"/>
        </w:rPr>
        <w:t>C:/Users/Administrator/.workbuddy/binaries/python/envs/default/Scripts/python.exe thesis/eval_ch6.py</w:t>
      </w:r>
    </w:p>
    <w:p w14:paraId="49264B24">
      <w:pPr>
        <w:pStyle w:val="7"/>
        <w:spacing w:line="300" w:lineRule="auto"/>
        <w:ind w:firstLine="420"/>
      </w:pPr>
      <w:r>
        <w:t xml:space="preserve">产出见 </w:t>
      </w:r>
      <w:r>
        <w:rPr>
          <w:rFonts w:ascii="Courier New" w:hAnsi="Courier New"/>
        </w:rPr>
        <w:t>thesis/素材/ch6_eval/</w:t>
      </w:r>
      <w:r>
        <w:t>：</w:t>
      </w:r>
      <w:r>
        <w:rPr>
          <w:rFonts w:ascii="Courier New" w:hAnsi="Courier New"/>
        </w:rPr>
        <w:t>metrics.json</w:t>
      </w:r>
      <w:r>
        <w:t>、</w:t>
      </w:r>
      <w:r>
        <w:rPr>
          <w:rFonts w:ascii="Courier New" w:hAnsi="Courier New"/>
        </w:rPr>
        <w:t>history.json</w:t>
      </w:r>
      <w:r>
        <w:t>、</w:t>
      </w:r>
      <w:r>
        <w:rPr>
          <w:rFonts w:ascii="Courier New" w:hAnsi="Courier New"/>
        </w:rPr>
        <w:t>fig_*.png</w:t>
      </w:r>
      <w:r>
        <w:t>。</w:t>
      </w:r>
    </w:p>
    <w:p w14:paraId="0C03AA19">
      <w:pPr>
        <w:pStyle w:val="3"/>
      </w:pPr>
      <w:bookmarkStart w:id="53" w:name="_Toc15805"/>
      <w:r>
        <w:t>6.1 测试策略与结果</w:t>
      </w:r>
      <w:bookmarkEnd w:id="53"/>
    </w:p>
    <w:p w14:paraId="6ECCE485">
      <w:pPr>
        <w:pStyle w:val="7"/>
        <w:spacing w:line="300" w:lineRule="auto"/>
        <w:ind w:firstLine="420"/>
      </w:pPr>
      <w:r>
        <w:t>系统的测试策略按"前端冒烟 → 逻辑单测 → 数据隔离 → 关键路径 AST 守卫"四层组织：</w:t>
      </w:r>
    </w:p>
    <w:p w14:paraId="4FA3F971">
      <w:pPr>
        <w:pStyle w:val="7"/>
        <w:spacing w:line="300" w:lineRule="auto"/>
        <w:ind w:firstLine="420"/>
      </w:pPr>
      <w:r>
        <w:t xml:space="preserve">- </w:t>
      </w:r>
      <w:r>
        <w:rPr>
          <w:b/>
        </w:rPr>
        <w:t>前端冒烟</w:t>
      </w:r>
      <w:r>
        <w:t>：</w:t>
      </w:r>
      <w:r>
        <w:rPr>
          <w:rFonts w:ascii="Courier New" w:hAnsi="Courier New"/>
        </w:rPr>
        <w:t>tests/test_pages_smoke.py</w:t>
      </w:r>
      <w:r>
        <w:t xml:space="preserve"> 用 Streamlit 官方的 AppTest 逐一加载 </w:t>
      </w:r>
      <w:r>
        <w:rPr>
          <w:rFonts w:ascii="Courier New" w:hAnsi="Courier New"/>
        </w:rPr>
        <w:t>pages/</w:t>
      </w:r>
      <w:r>
        <w:t xml:space="preserve"> 下全部 41 个页面，断言渲染过程不抛出未捕获异常。一旦某个页面在导入或首帧阶段崩溃，用户开屏即白屏，因此冒烟必须与子页面一并纳入，不能只测后端。</w:t>
      </w:r>
    </w:p>
    <w:p w14:paraId="0F3BF6DB">
      <w:pPr>
        <w:pStyle w:val="7"/>
        <w:spacing w:line="300" w:lineRule="auto"/>
        <w:ind w:firstLine="420"/>
      </w:pPr>
      <w:r>
        <w:t xml:space="preserve">- </w:t>
      </w:r>
      <w:r>
        <w:rPr>
          <w:b/>
        </w:rPr>
        <w:t>逻辑单测</w:t>
      </w:r>
      <w:r>
        <w:t xml:space="preserve">：项目内置 2117 个 </w:t>
      </w:r>
      <w:r>
        <w:rPr>
          <w:rFonts w:ascii="Courier New" w:hAnsi="Courier New"/>
        </w:rPr>
        <w:t>def test_</w:t>
      </w:r>
      <w:r>
        <w:t xml:space="preserve"> 函数，分布在 219 个测试文件中，覆盖决策、梯队、回测、校准、UI、接线等模块。由于逻辑层（4.1 节所述 56 个无 </w:t>
      </w:r>
      <w:r>
        <w:rPr>
          <w:rFonts w:ascii="Courier New" w:hAnsi="Courier New"/>
        </w:rPr>
        <w:t>streamlit</w:t>
      </w:r>
      <w:r>
        <w:t xml:space="preserve"> 依赖的模块）与 UI 解耦，这些单测可脱离界面独立运行。</w:t>
      </w:r>
    </w:p>
    <w:p w14:paraId="6A5A9C72">
      <w:pPr>
        <w:pStyle w:val="7"/>
        <w:spacing w:line="300" w:lineRule="auto"/>
        <w:ind w:firstLine="420"/>
      </w:pPr>
      <w:r>
        <w:t xml:space="preserve">- </w:t>
      </w:r>
      <w:r>
        <w:rPr>
          <w:b/>
        </w:rPr>
        <w:t>数据隔离</w:t>
      </w:r>
      <w:r>
        <w:t xml:space="preserve">：项目根目录 </w:t>
      </w:r>
      <w:r>
        <w:rPr>
          <w:rFonts w:ascii="Courier New" w:hAnsi="Courier New"/>
        </w:rPr>
        <w:t>conftest.py</w:t>
      </w:r>
      <w:r>
        <w:t xml:space="preserve"> 在 pytest 启动时把环境变量 </w:t>
      </w:r>
      <w:r>
        <w:rPr>
          <w:rFonts w:ascii="Courier New" w:hAnsi="Courier New"/>
        </w:rPr>
        <w:t>SS_DATA_DIR</w:t>
      </w:r>
      <w:r>
        <w:t xml:space="preserve"> 重定向到临时目录，</w:t>
      </w:r>
      <w:r>
        <w:rPr>
          <w:rFonts w:ascii="Courier New" w:hAnsi="Courier New"/>
        </w:rPr>
        <w:t>test_data_isolation.py</w:t>
      </w:r>
      <w:r>
        <w:t xml:space="preserve"> 断言所有落盘路径（决策快照、市场缓存、新闻库等）都跟随 </w:t>
      </w:r>
      <w:r>
        <w:rPr>
          <w:rFonts w:ascii="Courier New" w:hAnsi="Courier New"/>
        </w:rPr>
        <w:t>SS_DATA_DIR</w:t>
      </w:r>
      <w:r>
        <w:t xml:space="preserve"> 而非硬编码真实 </w:t>
      </w:r>
      <w:r>
        <w:rPr>
          <w:rFonts w:ascii="Courier New" w:hAnsi="Courier New"/>
        </w:rPr>
        <w:t>data/</w:t>
      </w:r>
      <w:r>
        <w:t>，从而锁死"测试污染真实数据"的回退。</w:t>
      </w:r>
    </w:p>
    <w:p w14:paraId="35FC1117">
      <w:pPr>
        <w:pStyle w:val="7"/>
        <w:spacing w:line="300" w:lineRule="auto"/>
        <w:ind w:firstLine="420"/>
      </w:pPr>
      <w:r>
        <w:t xml:space="preserve">- </w:t>
      </w:r>
      <w:r>
        <w:rPr>
          <w:b/>
        </w:rPr>
        <w:t>关键路径 AST 守卫</w:t>
      </w:r>
      <w:r>
        <w:t>：</w:t>
      </w:r>
      <w:r>
        <w:rPr>
          <w:rFonts w:ascii="Courier New" w:hAnsi="Courier New"/>
        </w:rPr>
        <w:t>tests/test_daily_snapshot_wiring.py</w:t>
      </w:r>
      <w:r>
        <w:t xml:space="preserve"> 用抽象语法树静态扫描 </w:t>
      </w:r>
      <w:r>
        <w:rPr>
          <w:rFonts w:ascii="Courier New" w:hAnsi="Courier New"/>
        </w:rPr>
        <w:t>get_shepherd_indicators</w:t>
      </w:r>
      <w:r>
        <w:t xml:space="preserve"> 的调用点，强制其解包为 </w:t>
      </w:r>
      <w:r>
        <w:rPr>
          <w:rFonts w:ascii="Courier New" w:hAnsi="Courier New"/>
        </w:rPr>
        <w:t>(df, meta)</w:t>
      </w:r>
      <w:r>
        <w:t xml:space="preserve"> 二元组。该守卫针对一类静默 bug——漏解包会让 </w:t>
      </w:r>
      <w:r>
        <w:rPr>
          <w:rFonts w:ascii="Courier New" w:hAnsi="Courier New"/>
        </w:rPr>
        <w:t>df</w:t>
      </w:r>
      <w:r>
        <w:t xml:space="preserve"> 实为元组，导致指标永远走兜底值、决策闭环静默断流且无报错。这类错误运行时难构造、肉眼难发现，用 AST 在提交前拦截比靠测试覆盖更稳。</w:t>
      </w:r>
    </w:p>
    <w:p w14:paraId="49146407">
      <w:pPr>
        <w:pStyle w:val="7"/>
        <w:spacing w:line="300" w:lineRule="auto"/>
        <w:ind w:firstLine="420"/>
      </w:pPr>
      <w:r>
        <w:t>表 6-1 汇总了测试分层与规模。</w:t>
      </w:r>
    </w:p>
    <w:p w14:paraId="6D25DAD9">
      <w:pPr>
        <w:pStyle w:val="7"/>
        <w:spacing w:line="300" w:lineRule="auto"/>
        <w:ind w:firstLine="420"/>
      </w:pPr>
      <w:r>
        <w:rPr>
          <w:b/>
        </w:rPr>
        <w:t>表 6-1 测试分层与规模</w:t>
      </w:r>
    </w:p>
    <w:p w14:paraId="2995A4FB"/>
    <w:tbl>
      <w:tblPr>
        <w:tblStyle w:val="20"/>
        <w:tblW w:w="0" w:type="auto"/>
        <w:tblInd w:w="0" w:type="dxa"/>
        <w:tblLayout w:type="autofit"/>
        <w:tblCellMar>
          <w:top w:w="0" w:type="dxa"/>
          <w:left w:w="108" w:type="dxa"/>
          <w:bottom w:w="0" w:type="dxa"/>
          <w:right w:w="108" w:type="dxa"/>
        </w:tblCellMar>
      </w:tblPr>
      <w:tblGrid>
        <w:gridCol w:w="3080"/>
        <w:gridCol w:w="3080"/>
        <w:gridCol w:w="3080"/>
      </w:tblGrid>
      <w:tr w14:paraId="1A53C372">
        <w:tblPrEx>
          <w:tblCellMar>
            <w:top w:w="0" w:type="dxa"/>
            <w:left w:w="108" w:type="dxa"/>
            <w:bottom w:w="0" w:type="dxa"/>
            <w:right w:w="108" w:type="dxa"/>
          </w:tblCellMar>
        </w:tblPrEx>
        <w:tc>
          <w:tcPr>
            <w:tcW w:w="3080" w:type="dxa"/>
          </w:tcPr>
          <w:p w14:paraId="3E2516FA">
            <w:r>
              <w:rPr>
                <w:rFonts w:ascii="Times New Roman" w:hAnsi="Times New Roman" w:eastAsia="宋体"/>
                <w:sz w:val="21"/>
              </w:rPr>
              <w:t>层级</w:t>
            </w:r>
          </w:p>
        </w:tc>
        <w:tc>
          <w:tcPr>
            <w:tcW w:w="3080" w:type="dxa"/>
          </w:tcPr>
          <w:p w14:paraId="6385A977">
            <w:r>
              <w:rPr>
                <w:rFonts w:ascii="Times New Roman" w:hAnsi="Times New Roman" w:eastAsia="宋体"/>
                <w:sz w:val="21"/>
              </w:rPr>
              <w:t>载体</w:t>
            </w:r>
          </w:p>
        </w:tc>
        <w:tc>
          <w:tcPr>
            <w:tcW w:w="3080" w:type="dxa"/>
          </w:tcPr>
          <w:p w14:paraId="2C906B49">
            <w:r>
              <w:rPr>
                <w:rFonts w:ascii="Times New Roman" w:hAnsi="Times New Roman" w:eastAsia="宋体"/>
                <w:sz w:val="21"/>
              </w:rPr>
              <w:t>规模 / 通过情况</w:t>
            </w:r>
          </w:p>
        </w:tc>
      </w:tr>
      <w:tr w14:paraId="035101B0">
        <w:tblPrEx>
          <w:tblCellMar>
            <w:top w:w="0" w:type="dxa"/>
            <w:left w:w="108" w:type="dxa"/>
            <w:bottom w:w="0" w:type="dxa"/>
            <w:right w:w="108" w:type="dxa"/>
          </w:tblCellMar>
        </w:tblPrEx>
        <w:tc>
          <w:tcPr>
            <w:tcW w:w="3080" w:type="dxa"/>
          </w:tcPr>
          <w:p w14:paraId="22A73932">
            <w:r>
              <w:rPr>
                <w:rFonts w:ascii="Times New Roman" w:hAnsi="Times New Roman" w:eastAsia="宋体"/>
                <w:sz w:val="21"/>
              </w:rPr>
              <w:t>前端冒烟</w:t>
            </w:r>
          </w:p>
        </w:tc>
        <w:tc>
          <w:tcPr>
            <w:tcW w:w="3080" w:type="dxa"/>
          </w:tcPr>
          <w:p w14:paraId="4B933BC4">
            <w:r>
              <w:rPr>
                <w:rFonts w:ascii="Times New Roman" w:hAnsi="Times New Roman" w:eastAsia="宋体"/>
                <w:sz w:val="21"/>
              </w:rPr>
              <w:t>`test_pages_smoke.py`</w:t>
            </w:r>
          </w:p>
        </w:tc>
        <w:tc>
          <w:tcPr>
            <w:tcW w:w="3080" w:type="dxa"/>
          </w:tcPr>
          <w:p w14:paraId="75096ADF">
            <w:r>
              <w:rPr>
                <w:rFonts w:ascii="Times New Roman" w:hAnsi="Times New Roman" w:eastAsia="宋体"/>
                <w:sz w:val="21"/>
              </w:rPr>
              <w:t>41 个页面逐一加载，无未捕获异常</w:t>
            </w:r>
          </w:p>
        </w:tc>
      </w:tr>
      <w:tr w14:paraId="12DFAC6C">
        <w:tblPrEx>
          <w:tblCellMar>
            <w:top w:w="0" w:type="dxa"/>
            <w:left w:w="108" w:type="dxa"/>
            <w:bottom w:w="0" w:type="dxa"/>
            <w:right w:w="108" w:type="dxa"/>
          </w:tblCellMar>
        </w:tblPrEx>
        <w:tc>
          <w:tcPr>
            <w:tcW w:w="3080" w:type="dxa"/>
          </w:tcPr>
          <w:p w14:paraId="00923637">
            <w:r>
              <w:rPr>
                <w:rFonts w:ascii="Times New Roman" w:hAnsi="Times New Roman" w:eastAsia="宋体"/>
                <w:sz w:val="21"/>
              </w:rPr>
              <w:t>逻辑单测</w:t>
            </w:r>
          </w:p>
        </w:tc>
        <w:tc>
          <w:tcPr>
            <w:tcW w:w="3080" w:type="dxa"/>
          </w:tcPr>
          <w:p w14:paraId="1F04DF9F">
            <w:r>
              <w:rPr>
                <w:rFonts w:ascii="Times New Roman" w:hAnsi="Times New Roman" w:eastAsia="宋体"/>
                <w:sz w:val="21"/>
              </w:rPr>
              <w:t>219 个测试文件</w:t>
            </w:r>
          </w:p>
        </w:tc>
        <w:tc>
          <w:tcPr>
            <w:tcW w:w="3080" w:type="dxa"/>
          </w:tcPr>
          <w:p w14:paraId="13A0227E">
            <w:r>
              <w:rPr>
                <w:rFonts w:ascii="Times New Roman" w:hAnsi="Times New Roman" w:eastAsia="宋体"/>
                <w:sz w:val="21"/>
              </w:rPr>
              <w:t>2117 个 `def test_` 函数</w:t>
            </w:r>
          </w:p>
        </w:tc>
      </w:tr>
      <w:tr w14:paraId="4B31CECF">
        <w:tblPrEx>
          <w:tblCellMar>
            <w:top w:w="0" w:type="dxa"/>
            <w:left w:w="108" w:type="dxa"/>
            <w:bottom w:w="0" w:type="dxa"/>
            <w:right w:w="108" w:type="dxa"/>
          </w:tblCellMar>
        </w:tblPrEx>
        <w:tc>
          <w:tcPr>
            <w:tcW w:w="3080" w:type="dxa"/>
          </w:tcPr>
          <w:p w14:paraId="267ACA3C">
            <w:r>
              <w:rPr>
                <w:rFonts w:ascii="Times New Roman" w:hAnsi="Times New Roman" w:eastAsia="宋体"/>
                <w:sz w:val="21"/>
              </w:rPr>
              <w:t>数据隔离</w:t>
            </w:r>
          </w:p>
        </w:tc>
        <w:tc>
          <w:tcPr>
            <w:tcW w:w="3080" w:type="dxa"/>
          </w:tcPr>
          <w:p w14:paraId="1287AA64">
            <w:r>
              <w:rPr>
                <w:rFonts w:ascii="Times New Roman" w:hAnsi="Times New Roman" w:eastAsia="宋体"/>
                <w:sz w:val="21"/>
              </w:rPr>
              <w:t>`test_data_isolation.py`</w:t>
            </w:r>
          </w:p>
        </w:tc>
        <w:tc>
          <w:tcPr>
            <w:tcW w:w="3080" w:type="dxa"/>
          </w:tcPr>
          <w:p w14:paraId="6E8D288D">
            <w:r>
              <w:rPr>
                <w:rFonts w:ascii="Times New Roman" w:hAnsi="Times New Roman" w:eastAsia="宋体"/>
                <w:sz w:val="21"/>
              </w:rPr>
              <w:t>`SS_DATA_DIR` 重定向锁死</w:t>
            </w:r>
          </w:p>
        </w:tc>
      </w:tr>
      <w:tr w14:paraId="74A8F5AC">
        <w:tblPrEx>
          <w:tblCellMar>
            <w:top w:w="0" w:type="dxa"/>
            <w:left w:w="108" w:type="dxa"/>
            <w:bottom w:w="0" w:type="dxa"/>
            <w:right w:w="108" w:type="dxa"/>
          </w:tblCellMar>
        </w:tblPrEx>
        <w:tc>
          <w:tcPr>
            <w:tcW w:w="3080" w:type="dxa"/>
          </w:tcPr>
          <w:p w14:paraId="682FB90A">
            <w:r>
              <w:rPr>
                <w:rFonts w:ascii="Times New Roman" w:hAnsi="Times New Roman" w:eastAsia="宋体"/>
                <w:sz w:val="21"/>
              </w:rPr>
              <w:t>AST 守卫</w:t>
            </w:r>
          </w:p>
        </w:tc>
        <w:tc>
          <w:tcPr>
            <w:tcW w:w="3080" w:type="dxa"/>
          </w:tcPr>
          <w:p w14:paraId="79875DB9">
            <w:r>
              <w:rPr>
                <w:rFonts w:ascii="Times New Roman" w:hAnsi="Times New Roman" w:eastAsia="宋体"/>
                <w:sz w:val="21"/>
              </w:rPr>
              <w:t>`test_daily_snapshot_wiring.py`</w:t>
            </w:r>
          </w:p>
        </w:tc>
        <w:tc>
          <w:tcPr>
            <w:tcW w:w="3080" w:type="dxa"/>
          </w:tcPr>
          <w:p w14:paraId="741B299F">
            <w:r>
              <w:rPr>
                <w:rFonts w:ascii="Times New Roman" w:hAnsi="Times New Roman" w:eastAsia="宋体"/>
                <w:sz w:val="21"/>
              </w:rPr>
              <w:t>二元组解包静态扫描通过</w:t>
            </w:r>
          </w:p>
        </w:tc>
      </w:tr>
    </w:tbl>
    <w:p w14:paraId="61105379">
      <w:pPr>
        <w:pStyle w:val="3"/>
      </w:pPr>
      <w:bookmarkStart w:id="54" w:name="_Toc8080"/>
      <w:r>
        <w:t>6.2 决策闭环评估（真实数据）</w:t>
      </w:r>
      <w:bookmarkEnd w:id="54"/>
    </w:p>
    <w:p w14:paraId="129C778E">
      <w:pPr>
        <w:pStyle w:val="7"/>
        <w:spacing w:line="300" w:lineRule="auto"/>
        <w:ind w:firstLine="420"/>
      </w:pPr>
      <w:r>
        <w:t xml:space="preserve">来自 </w:t>
      </w:r>
      <w:r>
        <w:rPr>
          <w:rFonts w:ascii="Courier New" w:hAnsi="Courier New"/>
        </w:rPr>
        <w:t>eval_ch6.py</w:t>
      </w:r>
      <w:r>
        <w:t xml:space="preserve"> 对 </w:t>
      </w:r>
      <w:r>
        <w:rPr>
          <w:rFonts w:ascii="Courier New" w:hAnsi="Courier New"/>
        </w:rPr>
        <w:t>daily_snapshot.json</w:t>
      </w:r>
      <w:r>
        <w:t xml:space="preserve"> + </w:t>
      </w:r>
      <w:r>
        <w:rPr>
          <w:rFonts w:ascii="Courier New" w:hAnsi="Courier New"/>
        </w:rPr>
        <w:t>snapshots/</w:t>
      </w:r>
      <w:r>
        <w:t xml:space="preserve"> 的统计（数据区间 2026-08-31 至 2026-09-30）：</w:t>
      </w:r>
    </w:p>
    <w:p w14:paraId="5066EB0A">
      <w:pPr>
        <w:pStyle w:val="7"/>
        <w:spacing w:line="300" w:lineRule="auto"/>
        <w:ind w:firstLine="420"/>
      </w:pPr>
      <w:r>
        <w:t xml:space="preserve">- 决策快照样本量 </w:t>
      </w:r>
      <w:r>
        <w:rPr>
          <w:b/>
        </w:rPr>
        <w:t>n = 17</w:t>
      </w:r>
      <w:r>
        <w:t>；</w:t>
      </w:r>
    </w:p>
    <w:p w14:paraId="3C205A83">
      <w:pPr>
        <w:pStyle w:val="7"/>
        <w:spacing w:line="300" w:lineRule="auto"/>
        <w:ind w:firstLine="420"/>
      </w:pPr>
      <w:r>
        <w:t xml:space="preserve">- 市场温度范围 </w:t>
      </w:r>
      <w:r>
        <w:rPr>
          <w:b/>
        </w:rPr>
        <w:t>[11.4, 81.1]</w:t>
      </w:r>
      <w:r>
        <w:t xml:space="preserve">；仓位建议范围 </w:t>
      </w:r>
      <w:r>
        <w:rPr>
          <w:b/>
        </w:rPr>
        <w:t>[5, 82]</w:t>
      </w:r>
      <w:r>
        <w:t>；</w:t>
      </w:r>
    </w:p>
    <w:p w14:paraId="25B48214">
      <w:pPr>
        <w:pStyle w:val="7"/>
        <w:spacing w:line="300" w:lineRule="auto"/>
        <w:ind w:firstLine="420"/>
      </w:pPr>
      <w:r>
        <w:t xml:space="preserve">- </w:t>
      </w:r>
      <w:r>
        <w:rPr>
          <w:b/>
        </w:rPr>
        <w:t>clamp 5~95 校验通过</w:t>
      </w:r>
      <w:r>
        <w:t>（所有仓位均落在 [5,95]）；</w:t>
      </w:r>
    </w:p>
    <w:p w14:paraId="62527F43">
      <w:pPr>
        <w:pStyle w:val="7"/>
        <w:spacing w:line="300" w:lineRule="auto"/>
        <w:ind w:firstLine="420"/>
      </w:pPr>
      <w:r>
        <w:t>- 周期分布：修复试探 7 天 / 主升高潮 4 天 / 退潮 3 天 / 修复确认 3 天；</w:t>
      </w:r>
    </w:p>
    <w:p w14:paraId="48708A25">
      <w:pPr>
        <w:pStyle w:val="7"/>
        <w:spacing w:line="300" w:lineRule="auto"/>
        <w:ind w:firstLine="420"/>
      </w:pPr>
      <w:r>
        <w:t xml:space="preserve">- 预测记录 </w:t>
      </w:r>
      <w:r>
        <w:rPr>
          <w:b/>
        </w:rPr>
        <w:t>17 条</w:t>
      </w:r>
      <w:r>
        <w:t xml:space="preserve">，已评分 </w:t>
      </w:r>
      <w:r>
        <w:rPr>
          <w:b/>
        </w:rPr>
        <w:t>10 条</w:t>
      </w:r>
      <w:r>
        <w:t>（命中率 30.0%，样本仍小，</w:t>
      </w:r>
      <w:r>
        <w:rPr>
          <w:b/>
        </w:rPr>
        <w:t>不做显著性推断</w:t>
      </w:r>
      <w:r>
        <w:t>）。</w:t>
      </w:r>
    </w:p>
    <w:p w14:paraId="3AD3A090">
      <w:pPr>
        <w:pStyle w:val="7"/>
        <w:spacing w:line="300" w:lineRule="auto"/>
        <w:ind w:firstLine="420"/>
      </w:pPr>
      <w:r>
        <w:t>图 6-1 给出 17 个交易日的仓位建议及 5/95 上下限参考线，用于直观校验 clamp 约束确实生效：</w:t>
      </w:r>
    </w:p>
    <w:p w14:paraId="3913ADB2">
      <w:pPr>
        <w:pStyle w:val="7"/>
        <w:jc w:val="center"/>
      </w:pPr>
      <w:r>
        <w:drawing>
          <wp:inline distT="0" distB="0" distL="114300" distR="114300">
            <wp:extent cx="5029200" cy="35921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5029200" cy="3592286"/>
                    </a:xfrm>
                    <a:prstGeom prst="rect">
                      <a:avLst/>
                    </a:prstGeom>
                  </pic:spPr>
                </pic:pic>
              </a:graphicData>
            </a:graphic>
          </wp:inline>
        </w:drawing>
      </w:r>
    </w:p>
    <w:p w14:paraId="7F7B43C6">
      <w:pPr>
        <w:pStyle w:val="7"/>
        <w:jc w:val="center"/>
      </w:pPr>
      <w:r>
        <w:rPr>
          <w:rFonts w:ascii="Times New Roman" w:hAnsi="Times New Roman" w:eastAsia="宋体"/>
          <w:sz w:val="21"/>
        </w:rPr>
        <w:t>图 6-1　决策闭环：每日仓位建议（clamp 5~95 校验）</w:t>
      </w:r>
    </w:p>
    <w:p w14:paraId="34803542">
      <w:pPr>
        <w:pStyle w:val="7"/>
        <w:spacing w:line="300" w:lineRule="auto"/>
        <w:ind w:firstLine="420"/>
      </w:pPr>
      <w:r>
        <w:t>图 6-2 是周期分布。17 个交易日覆盖全部四个周期，说明分类逻辑对真实数据产生了区分，而非恒定输出同一档：</w:t>
      </w:r>
    </w:p>
    <w:p w14:paraId="4CB5756A">
      <w:pPr>
        <w:pStyle w:val="7"/>
        <w:jc w:val="center"/>
      </w:pPr>
      <w:r>
        <w:drawing>
          <wp:inline distT="0" distB="0" distL="114300" distR="114300">
            <wp:extent cx="5029200" cy="3592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5029200" cy="3592286"/>
                    </a:xfrm>
                    <a:prstGeom prst="rect">
                      <a:avLst/>
                    </a:prstGeom>
                  </pic:spPr>
                </pic:pic>
              </a:graphicData>
            </a:graphic>
          </wp:inline>
        </w:drawing>
      </w:r>
    </w:p>
    <w:p w14:paraId="69B8B5C3">
      <w:pPr>
        <w:pStyle w:val="7"/>
        <w:jc w:val="center"/>
      </w:pPr>
      <w:r>
        <w:rPr>
          <w:rFonts w:ascii="Times New Roman" w:hAnsi="Times New Roman" w:eastAsia="宋体"/>
          <w:sz w:val="21"/>
        </w:rPr>
        <w:t>图 6-2　市场周期分布</w:t>
      </w:r>
    </w:p>
    <w:p w14:paraId="67C978D6">
      <w:pPr>
        <w:pStyle w:val="7"/>
        <w:spacing w:line="300" w:lineRule="auto"/>
        <w:ind w:firstLine="420"/>
      </w:pPr>
      <w:r>
        <w:t>图 6-3 把温度与仓位画成散点，用于观察决策函数的形态。理想情况下二者应呈正相关，且所有点都落在 [5,95] 带内——这正是本系统期望看到的"温度驱动、边界收敛"行为：</w:t>
      </w:r>
    </w:p>
    <w:p w14:paraId="31AB2768">
      <w:pPr>
        <w:pStyle w:val="7"/>
        <w:jc w:val="center"/>
      </w:pPr>
      <w:r>
        <w:drawing>
          <wp:inline distT="0" distB="0" distL="114300" distR="114300">
            <wp:extent cx="5029200" cy="35921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stretch>
                      <a:fillRect/>
                    </a:stretch>
                  </pic:blipFill>
                  <pic:spPr>
                    <a:xfrm>
                      <a:off x="0" y="0"/>
                      <a:ext cx="5029200" cy="3592286"/>
                    </a:xfrm>
                    <a:prstGeom prst="rect">
                      <a:avLst/>
                    </a:prstGeom>
                  </pic:spPr>
                </pic:pic>
              </a:graphicData>
            </a:graphic>
          </wp:inline>
        </w:drawing>
      </w:r>
    </w:p>
    <w:p w14:paraId="33B3CE64">
      <w:pPr>
        <w:pStyle w:val="7"/>
        <w:jc w:val="center"/>
      </w:pPr>
      <w:r>
        <w:rPr>
          <w:rFonts w:ascii="Times New Roman" w:hAnsi="Times New Roman" w:eastAsia="宋体"/>
          <w:sz w:val="21"/>
        </w:rPr>
        <w:t>图 6-3　温度 vs 仓位散点（决策函数形态）</w:t>
      </w:r>
    </w:p>
    <w:p w14:paraId="5B709C96">
      <w:pPr>
        <w:pStyle w:val="7"/>
        <w:spacing w:line="300" w:lineRule="auto"/>
        <w:ind w:firstLine="420"/>
      </w:pPr>
      <w:r>
        <w:t>图 6-4 是已评分样本（n=10）的命中情况。当前命中率 30%，样本仍小，</w:t>
      </w:r>
      <w:r>
        <w:rPr>
          <w:b/>
        </w:rPr>
        <w:t>此处只证明对账链路持续运行并正确落盘，不构成任何统计结论</w:t>
      </w:r>
      <w:r>
        <w:t>；随着每日快照累积，该图才逐步具备评价意义：</w:t>
      </w:r>
    </w:p>
    <w:p w14:paraId="6B723C84">
      <w:pPr>
        <w:pStyle w:val="7"/>
        <w:jc w:val="center"/>
      </w:pPr>
      <w:r>
        <w:drawing>
          <wp:inline distT="0" distB="0" distL="114300" distR="114300">
            <wp:extent cx="5029200" cy="3592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stretch>
                      <a:fillRect/>
                    </a:stretch>
                  </pic:blipFill>
                  <pic:spPr>
                    <a:xfrm>
                      <a:off x="0" y="0"/>
                      <a:ext cx="5029200" cy="3592286"/>
                    </a:xfrm>
                    <a:prstGeom prst="rect">
                      <a:avLst/>
                    </a:prstGeom>
                  </pic:spPr>
                </pic:pic>
              </a:graphicData>
            </a:graphic>
          </wp:inline>
        </w:drawing>
      </w:r>
    </w:p>
    <w:p w14:paraId="613432EC">
      <w:pPr>
        <w:pStyle w:val="7"/>
        <w:jc w:val="center"/>
      </w:pPr>
      <w:r>
        <w:rPr>
          <w:rFonts w:ascii="Times New Roman" w:hAnsi="Times New Roman" w:eastAsia="宋体"/>
          <w:sz w:val="21"/>
        </w:rPr>
        <w:t>图 6-4　预测 vs 实际命中（已评分样本，n=10）</w:t>
      </w:r>
    </w:p>
    <w:p w14:paraId="50461A91">
      <w:pPr>
        <w:pStyle w:val="7"/>
        <w:spacing w:line="300" w:lineRule="auto"/>
        <w:ind w:firstLine="420"/>
      </w:pPr>
      <w:r>
        <w:t>解读：系统上线初期样本量有限，本章以"</w:t>
      </w:r>
      <w:r>
        <w:rPr>
          <w:b/>
        </w:rPr>
        <w:t>决策闭环功能正确性 + 校准机制设计正确性</w:t>
      </w:r>
      <w:r>
        <w:t>"为评估主线，纵向命中率仅作趋势性证据，不夸大统计结论（与 5.3 的保守设计自洽）。</w:t>
      </w:r>
    </w:p>
    <w:p w14:paraId="4CEA373F">
      <w:pPr>
        <w:pStyle w:val="3"/>
      </w:pPr>
      <w:bookmarkStart w:id="55" w:name="_Toc26567"/>
      <w:r>
        <w:t>6.3 刻度校准机制评估（小样本不表态被真实验证）</w:t>
      </w:r>
      <w:bookmarkEnd w:id="55"/>
    </w:p>
    <w:p w14:paraId="4DB86678">
      <w:pPr>
        <w:pStyle w:val="7"/>
        <w:spacing w:line="300" w:lineRule="auto"/>
        <w:ind w:firstLine="420"/>
      </w:pPr>
      <w:r>
        <w:t xml:space="preserve">调用 </w:t>
      </w:r>
      <w:r>
        <w:rPr>
          <w:rFonts w:ascii="Courier New" w:hAnsi="Courier New"/>
        </w:rPr>
        <w:t>calibration.by_cycle()</w:t>
      </w:r>
      <w:r>
        <w:t xml:space="preserve"> / </w:t>
      </w:r>
      <w:r>
        <w:rPr>
          <w:rFonts w:ascii="Courier New" w:hAnsi="Courier New"/>
        </w:rPr>
        <w:t>by_group()</w:t>
      </w:r>
      <w:r>
        <w:t xml:space="preserve"> 的真实输出：</w:t>
      </w:r>
    </w:p>
    <w:p w14:paraId="12189E73"/>
    <w:tbl>
      <w:tblPr>
        <w:tblStyle w:val="20"/>
        <w:tblW w:w="0" w:type="auto"/>
        <w:tblInd w:w="0" w:type="dxa"/>
        <w:tblLayout w:type="autofit"/>
        <w:tblCellMar>
          <w:top w:w="0" w:type="dxa"/>
          <w:left w:w="108" w:type="dxa"/>
          <w:bottom w:w="0" w:type="dxa"/>
          <w:right w:w="108" w:type="dxa"/>
        </w:tblCellMar>
      </w:tblPr>
      <w:tblGrid>
        <w:gridCol w:w="2310"/>
        <w:gridCol w:w="2310"/>
        <w:gridCol w:w="2310"/>
        <w:gridCol w:w="2310"/>
      </w:tblGrid>
      <w:tr w14:paraId="26DC8354">
        <w:tblPrEx>
          <w:tblCellMar>
            <w:top w:w="0" w:type="dxa"/>
            <w:left w:w="108" w:type="dxa"/>
            <w:bottom w:w="0" w:type="dxa"/>
            <w:right w:w="108" w:type="dxa"/>
          </w:tblCellMar>
        </w:tblPrEx>
        <w:tc>
          <w:tcPr>
            <w:tcW w:w="2310" w:type="dxa"/>
          </w:tcPr>
          <w:p w14:paraId="0D05F285">
            <w:r>
              <w:rPr>
                <w:rFonts w:ascii="Times New Roman" w:hAnsi="Times New Roman" w:eastAsia="宋体"/>
                <w:sz w:val="21"/>
              </w:rPr>
              <w:t>战术分组</w:t>
            </w:r>
          </w:p>
        </w:tc>
        <w:tc>
          <w:tcPr>
            <w:tcW w:w="2310" w:type="dxa"/>
          </w:tcPr>
          <w:p w14:paraId="39FAC73B">
            <w:r>
              <w:rPr>
                <w:rFonts w:ascii="Times New Roman" w:hAnsi="Times New Roman" w:eastAsia="宋体"/>
                <w:sz w:val="21"/>
              </w:rPr>
              <w:t>n_call（表态次数）</w:t>
            </w:r>
          </w:p>
        </w:tc>
        <w:tc>
          <w:tcPr>
            <w:tcW w:w="2310" w:type="dxa"/>
          </w:tcPr>
          <w:p w14:paraId="39917CDF">
            <w:r>
              <w:rPr>
                <w:rFonts w:ascii="Times New Roman" w:hAnsi="Times New Roman" w:eastAsia="宋体"/>
                <w:sz w:val="21"/>
              </w:rPr>
              <w:t>accuracy</w:t>
            </w:r>
          </w:p>
        </w:tc>
        <w:tc>
          <w:tcPr>
            <w:tcW w:w="2310" w:type="dxa"/>
          </w:tcPr>
          <w:p w14:paraId="22CCBE77">
            <w:r>
              <w:rPr>
                <w:rFonts w:ascii="Times New Roman" w:hAnsi="Times New Roman" w:eastAsia="宋体"/>
                <w:sz w:val="21"/>
              </w:rPr>
              <w:t>说明</w:t>
            </w:r>
          </w:p>
        </w:tc>
      </w:tr>
      <w:tr w14:paraId="0386F137">
        <w:tblPrEx>
          <w:tblCellMar>
            <w:top w:w="0" w:type="dxa"/>
            <w:left w:w="108" w:type="dxa"/>
            <w:bottom w:w="0" w:type="dxa"/>
            <w:right w:w="108" w:type="dxa"/>
          </w:tblCellMar>
        </w:tblPrEx>
        <w:tc>
          <w:tcPr>
            <w:tcW w:w="2310" w:type="dxa"/>
          </w:tcPr>
          <w:p w14:paraId="64620F50">
            <w:r>
              <w:rPr>
                <w:rFonts w:ascii="Times New Roman" w:hAnsi="Times New Roman" w:eastAsia="宋体"/>
                <w:sz w:val="21"/>
              </w:rPr>
              <w:t>进攻期（主升高潮 4 + 修复确认 3）</w:t>
            </w:r>
          </w:p>
        </w:tc>
        <w:tc>
          <w:tcPr>
            <w:tcW w:w="2310" w:type="dxa"/>
          </w:tcPr>
          <w:p w14:paraId="14C26EF7">
            <w:r>
              <w:rPr>
                <w:rFonts w:ascii="Times New Roman" w:hAnsi="Times New Roman" w:eastAsia="宋体"/>
                <w:sz w:val="21"/>
              </w:rPr>
              <w:t>7</w:t>
            </w:r>
          </w:p>
        </w:tc>
        <w:tc>
          <w:tcPr>
            <w:tcW w:w="2310" w:type="dxa"/>
          </w:tcPr>
          <w:p w14:paraId="73A2A7E5">
            <w:r>
              <w:rPr>
                <w:rFonts w:ascii="Times New Roman" w:hAnsi="Times New Roman" w:eastAsia="宋体"/>
                <w:sz w:val="21"/>
              </w:rPr>
              <w:t>42.9%</w:t>
            </w:r>
          </w:p>
        </w:tc>
        <w:tc>
          <w:tcPr>
            <w:tcW w:w="2310" w:type="dxa"/>
          </w:tcPr>
          <w:p w14:paraId="7B5CCB3C">
            <w:r>
              <w:rPr>
                <w:rFonts w:ascii="Times New Roman" w:hAnsi="Times New Roman" w:eastAsia="宋体"/>
                <w:sz w:val="21"/>
              </w:rPr>
              <w:t>表态最多；细分上修复确认 66.7% 高于主升高潮 25.0%</w:t>
            </w:r>
          </w:p>
        </w:tc>
      </w:tr>
      <w:tr w14:paraId="3EB25FF8">
        <w:tblPrEx>
          <w:tblCellMar>
            <w:top w:w="0" w:type="dxa"/>
            <w:left w:w="108" w:type="dxa"/>
            <w:bottom w:w="0" w:type="dxa"/>
            <w:right w:w="108" w:type="dxa"/>
          </w:tblCellMar>
        </w:tblPrEx>
        <w:tc>
          <w:tcPr>
            <w:tcW w:w="2310" w:type="dxa"/>
          </w:tcPr>
          <w:p w14:paraId="1E0B46B9">
            <w:r>
              <w:rPr>
                <w:rFonts w:ascii="Times New Roman" w:hAnsi="Times New Roman" w:eastAsia="宋体"/>
                <w:sz w:val="21"/>
              </w:rPr>
              <w:t>修复期（修复试探）</w:t>
            </w:r>
          </w:p>
        </w:tc>
        <w:tc>
          <w:tcPr>
            <w:tcW w:w="2310" w:type="dxa"/>
          </w:tcPr>
          <w:p w14:paraId="5E9BE27A">
            <w:r>
              <w:rPr>
                <w:rFonts w:ascii="Times New Roman" w:hAnsi="Times New Roman" w:eastAsia="宋体"/>
                <w:sz w:val="21"/>
              </w:rPr>
              <w:t>0</w:t>
            </w:r>
          </w:p>
        </w:tc>
        <w:tc>
          <w:tcPr>
            <w:tcW w:w="2310" w:type="dxa"/>
          </w:tcPr>
          <w:p w14:paraId="66E92EE7">
            <w:r>
              <w:rPr>
                <w:rFonts w:ascii="Times New Roman" w:hAnsi="Times New Roman" w:eastAsia="宋体"/>
                <w:sz w:val="21"/>
              </w:rPr>
              <w:t>**null**</w:t>
            </w:r>
          </w:p>
        </w:tc>
        <w:tc>
          <w:tcPr>
            <w:tcW w:w="2310" w:type="dxa"/>
          </w:tcPr>
          <w:p w14:paraId="1420B785">
            <w:r>
              <w:rPr>
                <w:rFonts w:ascii="Times New Roman" w:hAnsi="Times New Roman" w:eastAsia="宋体"/>
                <w:sz w:val="21"/>
              </w:rPr>
              <w:t>无方向表态样本，系统拒给命中率</w:t>
            </w:r>
          </w:p>
        </w:tc>
      </w:tr>
      <w:tr w14:paraId="0644CEEB">
        <w:tblPrEx>
          <w:tblCellMar>
            <w:top w:w="0" w:type="dxa"/>
            <w:left w:w="108" w:type="dxa"/>
            <w:bottom w:w="0" w:type="dxa"/>
            <w:right w:w="108" w:type="dxa"/>
          </w:tblCellMar>
        </w:tblPrEx>
        <w:tc>
          <w:tcPr>
            <w:tcW w:w="2310" w:type="dxa"/>
          </w:tcPr>
          <w:p w14:paraId="6C2397FE">
            <w:r>
              <w:rPr>
                <w:rFonts w:ascii="Times New Roman" w:hAnsi="Times New Roman" w:eastAsia="宋体"/>
                <w:sz w:val="21"/>
              </w:rPr>
              <w:t>防守期（退潮）</w:t>
            </w:r>
          </w:p>
        </w:tc>
        <w:tc>
          <w:tcPr>
            <w:tcW w:w="2310" w:type="dxa"/>
          </w:tcPr>
          <w:p w14:paraId="54ADED8E">
            <w:r>
              <w:rPr>
                <w:rFonts w:ascii="Times New Roman" w:hAnsi="Times New Roman" w:eastAsia="宋体"/>
                <w:sz w:val="21"/>
              </w:rPr>
              <w:t>3</w:t>
            </w:r>
          </w:p>
        </w:tc>
        <w:tc>
          <w:tcPr>
            <w:tcW w:w="2310" w:type="dxa"/>
          </w:tcPr>
          <w:p w14:paraId="51E5FB80">
            <w:r>
              <w:rPr>
                <w:rFonts w:ascii="Times New Roman" w:hAnsi="Times New Roman" w:eastAsia="宋体"/>
                <w:sz w:val="21"/>
              </w:rPr>
              <w:t>0.0</w:t>
            </w:r>
          </w:p>
        </w:tc>
        <w:tc>
          <w:tcPr>
            <w:tcW w:w="2310" w:type="dxa"/>
          </w:tcPr>
          <w:p w14:paraId="40AA4918">
            <w:r>
              <w:rPr>
                <w:rFonts w:ascii="Times New Roman" w:hAnsi="Times New Roman" w:eastAsia="宋体"/>
                <w:sz w:val="21"/>
              </w:rPr>
              <w:t>表态 3 次全部未中——防守期方向最难判</w:t>
            </w:r>
          </w:p>
        </w:tc>
      </w:tr>
    </w:tbl>
    <w:p w14:paraId="4F7D1E6A">
      <w:pPr>
        <w:pStyle w:val="7"/>
        <w:spacing w:line="300" w:lineRule="auto"/>
        <w:ind w:firstLine="420"/>
      </w:pPr>
      <w:r>
        <w:rPr>
          <w:rFonts w:ascii="Courier New" w:hAnsi="Courier New"/>
        </w:rPr>
        <w:t>accuracy=null</w:t>
      </w:r>
      <w:r>
        <w:t xml:space="preserve"> </w:t>
      </w:r>
      <w:r>
        <w:rPr>
          <w:b/>
        </w:rPr>
        <w:t>不是 bug</w:t>
      </w:r>
      <w:r>
        <w:t xml:space="preserve">，而是 </w:t>
      </w:r>
      <w:r>
        <w:rPr>
          <w:rFonts w:ascii="Courier New" w:hAnsi="Courier New"/>
        </w:rPr>
        <w:t>calibration.py</w:t>
      </w:r>
      <w:r>
        <w:t xml:space="preserve"> 三条铁律中"T3 小样本不表态"在真实运行数据上的如实体现——样本不够时系统拒绝输出假阳性"建议调参"。这正是第 5.3 章所述设计的正确落地。值得注意的分化是：进攻期表态 7 次命中 3 次（42.9%）而防守期表态 3 次全未命中（0.0%），方向可预测性随情绪周期分化的形态与 6.6 节大样本结论同构；同样是第 7.2 章"诚实不足"的实证基础。</w:t>
      </w:r>
    </w:p>
    <w:p w14:paraId="4D8D9444">
      <w:pPr>
        <w:pStyle w:val="3"/>
      </w:pPr>
      <w:bookmarkStart w:id="56" w:name="_Toc26948"/>
      <w:r>
        <w:t>6.4 回测成本模型有效性验证</w:t>
      </w:r>
      <w:bookmarkEnd w:id="56"/>
    </w:p>
    <w:p w14:paraId="36BD570A">
      <w:pPr>
        <w:pStyle w:val="7"/>
        <w:spacing w:line="300" w:lineRule="auto"/>
        <w:ind w:firstLine="420"/>
      </w:pPr>
      <w:r>
        <w:t>验证方法：同一标的（300750 宁德时代）、同一策略（</w:t>
      </w:r>
      <w:r>
        <w:rPr>
          <w:rFonts w:ascii="Courier New" w:hAnsi="Courier New"/>
        </w:rPr>
        <w:t>multi_factor</w:t>
      </w:r>
      <w:r>
        <w:t xml:space="preserve"> 多因子 V5）、同一区间（2024-01-01 至 2026-09-06）、同一初始资金（10 万元）跑两遍——A 组按默认成本参数（佣金 0.001、滑点 0.001、印花税 0.001 仅卖出），B 组把三项成本全部置 0。两组的唯一差异是成本开关，因此绩效差额就是成本模型的实际影响，可排除行情与策略因素的干扰。数据来自 BaoStock 真实日线，脚本见附录 C。</w:t>
      </w:r>
    </w:p>
    <w:p w14:paraId="587A562E">
      <w:pPr>
        <w:pStyle w:val="7"/>
        <w:spacing w:line="300" w:lineRule="auto"/>
        <w:ind w:firstLine="420"/>
      </w:pPr>
      <w:r>
        <w:t>表 6-2　成本模型开关对比（真实回测，n = 74 笔）</w:t>
      </w:r>
    </w:p>
    <w:p w14:paraId="4093C562"/>
    <w:tbl>
      <w:tblPr>
        <w:tblStyle w:val="20"/>
        <w:tblW w:w="0" w:type="auto"/>
        <w:tblInd w:w="0" w:type="dxa"/>
        <w:tblLayout w:type="autofit"/>
        <w:tblCellMar>
          <w:top w:w="0" w:type="dxa"/>
          <w:left w:w="108" w:type="dxa"/>
          <w:bottom w:w="0" w:type="dxa"/>
          <w:right w:w="108" w:type="dxa"/>
        </w:tblCellMar>
      </w:tblPr>
      <w:tblGrid>
        <w:gridCol w:w="2310"/>
        <w:gridCol w:w="2310"/>
        <w:gridCol w:w="2310"/>
        <w:gridCol w:w="2310"/>
      </w:tblGrid>
      <w:tr w14:paraId="1BCB1898">
        <w:tblPrEx>
          <w:tblCellMar>
            <w:top w:w="0" w:type="dxa"/>
            <w:left w:w="108" w:type="dxa"/>
            <w:bottom w:w="0" w:type="dxa"/>
            <w:right w:w="108" w:type="dxa"/>
          </w:tblCellMar>
        </w:tblPrEx>
        <w:tc>
          <w:tcPr>
            <w:tcW w:w="2310" w:type="dxa"/>
          </w:tcPr>
          <w:p w14:paraId="134321E3">
            <w:r>
              <w:rPr>
                <w:rFonts w:ascii="Times New Roman" w:hAnsi="Times New Roman" w:eastAsia="宋体"/>
                <w:sz w:val="21"/>
              </w:rPr>
              <w:t>指标</w:t>
            </w:r>
          </w:p>
        </w:tc>
        <w:tc>
          <w:tcPr>
            <w:tcW w:w="2310" w:type="dxa"/>
          </w:tcPr>
          <w:p w14:paraId="22D4F3E3">
            <w:r>
              <w:rPr>
                <w:rFonts w:ascii="Times New Roman" w:hAnsi="Times New Roman" w:eastAsia="宋体"/>
                <w:sz w:val="21"/>
              </w:rPr>
              <w:t>A 组（含成本）</w:t>
            </w:r>
          </w:p>
        </w:tc>
        <w:tc>
          <w:tcPr>
            <w:tcW w:w="2310" w:type="dxa"/>
          </w:tcPr>
          <w:p w14:paraId="5F17625C">
            <w:r>
              <w:rPr>
                <w:rFonts w:ascii="Times New Roman" w:hAnsi="Times New Roman" w:eastAsia="宋体"/>
                <w:sz w:val="21"/>
              </w:rPr>
              <w:t>B 组（零成本）</w:t>
            </w:r>
          </w:p>
        </w:tc>
        <w:tc>
          <w:tcPr>
            <w:tcW w:w="2310" w:type="dxa"/>
          </w:tcPr>
          <w:p w14:paraId="4BC7DE4E">
            <w:r>
              <w:rPr>
                <w:rFonts w:ascii="Times New Roman" w:hAnsi="Times New Roman" w:eastAsia="宋体"/>
                <w:sz w:val="21"/>
              </w:rPr>
              <w:t>差额</w:t>
            </w:r>
          </w:p>
        </w:tc>
      </w:tr>
      <w:tr w14:paraId="220AC4BD">
        <w:tblPrEx>
          <w:tblCellMar>
            <w:top w:w="0" w:type="dxa"/>
            <w:left w:w="108" w:type="dxa"/>
            <w:bottom w:w="0" w:type="dxa"/>
            <w:right w:w="108" w:type="dxa"/>
          </w:tblCellMar>
        </w:tblPrEx>
        <w:tc>
          <w:tcPr>
            <w:tcW w:w="2310" w:type="dxa"/>
          </w:tcPr>
          <w:p w14:paraId="0CE48023">
            <w:r>
              <w:rPr>
                <w:rFonts w:ascii="Times New Roman" w:hAnsi="Times New Roman" w:eastAsia="宋体"/>
                <w:sz w:val="21"/>
              </w:rPr>
              <w:t>总收益率</w:t>
            </w:r>
          </w:p>
        </w:tc>
        <w:tc>
          <w:tcPr>
            <w:tcW w:w="2310" w:type="dxa"/>
          </w:tcPr>
          <w:p w14:paraId="449B4C15">
            <w:r>
              <w:rPr>
                <w:rFonts w:ascii="Times New Roman" w:hAnsi="Times New Roman" w:eastAsia="宋体"/>
                <w:sz w:val="21"/>
              </w:rPr>
              <w:t>+16.30%</w:t>
            </w:r>
          </w:p>
        </w:tc>
        <w:tc>
          <w:tcPr>
            <w:tcW w:w="2310" w:type="dxa"/>
          </w:tcPr>
          <w:p w14:paraId="39F991B8">
            <w:r>
              <w:rPr>
                <w:rFonts w:ascii="Times New Roman" w:hAnsi="Times New Roman" w:eastAsia="宋体"/>
                <w:sz w:val="21"/>
              </w:rPr>
              <w:t>+91.36%</w:t>
            </w:r>
          </w:p>
        </w:tc>
        <w:tc>
          <w:tcPr>
            <w:tcW w:w="2310" w:type="dxa"/>
          </w:tcPr>
          <w:p w14:paraId="62B94A4C">
            <w:r>
              <w:rPr>
                <w:rFonts w:ascii="Times New Roman" w:hAnsi="Times New Roman" w:eastAsia="宋体"/>
                <w:sz w:val="21"/>
              </w:rPr>
              <w:t>**−75.06 pt**</w:t>
            </w:r>
          </w:p>
        </w:tc>
      </w:tr>
      <w:tr w14:paraId="1BED63F8">
        <w:tblPrEx>
          <w:tblCellMar>
            <w:top w:w="0" w:type="dxa"/>
            <w:left w:w="108" w:type="dxa"/>
            <w:bottom w:w="0" w:type="dxa"/>
            <w:right w:w="108" w:type="dxa"/>
          </w:tblCellMar>
        </w:tblPrEx>
        <w:tc>
          <w:tcPr>
            <w:tcW w:w="2310" w:type="dxa"/>
          </w:tcPr>
          <w:p w14:paraId="2A59D50E">
            <w:r>
              <w:rPr>
                <w:rFonts w:ascii="Times New Roman" w:hAnsi="Times New Roman" w:eastAsia="宋体"/>
                <w:sz w:val="21"/>
              </w:rPr>
              <w:t>年化收益率</w:t>
            </w:r>
          </w:p>
        </w:tc>
        <w:tc>
          <w:tcPr>
            <w:tcW w:w="2310" w:type="dxa"/>
          </w:tcPr>
          <w:p w14:paraId="2BA8D785">
            <w:r>
              <w:rPr>
                <w:rFonts w:ascii="Times New Roman" w:hAnsi="Times New Roman" w:eastAsia="宋体"/>
                <w:sz w:val="21"/>
              </w:rPr>
              <w:t>+6.04%</w:t>
            </w:r>
          </w:p>
        </w:tc>
        <w:tc>
          <w:tcPr>
            <w:tcW w:w="2310" w:type="dxa"/>
          </w:tcPr>
          <w:p w14:paraId="746326F5">
            <w:r>
              <w:rPr>
                <w:rFonts w:ascii="Times New Roman" w:hAnsi="Times New Roman" w:eastAsia="宋体"/>
                <w:sz w:val="21"/>
              </w:rPr>
              <w:t>+28.66%</w:t>
            </w:r>
          </w:p>
        </w:tc>
        <w:tc>
          <w:tcPr>
            <w:tcW w:w="2310" w:type="dxa"/>
          </w:tcPr>
          <w:p w14:paraId="21883CB5">
            <w:r>
              <w:rPr>
                <w:rFonts w:ascii="Times New Roman" w:hAnsi="Times New Roman" w:eastAsia="宋体"/>
                <w:sz w:val="21"/>
              </w:rPr>
              <w:t>−22.62 pt</w:t>
            </w:r>
          </w:p>
        </w:tc>
      </w:tr>
      <w:tr w14:paraId="320FEC00">
        <w:tblPrEx>
          <w:tblCellMar>
            <w:top w:w="0" w:type="dxa"/>
            <w:left w:w="108" w:type="dxa"/>
            <w:bottom w:w="0" w:type="dxa"/>
            <w:right w:w="108" w:type="dxa"/>
          </w:tblCellMar>
        </w:tblPrEx>
        <w:tc>
          <w:tcPr>
            <w:tcW w:w="2310" w:type="dxa"/>
          </w:tcPr>
          <w:p w14:paraId="67E3D553">
            <w:r>
              <w:rPr>
                <w:rFonts w:ascii="Times New Roman" w:hAnsi="Times New Roman" w:eastAsia="宋体"/>
                <w:sz w:val="21"/>
              </w:rPr>
              <w:t>最大回撤</w:t>
            </w:r>
          </w:p>
        </w:tc>
        <w:tc>
          <w:tcPr>
            <w:tcW w:w="2310" w:type="dxa"/>
          </w:tcPr>
          <w:p w14:paraId="194810C7">
            <w:r>
              <w:rPr>
                <w:rFonts w:ascii="Times New Roman" w:hAnsi="Times New Roman" w:eastAsia="宋体"/>
                <w:sz w:val="21"/>
              </w:rPr>
              <w:t>−33.07%</w:t>
            </w:r>
          </w:p>
        </w:tc>
        <w:tc>
          <w:tcPr>
            <w:tcW w:w="2310" w:type="dxa"/>
          </w:tcPr>
          <w:p w14:paraId="43FE1FB6">
            <w:r>
              <w:rPr>
                <w:rFonts w:ascii="Times New Roman" w:hAnsi="Times New Roman" w:eastAsia="宋体"/>
                <w:sz w:val="21"/>
              </w:rPr>
              <w:t>−27.91%</w:t>
            </w:r>
          </w:p>
        </w:tc>
        <w:tc>
          <w:tcPr>
            <w:tcW w:w="2310" w:type="dxa"/>
          </w:tcPr>
          <w:p w14:paraId="54BD0D85">
            <w:r>
              <w:rPr>
                <w:rFonts w:ascii="Times New Roman" w:hAnsi="Times New Roman" w:eastAsia="宋体"/>
                <w:sz w:val="21"/>
              </w:rPr>
              <w:t>−5.16 pt</w:t>
            </w:r>
          </w:p>
        </w:tc>
      </w:tr>
      <w:tr w14:paraId="1C0B637A">
        <w:tblPrEx>
          <w:tblCellMar>
            <w:top w:w="0" w:type="dxa"/>
            <w:left w:w="108" w:type="dxa"/>
            <w:bottom w:w="0" w:type="dxa"/>
            <w:right w:w="108" w:type="dxa"/>
          </w:tblCellMar>
        </w:tblPrEx>
        <w:tc>
          <w:tcPr>
            <w:tcW w:w="2310" w:type="dxa"/>
          </w:tcPr>
          <w:p w14:paraId="54B5E42B">
            <w:r>
              <w:rPr>
                <w:rFonts w:ascii="Times New Roman" w:hAnsi="Times New Roman" w:eastAsia="宋体"/>
                <w:sz w:val="21"/>
              </w:rPr>
              <w:t>胜率</w:t>
            </w:r>
          </w:p>
        </w:tc>
        <w:tc>
          <w:tcPr>
            <w:tcW w:w="2310" w:type="dxa"/>
          </w:tcPr>
          <w:p w14:paraId="7A4CC823">
            <w:r>
              <w:rPr>
                <w:rFonts w:ascii="Times New Roman" w:hAnsi="Times New Roman" w:eastAsia="宋体"/>
                <w:sz w:val="21"/>
              </w:rPr>
              <w:t>52.7%</w:t>
            </w:r>
          </w:p>
        </w:tc>
        <w:tc>
          <w:tcPr>
            <w:tcW w:w="2310" w:type="dxa"/>
          </w:tcPr>
          <w:p w14:paraId="6CB8A7EF">
            <w:r>
              <w:rPr>
                <w:rFonts w:ascii="Times New Roman" w:hAnsi="Times New Roman" w:eastAsia="宋体"/>
                <w:sz w:val="21"/>
              </w:rPr>
              <w:t>55.41%</w:t>
            </w:r>
          </w:p>
        </w:tc>
        <w:tc>
          <w:tcPr>
            <w:tcW w:w="2310" w:type="dxa"/>
          </w:tcPr>
          <w:p w14:paraId="416E1B56">
            <w:r>
              <w:rPr>
                <w:rFonts w:ascii="Times New Roman" w:hAnsi="Times New Roman" w:eastAsia="宋体"/>
                <w:sz w:val="21"/>
              </w:rPr>
              <w:t>−2.71 pt</w:t>
            </w:r>
          </w:p>
        </w:tc>
      </w:tr>
      <w:tr w14:paraId="547ADAF8">
        <w:tblPrEx>
          <w:tblCellMar>
            <w:top w:w="0" w:type="dxa"/>
            <w:left w:w="108" w:type="dxa"/>
            <w:bottom w:w="0" w:type="dxa"/>
            <w:right w:w="108" w:type="dxa"/>
          </w:tblCellMar>
        </w:tblPrEx>
        <w:tc>
          <w:tcPr>
            <w:tcW w:w="2310" w:type="dxa"/>
          </w:tcPr>
          <w:p w14:paraId="6878316B">
            <w:r>
              <w:rPr>
                <w:rFonts w:ascii="Times New Roman" w:hAnsi="Times New Roman" w:eastAsia="宋体"/>
                <w:sz w:val="21"/>
              </w:rPr>
              <w:t>盈亏比</w:t>
            </w:r>
          </w:p>
        </w:tc>
        <w:tc>
          <w:tcPr>
            <w:tcW w:w="2310" w:type="dxa"/>
          </w:tcPr>
          <w:p w14:paraId="07C75EEF">
            <w:r>
              <w:rPr>
                <w:rFonts w:ascii="Times New Roman" w:hAnsi="Times New Roman" w:eastAsia="宋体"/>
                <w:sz w:val="21"/>
              </w:rPr>
              <w:t>1.17</w:t>
            </w:r>
          </w:p>
        </w:tc>
        <w:tc>
          <w:tcPr>
            <w:tcW w:w="2310" w:type="dxa"/>
          </w:tcPr>
          <w:p w14:paraId="32F93FFA">
            <w:r>
              <w:rPr>
                <w:rFonts w:ascii="Times New Roman" w:hAnsi="Times New Roman" w:eastAsia="宋体"/>
                <w:sz w:val="21"/>
              </w:rPr>
              <w:t>1.51</w:t>
            </w:r>
          </w:p>
        </w:tc>
        <w:tc>
          <w:tcPr>
            <w:tcW w:w="2310" w:type="dxa"/>
          </w:tcPr>
          <w:p w14:paraId="06323421">
            <w:r>
              <w:rPr>
                <w:rFonts w:ascii="Times New Roman" w:hAnsi="Times New Roman" w:eastAsia="宋体"/>
                <w:sz w:val="21"/>
              </w:rPr>
              <w:t>−0.34</w:t>
            </w:r>
          </w:p>
        </w:tc>
      </w:tr>
      <w:tr w14:paraId="790208B0">
        <w:tblPrEx>
          <w:tblCellMar>
            <w:top w:w="0" w:type="dxa"/>
            <w:left w:w="108" w:type="dxa"/>
            <w:bottom w:w="0" w:type="dxa"/>
            <w:right w:w="108" w:type="dxa"/>
          </w:tblCellMar>
        </w:tblPrEx>
        <w:tc>
          <w:tcPr>
            <w:tcW w:w="2310" w:type="dxa"/>
          </w:tcPr>
          <w:p w14:paraId="4754075D">
            <w:r>
              <w:rPr>
                <w:rFonts w:ascii="Times New Roman" w:hAnsi="Times New Roman" w:eastAsia="宋体"/>
                <w:sz w:val="21"/>
              </w:rPr>
              <w:t>交易笔数</w:t>
            </w:r>
          </w:p>
        </w:tc>
        <w:tc>
          <w:tcPr>
            <w:tcW w:w="2310" w:type="dxa"/>
          </w:tcPr>
          <w:p w14:paraId="5D9FF744">
            <w:r>
              <w:rPr>
                <w:rFonts w:ascii="Times New Roman" w:hAnsi="Times New Roman" w:eastAsia="宋体"/>
                <w:sz w:val="21"/>
              </w:rPr>
              <w:t>74</w:t>
            </w:r>
          </w:p>
        </w:tc>
        <w:tc>
          <w:tcPr>
            <w:tcW w:w="2310" w:type="dxa"/>
          </w:tcPr>
          <w:p w14:paraId="2AD0D7E0">
            <w:r>
              <w:rPr>
                <w:rFonts w:ascii="Times New Roman" w:hAnsi="Times New Roman" w:eastAsia="宋体"/>
                <w:sz w:val="21"/>
              </w:rPr>
              <w:t>74</w:t>
            </w:r>
          </w:p>
        </w:tc>
        <w:tc>
          <w:tcPr>
            <w:tcW w:w="2310" w:type="dxa"/>
          </w:tcPr>
          <w:p w14:paraId="04F59E76">
            <w:r>
              <w:rPr>
                <w:rFonts w:ascii="Times New Roman" w:hAnsi="Times New Roman" w:eastAsia="宋体"/>
                <w:sz w:val="21"/>
              </w:rPr>
              <w:t>0</w:t>
            </w:r>
          </w:p>
        </w:tc>
      </w:tr>
    </w:tbl>
    <w:p w14:paraId="6FF30E8C">
      <w:pPr>
        <w:pStyle w:val="7"/>
        <w:spacing w:line="300" w:lineRule="auto"/>
        <w:ind w:firstLine="420"/>
      </w:pPr>
      <w:r>
        <w:t>三点解读：</w:t>
      </w:r>
    </w:p>
    <w:p w14:paraId="2604E205">
      <w:pPr>
        <w:pStyle w:val="7"/>
        <w:spacing w:line="300" w:lineRule="auto"/>
        <w:ind w:firstLine="420"/>
      </w:pPr>
      <w:r>
        <w:t xml:space="preserve">1. </w:t>
      </w:r>
      <w:r>
        <w:rPr>
          <w:b/>
        </w:rPr>
        <w:t>扣除量可核算且随换手放大。</w:t>
      </w:r>
      <w:r>
        <w:t xml:space="preserve"> 单笔往返的理论成本为"买卖双边滑点 0.2% + 佣金 0.2% + 印花税 0.1%"＝0.5%；74 笔高换手下线性估算约 37 pt，而实测拖累 </w:t>
      </w:r>
      <w:r>
        <w:rPr>
          <w:b/>
        </w:rPr>
        <w:t>75.06 pt</w:t>
      </w:r>
      <w:r>
        <w:t>（零成本 91.36% → 含成本 16.30%）——超线性部分来自复利基数效应：零成本组的更高收益基数使后续每笔按比例计提的成本绝对值同步放大。成本不是常数项，而是与策略收益同规模的一阶项。这既说明成本项被真实扣除，也说明</w:t>
      </w:r>
      <w:r>
        <w:rPr>
          <w:b/>
        </w:rPr>
        <w:t>没有被重复扣除</w:t>
      </w:r>
      <w:r>
        <w:t>——若按错误写法在毛利之上再减一次双边成本，拖累会接近 8 pt。</w:t>
      </w:r>
    </w:p>
    <w:p w14:paraId="04E958A1">
      <w:pPr>
        <w:pStyle w:val="7"/>
        <w:spacing w:line="300" w:lineRule="auto"/>
        <w:ind w:firstLine="420"/>
      </w:pPr>
      <w:r>
        <w:t xml:space="preserve">2. </w:t>
      </w:r>
      <w:r>
        <w:rPr>
          <w:b/>
        </w:rPr>
        <w:t>成本不改交易时序。</w:t>
      </w:r>
      <w:r>
        <w:t xml:space="preserve"> 交易笔数（74）在两组完全相同——信号生成与撮合时点未受成本干扰，符合 4.4 节"信号生成与撮合解耦"的设计；胜率微降 2.7 pt（55.4%→52.7%）来自成本使部分盈亏落在止盈/止损阈值边缘的交易翻转结果，恰是成本被正确计入的表现而非时序污染。</w:t>
      </w:r>
    </w:p>
    <w:p w14:paraId="2D063F56">
      <w:pPr>
        <w:pStyle w:val="7"/>
        <w:spacing w:line="300" w:lineRule="auto"/>
        <w:ind w:firstLine="420"/>
      </w:pPr>
      <w:r>
        <w:t xml:space="preserve">3. </w:t>
      </w:r>
      <w:r>
        <w:rPr>
          <w:b/>
        </w:rPr>
        <w:t>实现缺口的量级实证。</w:t>
      </w:r>
      <w:r>
        <w:t xml:space="preserve"> 盈亏比从 1.51 降到 1.17（−22.5%），总收益率降幅更达 82.2%（91.36%→16.30%）——高换手多因子策略的实现缺口远超低频策略，这正是 Perold[12] 所讨论的实现缺口在 A 股高换手场景下的量级实证，也是回测必须内置真实成本、业绩归因必须区分"信号收益"与"执行损耗"的直接依据。</w:t>
      </w:r>
    </w:p>
    <w:p w14:paraId="06FEE809">
      <w:pPr>
        <w:pStyle w:val="7"/>
        <w:spacing w:line="300" w:lineRule="auto"/>
        <w:ind w:firstLine="420"/>
      </w:pPr>
      <w:r>
        <w:t>需要说明：样例取自系统策略库在同期回测中的正收益代表标的（300750 + 多因子 V5），绝对收益水平并非本节论证目标——本节验证的是“成本是否被正确计入与如实呈现”，两组对比的全部结论只依赖同一信号两套成本参数的差异。</w:t>
      </w:r>
    </w:p>
    <w:p w14:paraId="5B3EF03C">
      <w:pPr>
        <w:pStyle w:val="7"/>
        <w:spacing w:line="300" w:lineRule="auto"/>
        <w:ind w:firstLine="420"/>
      </w:pPr>
      <w:r>
        <w:t>图 6-5 给出两组净值曲线，两条线的间距随交易次数单调拉开，是成本逐笔累积的直观体现：</w:t>
      </w:r>
    </w:p>
    <w:p w14:paraId="1EEF5201">
      <w:pPr>
        <w:pStyle w:val="7"/>
        <w:jc w:val="center"/>
      </w:pPr>
      <w:r>
        <w:drawing>
          <wp:inline distT="0" distB="0" distL="114300" distR="114300">
            <wp:extent cx="5029200" cy="2682240"/>
            <wp:effectExtent l="0" t="0" r="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stretch>
                      <a:fillRect/>
                    </a:stretch>
                  </pic:blipFill>
                  <pic:spPr>
                    <a:xfrm>
                      <a:off x="0" y="0"/>
                      <a:ext cx="5029200" cy="2682240"/>
                    </a:xfrm>
                    <a:prstGeom prst="rect">
                      <a:avLst/>
                    </a:prstGeom>
                  </pic:spPr>
                </pic:pic>
              </a:graphicData>
            </a:graphic>
          </wp:inline>
        </w:drawing>
      </w:r>
    </w:p>
    <w:p w14:paraId="6F3B342D">
      <w:pPr>
        <w:pStyle w:val="7"/>
        <w:jc w:val="center"/>
      </w:pPr>
      <w:r>
        <w:rPr>
          <w:rFonts w:ascii="Times New Roman" w:hAnsi="Times New Roman" w:eastAsia="宋体"/>
          <w:sz w:val="21"/>
        </w:rPr>
        <w:t>图 6-5　回测净值曲线：成本模型开关对比</w:t>
      </w:r>
    </w:p>
    <w:p w14:paraId="0BA67A3D">
      <w:pPr>
        <w:pStyle w:val="3"/>
      </w:pPr>
      <w:bookmarkStart w:id="57" w:name="_Toc11475"/>
      <w:r>
        <w:t>6.5 质量门禁与持续集成</w:t>
      </w:r>
      <w:bookmarkEnd w:id="57"/>
    </w:p>
    <w:p w14:paraId="21542C5C">
      <w:pPr>
        <w:pStyle w:val="7"/>
        <w:spacing w:line="300" w:lineRule="auto"/>
        <w:ind w:firstLine="420"/>
      </w:pPr>
      <w:r>
        <w:t>平台的"可维护性"不是宣言，而由一组可被机器校验的门禁支撑，其中多处直接对应 4.7、4.8 节的工程底座。</w:t>
      </w:r>
    </w:p>
    <w:p w14:paraId="32156A86">
      <w:pPr>
        <w:pStyle w:val="7"/>
        <w:spacing w:line="300" w:lineRule="auto"/>
        <w:ind w:firstLine="420"/>
      </w:pPr>
      <w:r>
        <w:rPr>
          <w:b/>
        </w:rPr>
        <w:t>后端安全基线回归。</w:t>
      </w:r>
      <w:r>
        <w:t xml:space="preserve"> </w:t>
      </w:r>
      <w:r>
        <w:rPr>
          <w:rFonts w:ascii="Courier New" w:hAnsi="Courier New"/>
        </w:rPr>
        <w:t>backend/tests/test_security.py</w:t>
      </w:r>
      <w:r>
        <w:t xml:space="preserve"> 是一个自研 runner（</w:t>
      </w:r>
      <w:r>
        <w:rPr>
          <w:rFonts w:ascii="Courier New" w:hAnsi="Courier New"/>
        </w:rPr>
        <w:t>run_all()</w:t>
      </w:r>
      <w:r>
        <w:t xml:space="preserve">），定义了 13 项安全断言：登录成功/失败信封结构、错误信息脱敏（响应体不含栈帧）、令牌签发与校验、分页边界、JSON 体健壮性、登录计时枚举等。该脚本以 </w:t>
      </w:r>
      <w:r>
        <w:rPr>
          <w:rFonts w:ascii="Courier New" w:hAnsi="Courier New"/>
        </w:rPr>
        <w:t>python -m backend.tests.test_security</w:t>
      </w:r>
      <w:r>
        <w:t xml:space="preserve"> 方式运行，全部通过方算安全基线成立，从机制上防止"悄悄回退到泄露内部错误"或"放宽鉴权"。</w:t>
      </w:r>
    </w:p>
    <w:p w14:paraId="24880E3B">
      <w:pPr>
        <w:pStyle w:val="7"/>
        <w:spacing w:line="300" w:lineRule="auto"/>
        <w:ind w:firstLine="420"/>
      </w:pPr>
      <w:r>
        <w:rPr>
          <w:b/>
        </w:rPr>
        <w:t>覆盖率门禁。</w:t>
      </w:r>
      <w:r>
        <w:t xml:space="preserve"> </w:t>
      </w:r>
      <w:r>
        <w:rPr>
          <w:rFonts w:ascii="Courier New" w:hAnsi="Courier New"/>
        </w:rPr>
        <w:t>pyproject.toml</w:t>
      </w:r>
      <w:r>
        <w:t xml:space="preserve"> 设 </w:t>
      </w:r>
      <w:r>
        <w:rPr>
          <w:rFonts w:ascii="Courier New" w:hAnsi="Courier New"/>
        </w:rPr>
        <w:t>fail_under = 70</w:t>
      </w:r>
      <w:r>
        <w:t xml:space="preserve">，作为持续集成中的可观测阈值；真网集成测试统一打 </w:t>
      </w:r>
      <w:r>
        <w:rPr>
          <w:rFonts w:ascii="Courier New" w:hAnsi="Courier New"/>
        </w:rPr>
        <w:t>live</w:t>
      </w:r>
      <w:r>
        <w:t xml:space="preserve"> 标记，默认跳过（</w:t>
      </w:r>
      <w:r>
        <w:rPr>
          <w:rFonts w:ascii="Courier New" w:hAnsi="Courier New"/>
        </w:rPr>
        <w:t>OFFLINE_TEST=0</w:t>
      </w:r>
      <w:r>
        <w:t xml:space="preserve"> 显式开启），避免 CI 因外部接口波动而误红。</w:t>
      </w:r>
    </w:p>
    <w:p w14:paraId="47C7847C">
      <w:pPr>
        <w:pStyle w:val="7"/>
        <w:spacing w:line="300" w:lineRule="auto"/>
        <w:ind w:firstLine="420"/>
      </w:pPr>
      <w:r>
        <w:rPr>
          <w:b/>
        </w:rPr>
        <w:t>持续集成。</w:t>
      </w:r>
      <w:r>
        <w:t xml:space="preserve"> </w:t>
      </w:r>
      <w:r>
        <w:rPr>
          <w:rFonts w:ascii="Courier New" w:hAnsi="Courier New"/>
        </w:rPr>
        <w:t>.github/workflows/ci.yml</w:t>
      </w:r>
      <w:r>
        <w:t xml:space="preserve"> 在 Python 3.13 环境下先运行 </w:t>
      </w:r>
      <w:r>
        <w:rPr>
          <w:rFonts w:ascii="Courier New" w:hAnsi="Courier New"/>
        </w:rPr>
        <w:t>python -m backend.tests.test_security</w:t>
      </w:r>
      <w:r>
        <w:t xml:space="preserve">（安全基线回归），再运行 </w:t>
      </w:r>
      <w:r>
        <w:rPr>
          <w:rFonts w:ascii="Courier New" w:hAnsi="Courier New"/>
        </w:rPr>
        <w:t>pytest</w:t>
      </w:r>
      <w:r>
        <w:t xml:space="preserve"> 全量单测。安全基线先于普通单测执行，保证任何合并都不会以"功能过了但安全松了"的方式溜过。</w:t>
      </w:r>
    </w:p>
    <w:p w14:paraId="7465F320">
      <w:pPr>
        <w:pStyle w:val="7"/>
        <w:spacing w:line="300" w:lineRule="auto"/>
        <w:ind w:firstLine="420"/>
      </w:pPr>
      <w:r>
        <w:rPr>
          <w:b/>
        </w:rPr>
        <w:t>AST 守卫作为编译期防护。</w:t>
      </w:r>
      <w:r>
        <w:t xml:space="preserve"> 除 6.1 提到的 </w:t>
      </w:r>
      <w:r>
        <w:rPr>
          <w:rFonts w:ascii="Courier New" w:hAnsi="Courier New"/>
        </w:rPr>
        <w:t>test_daily_snapshot_wiring</w:t>
      </w:r>
      <w:r>
        <w:t xml:space="preserve"> 外，关键不变量也以静态扫描形式固化，使"代码能跑但语义错"的回退在测试执行前就被拦截，而非等到运行时才暴露。</w:t>
      </w:r>
    </w:p>
    <w:p w14:paraId="40DCE4CC">
      <w:pPr>
        <w:pStyle w:val="7"/>
        <w:spacing w:line="300" w:lineRule="auto"/>
        <w:ind w:firstLine="420"/>
      </w:pPr>
      <w:r>
        <w:rPr>
          <w:b/>
        </w:rPr>
        <w:t>可维护性证据。</w:t>
      </w:r>
      <w:r>
        <w:t xml:space="preserve"> 架构债治理模块（单源配置 </w:t>
      </w:r>
      <w:r>
        <w:rPr>
          <w:rFonts w:ascii="Courier New" w:hAnsi="Courier New"/>
        </w:rPr>
        <w:t>site_config</w:t>
      </w:r>
      <w:r>
        <w:t xml:space="preserve">、有界线程池 </w:t>
      </w:r>
      <w:r>
        <w:rPr>
          <w:rFonts w:ascii="Courier New" w:hAnsi="Courier New"/>
        </w:rPr>
        <w:t>timeout_exec._POOL</w:t>
      </w:r>
      <w:r>
        <w:t xml:space="preserve">、统一渲染 </w:t>
      </w:r>
      <w:r>
        <w:rPr>
          <w:rFonts w:ascii="Courier New" w:hAnsi="Courier New"/>
        </w:rPr>
        <w:t>page_utils</w:t>
      </w:r>
      <w:r>
        <w:t xml:space="preserve">、首帧主题注入 </w:t>
      </w:r>
      <w:r>
        <w:rPr>
          <w:rFonts w:ascii="Courier New" w:hAnsi="Courier New"/>
        </w:rPr>
        <w:t>apply_page_config</w:t>
      </w:r>
      <w:r>
        <w:t>）使页面改造与回归测试可复用；2117 个单元测试函数构成回归网，任何逻辑层改动都有对应测试兜底。资源安全方面，有界线程池避免每请求新建池导致线程泄漏，多源降级避免单点数据源故障拖垮前端。</w:t>
      </w:r>
    </w:p>
    <w:p w14:paraId="2327397B">
      <w:pPr>
        <w:pStyle w:val="3"/>
      </w:pPr>
      <w:bookmarkStart w:id="58" w:name="_Toc18113"/>
      <w:r>
        <w:t>6.6 大规模历史广度回测实证（4092 交易日）</w:t>
      </w:r>
      <w:bookmarkEnd w:id="58"/>
    </w:p>
    <w:p w14:paraId="150E7B1C">
      <w:pPr>
        <w:pStyle w:val="7"/>
        <w:spacing w:line="300" w:lineRule="auto"/>
        <w:ind w:firstLine="420"/>
      </w:pPr>
      <w:r>
        <w:t xml:space="preserve">前 6.1–6.5 节基于上线初期的小样本（n=17）验证了决策闭环的功能正确性与校准机制的设计正确性，但样本量不足以刻画策略在长周期上的统计行为。本节用重建的 </w:t>
      </w:r>
      <w:r>
        <w:rPr>
          <w:b/>
        </w:rPr>
        <w:t>4798 个真实交易日</w:t>
      </w:r>
      <w:r>
        <w:t>（2007–2026，其中 2009-11 起方向可评分口径 4092 日）全市场广度历史，对完整决策链路（</w:t>
      </w:r>
      <w:r>
        <w:rPr>
          <w:rFonts w:ascii="Courier New" w:hAnsi="Courier New"/>
        </w:rPr>
        <w:t>locate_cycle</w:t>
      </w:r>
      <w:r>
        <w:t xml:space="preserve"> + </w:t>
      </w:r>
      <w:r>
        <w:rPr>
          <w:rFonts w:ascii="Courier New" w:hAnsi="Courier New"/>
        </w:rPr>
        <w:t>derive_position</w:t>
      </w:r>
      <w:r>
        <w:t>）做大规模历史回测，给出诚实的两类结论。</w:t>
      </w:r>
    </w:p>
    <w:p w14:paraId="33592426">
      <w:pPr>
        <w:pStyle w:val="7"/>
        <w:spacing w:line="300" w:lineRule="auto"/>
        <w:ind w:firstLine="420"/>
      </w:pPr>
      <w:r>
        <w:rPr>
          <w:b/>
        </w:rPr>
        <w:t>数据与方法。</w:t>
      </w:r>
      <w:r>
        <w:t xml:space="preserve"> 数据源 </w:t>
      </w:r>
      <w:r>
        <w:rPr>
          <w:rFonts w:ascii="Courier New" w:hAnsi="Courier New"/>
        </w:rPr>
        <w:t>data/shepherd_history.csv</w:t>
      </w:r>
      <w:r>
        <w:t xml:space="preserve">（4798 行，由 </w:t>
      </w:r>
      <w:r>
        <w:rPr>
          <w:rFonts w:ascii="Courier New" w:hAnsi="Courier New"/>
        </w:rPr>
        <w:t>modules/shepherd_reconstruct</w:t>
      </w:r>
      <w:r>
        <w:t xml:space="preserve"> 重建，离线可复现、防覆盖双备份）。回测脚本 </w:t>
      </w:r>
      <w:r>
        <w:rPr>
          <w:rFonts w:ascii="Courier New" w:hAnsi="Courier New"/>
        </w:rPr>
        <w:t>scripts/backtest_decision_closure.py</w:t>
      </w:r>
      <w:r>
        <w:t xml:space="preserve"> 逐日调用与生产一致的 </w:t>
      </w:r>
      <w:r>
        <w:rPr>
          <w:rFonts w:ascii="Courier New" w:hAnsi="Courier New"/>
        </w:rPr>
        <w:t>locate_cycle</w:t>
      </w:r>
      <w:r>
        <w:t xml:space="preserve"> 与 </w:t>
      </w:r>
      <w:r>
        <w:rPr>
          <w:rFonts w:ascii="Courier New" w:hAnsi="Courier New"/>
        </w:rPr>
        <w:t>derive_position</w:t>
      </w:r>
      <w:r>
        <w:t xml:space="preserve">，以同日红盘率代理温度、以广度推导代理方向偏置、次日方向取下一交易日个股中位数涨跌幅符号，零前视。可评分交易日 </w:t>
      </w:r>
      <w:r>
        <w:rPr>
          <w:b/>
        </w:rPr>
        <w:t>n = 4092</w:t>
      </w:r>
      <w:r>
        <w:t>。</w:t>
      </w:r>
    </w:p>
    <w:p w14:paraId="6826007C">
      <w:pPr>
        <w:pStyle w:val="7"/>
        <w:spacing w:line="300" w:lineRule="auto"/>
        <w:ind w:firstLine="420"/>
      </w:pPr>
      <w:r>
        <w:rPr>
          <w:b/>
        </w:rPr>
        <w:t>命题一：方向预测能力 ≈ 随机（诚实负向结论）。</w:t>
      </w:r>
      <w:r>
        <w:t xml:space="preserve"> 全链路次日方向命中率 </w:t>
      </w:r>
      <w:r>
        <w:rPr>
          <w:b/>
        </w:rPr>
        <w:t>49.1%（1722/3507）</w:t>
      </w:r>
      <w:r>
        <w:t>，与随机猜想无统计差异。这与有效市场下日频方向近似随机游走的研究共识（见第 2 章）一致，也界定了系统的能力边界——它</w:t>
      </w:r>
      <w:r>
        <w:rPr>
          <w:b/>
        </w:rPr>
        <w:t>不宣称预测次日涨跌</w:t>
      </w:r>
      <w:r>
        <w:t>，而是把有限的可预测性配置在更稳健的"仓位刻度"维度。</w:t>
      </w:r>
    </w:p>
    <w:p w14:paraId="507A7114">
      <w:pPr>
        <w:pStyle w:val="7"/>
        <w:spacing w:line="300" w:lineRule="auto"/>
        <w:ind w:firstLine="420"/>
      </w:pPr>
      <w:r>
        <w:rPr>
          <w:b/>
        </w:rPr>
        <w:t>口径说明（平盘日如何处理）。</w:t>
      </w:r>
      <w:r>
        <w:t xml:space="preserve"> 方向判定采用三态口径：次日个股中位数涨跌幅 &gt; 0 记为看多、&lt; 0 记为看空、</w:t>
      </w:r>
      <w:r>
        <w:rPr>
          <w:b/>
        </w:rPr>
        <w:t>恰为 0.00 视为“无方向信息”，不计入命中率分母</w:t>
      </w:r>
      <w:r>
        <w:t xml:space="preserve">（与“中性预测不判命中”一致）。该规则源于实证复核中发现的真实缺陷：初版实现把平盘并入“下跌”，使偏空预测在平盘日白拿命中、偏多预测反被罚（4093 个评分日中平盘 177 天，占 4.32%）。修正后命中率由 49.3%（1806/3667）变为 </w:t>
      </w:r>
      <w:r>
        <w:rPr>
          <w:b/>
        </w:rPr>
        <w:t>49.1%（1722/3507）</w:t>
      </w:r>
      <w:r>
        <w:t>，即旧口径多计 84 次命中、160 个可判方向样本；分组统计同步回归无偏（如防守期 48.3% → 47.8%）。修正不改变“方向 ≈ 随机”的结论方向，但避免了把“无信息日”当作“看错”而系统性偏袒空方。</w:t>
      </w:r>
    </w:p>
    <w:p w14:paraId="74051941">
      <w:pPr>
        <w:pStyle w:val="7"/>
        <w:spacing w:line="300" w:lineRule="auto"/>
        <w:ind w:firstLine="420"/>
      </w:pPr>
      <w:r>
        <w:rPr>
          <w:b/>
        </w:rPr>
        <w:t>命题二：仓位刻度随情绪周期显著分化（正向发现）。</w:t>
      </w:r>
      <w:r>
        <w:t xml:space="preserve"> 仓位建议随情绪周期系统性分化，证明闭环是一台"市场状态驱动的风险缩放器"而非"每日方向预言机"：</w:t>
      </w:r>
    </w:p>
    <w:p w14:paraId="4F69747D">
      <w:pPr>
        <w:pStyle w:val="7"/>
        <w:spacing w:line="300" w:lineRule="auto"/>
        <w:ind w:firstLine="420"/>
      </w:pPr>
      <w:r>
        <w:rPr>
          <w:b/>
        </w:rPr>
        <w:t>表 6-3　各情绪周期下平均建议仓位（4092 交易日回测）</w:t>
      </w:r>
    </w:p>
    <w:p w14:paraId="7996EC77"/>
    <w:tbl>
      <w:tblPr>
        <w:tblStyle w:val="20"/>
        <w:tblW w:w="0" w:type="auto"/>
        <w:tblInd w:w="0" w:type="dxa"/>
        <w:tblLayout w:type="autofit"/>
        <w:tblCellMar>
          <w:top w:w="0" w:type="dxa"/>
          <w:left w:w="108" w:type="dxa"/>
          <w:bottom w:w="0" w:type="dxa"/>
          <w:right w:w="108" w:type="dxa"/>
        </w:tblCellMar>
      </w:tblPr>
      <w:tblGrid>
        <w:gridCol w:w="2310"/>
        <w:gridCol w:w="2310"/>
        <w:gridCol w:w="2310"/>
        <w:gridCol w:w="2310"/>
      </w:tblGrid>
      <w:tr w14:paraId="6F9FEF83">
        <w:tblPrEx>
          <w:tblCellMar>
            <w:top w:w="0" w:type="dxa"/>
            <w:left w:w="108" w:type="dxa"/>
            <w:bottom w:w="0" w:type="dxa"/>
            <w:right w:w="108" w:type="dxa"/>
          </w:tblCellMar>
        </w:tblPrEx>
        <w:tc>
          <w:tcPr>
            <w:tcW w:w="2310" w:type="dxa"/>
          </w:tcPr>
          <w:p w14:paraId="5B972127">
            <w:r>
              <w:rPr>
                <w:rFonts w:ascii="Times New Roman" w:hAnsi="Times New Roman" w:eastAsia="宋体"/>
                <w:sz w:val="21"/>
              </w:rPr>
              <w:t>情绪周期</w:t>
            </w:r>
          </w:p>
        </w:tc>
        <w:tc>
          <w:tcPr>
            <w:tcW w:w="2310" w:type="dxa"/>
          </w:tcPr>
          <w:p w14:paraId="655145DD">
            <w:r>
              <w:rPr>
                <w:rFonts w:ascii="Times New Roman" w:hAnsi="Times New Roman" w:eastAsia="宋体"/>
                <w:sz w:val="21"/>
              </w:rPr>
              <w:t>n</w:t>
            </w:r>
          </w:p>
        </w:tc>
        <w:tc>
          <w:tcPr>
            <w:tcW w:w="2310" w:type="dxa"/>
          </w:tcPr>
          <w:p w14:paraId="2F01022A">
            <w:r>
              <w:rPr>
                <w:rFonts w:ascii="Times New Roman" w:hAnsi="Times New Roman" w:eastAsia="宋体"/>
                <w:sz w:val="21"/>
              </w:rPr>
              <w:t>平均建议仓位 avg_pct</w:t>
            </w:r>
          </w:p>
        </w:tc>
        <w:tc>
          <w:tcPr>
            <w:tcW w:w="2310" w:type="dxa"/>
          </w:tcPr>
          <w:p w14:paraId="15524356">
            <w:r>
              <w:rPr>
                <w:rFonts w:ascii="Times New Roman" w:hAnsi="Times New Roman" w:eastAsia="宋体"/>
                <w:sz w:val="21"/>
              </w:rPr>
              <w:t>语义</w:t>
            </w:r>
          </w:p>
        </w:tc>
      </w:tr>
      <w:tr w14:paraId="3E52EEA7">
        <w:tblPrEx>
          <w:tblCellMar>
            <w:top w:w="0" w:type="dxa"/>
            <w:left w:w="108" w:type="dxa"/>
            <w:bottom w:w="0" w:type="dxa"/>
            <w:right w:w="108" w:type="dxa"/>
          </w:tblCellMar>
        </w:tblPrEx>
        <w:tc>
          <w:tcPr>
            <w:tcW w:w="2310" w:type="dxa"/>
          </w:tcPr>
          <w:p w14:paraId="3C857042">
            <w:r>
              <w:rPr>
                <w:rFonts w:ascii="Times New Roman" w:hAnsi="Times New Roman" w:eastAsia="宋体"/>
                <w:sz w:val="21"/>
              </w:rPr>
              <w:t>冰点</w:t>
            </w:r>
          </w:p>
        </w:tc>
        <w:tc>
          <w:tcPr>
            <w:tcW w:w="2310" w:type="dxa"/>
          </w:tcPr>
          <w:p w14:paraId="5D07A51C">
            <w:r>
              <w:rPr>
                <w:rFonts w:ascii="Times New Roman" w:hAnsi="Times New Roman" w:eastAsia="宋体"/>
                <w:sz w:val="21"/>
              </w:rPr>
              <w:t>7</w:t>
            </w:r>
          </w:p>
        </w:tc>
        <w:tc>
          <w:tcPr>
            <w:tcW w:w="2310" w:type="dxa"/>
          </w:tcPr>
          <w:p w14:paraId="5383A2B1">
            <w:r>
              <w:rPr>
                <w:rFonts w:ascii="Times New Roman" w:hAnsi="Times New Roman" w:eastAsia="宋体"/>
                <w:sz w:val="21"/>
              </w:rPr>
              <w:t>5.0</w:t>
            </w:r>
          </w:p>
        </w:tc>
        <w:tc>
          <w:tcPr>
            <w:tcW w:w="2310" w:type="dxa"/>
          </w:tcPr>
          <w:p w14:paraId="4AC02E6C">
            <w:r>
              <w:rPr>
                <w:rFonts w:ascii="Times New Roman" w:hAnsi="Times New Roman" w:eastAsia="宋体"/>
                <w:sz w:val="21"/>
              </w:rPr>
              <w:t>极端风控封底</w:t>
            </w:r>
          </w:p>
        </w:tc>
      </w:tr>
      <w:tr w14:paraId="398BCCB0">
        <w:tblPrEx>
          <w:tblCellMar>
            <w:top w:w="0" w:type="dxa"/>
            <w:left w:w="108" w:type="dxa"/>
            <w:bottom w:w="0" w:type="dxa"/>
            <w:right w:w="108" w:type="dxa"/>
          </w:tblCellMar>
        </w:tblPrEx>
        <w:tc>
          <w:tcPr>
            <w:tcW w:w="2310" w:type="dxa"/>
          </w:tcPr>
          <w:p w14:paraId="6AAD965B">
            <w:r>
              <w:rPr>
                <w:rFonts w:ascii="Times New Roman" w:hAnsi="Times New Roman" w:eastAsia="宋体"/>
                <w:sz w:val="21"/>
              </w:rPr>
              <w:t>修复试探</w:t>
            </w:r>
          </w:p>
        </w:tc>
        <w:tc>
          <w:tcPr>
            <w:tcW w:w="2310" w:type="dxa"/>
          </w:tcPr>
          <w:p w14:paraId="5D15A1AB">
            <w:r>
              <w:rPr>
                <w:rFonts w:ascii="Times New Roman" w:hAnsi="Times New Roman" w:eastAsia="宋体"/>
                <w:sz w:val="21"/>
              </w:rPr>
              <w:t>2990</w:t>
            </w:r>
          </w:p>
        </w:tc>
        <w:tc>
          <w:tcPr>
            <w:tcW w:w="2310" w:type="dxa"/>
          </w:tcPr>
          <w:p w14:paraId="1480A071">
            <w:r>
              <w:rPr>
                <w:rFonts w:ascii="Times New Roman" w:hAnsi="Times New Roman" w:eastAsia="宋体"/>
                <w:sz w:val="21"/>
              </w:rPr>
              <w:t>50.6</w:t>
            </w:r>
          </w:p>
        </w:tc>
        <w:tc>
          <w:tcPr>
            <w:tcW w:w="2310" w:type="dxa"/>
          </w:tcPr>
          <w:p w14:paraId="68B9C649">
            <w:r>
              <w:rPr>
                <w:rFonts w:ascii="Times New Roman" w:hAnsi="Times New Roman" w:eastAsia="宋体"/>
                <w:sz w:val="21"/>
              </w:rPr>
              <w:t>方向未明，观测为主</w:t>
            </w:r>
          </w:p>
        </w:tc>
      </w:tr>
      <w:tr w14:paraId="432A54EB">
        <w:tblPrEx>
          <w:tblCellMar>
            <w:top w:w="0" w:type="dxa"/>
            <w:left w:w="108" w:type="dxa"/>
            <w:bottom w:w="0" w:type="dxa"/>
            <w:right w:w="108" w:type="dxa"/>
          </w:tblCellMar>
        </w:tblPrEx>
        <w:tc>
          <w:tcPr>
            <w:tcW w:w="2310" w:type="dxa"/>
          </w:tcPr>
          <w:p w14:paraId="3A168A6B">
            <w:r>
              <w:rPr>
                <w:rFonts w:ascii="Times New Roman" w:hAnsi="Times New Roman" w:eastAsia="宋体"/>
                <w:sz w:val="21"/>
              </w:rPr>
              <w:t>修复确认</w:t>
            </w:r>
          </w:p>
        </w:tc>
        <w:tc>
          <w:tcPr>
            <w:tcW w:w="2310" w:type="dxa"/>
          </w:tcPr>
          <w:p w14:paraId="58C66E2C">
            <w:r>
              <w:rPr>
                <w:rFonts w:ascii="Times New Roman" w:hAnsi="Times New Roman" w:eastAsia="宋体"/>
                <w:sz w:val="21"/>
              </w:rPr>
              <w:t>421</w:t>
            </w:r>
          </w:p>
        </w:tc>
        <w:tc>
          <w:tcPr>
            <w:tcW w:w="2310" w:type="dxa"/>
          </w:tcPr>
          <w:p w14:paraId="351657B9">
            <w:r>
              <w:rPr>
                <w:rFonts w:ascii="Times New Roman" w:hAnsi="Times New Roman" w:eastAsia="宋体"/>
                <w:sz w:val="21"/>
              </w:rPr>
              <w:t>59.7</w:t>
            </w:r>
          </w:p>
        </w:tc>
        <w:tc>
          <w:tcPr>
            <w:tcW w:w="2310" w:type="dxa"/>
          </w:tcPr>
          <w:p w14:paraId="71FDADBB">
            <w:r>
              <w:rPr>
                <w:rFonts w:ascii="Times New Roman" w:hAnsi="Times New Roman" w:eastAsia="宋体"/>
                <w:sz w:val="21"/>
              </w:rPr>
              <w:t>右侧拐点，顺势加</w:t>
            </w:r>
          </w:p>
        </w:tc>
      </w:tr>
      <w:tr w14:paraId="4C983BD8">
        <w:tblPrEx>
          <w:tblCellMar>
            <w:top w:w="0" w:type="dxa"/>
            <w:left w:w="108" w:type="dxa"/>
            <w:bottom w:w="0" w:type="dxa"/>
            <w:right w:w="108" w:type="dxa"/>
          </w:tblCellMar>
        </w:tblPrEx>
        <w:tc>
          <w:tcPr>
            <w:tcW w:w="2310" w:type="dxa"/>
          </w:tcPr>
          <w:p w14:paraId="6FC91980">
            <w:r>
              <w:rPr>
                <w:rFonts w:ascii="Times New Roman" w:hAnsi="Times New Roman" w:eastAsia="宋体"/>
                <w:sz w:val="21"/>
              </w:rPr>
              <w:t>主升高潮</w:t>
            </w:r>
          </w:p>
        </w:tc>
        <w:tc>
          <w:tcPr>
            <w:tcW w:w="2310" w:type="dxa"/>
          </w:tcPr>
          <w:p w14:paraId="7ADA94C5">
            <w:r>
              <w:rPr>
                <w:rFonts w:ascii="Times New Roman" w:hAnsi="Times New Roman" w:eastAsia="宋体"/>
                <w:sz w:val="21"/>
              </w:rPr>
              <w:t>293</w:t>
            </w:r>
          </w:p>
        </w:tc>
        <w:tc>
          <w:tcPr>
            <w:tcW w:w="2310" w:type="dxa"/>
          </w:tcPr>
          <w:p w14:paraId="405808AA">
            <w:r>
              <w:rPr>
                <w:rFonts w:ascii="Times New Roman" w:hAnsi="Times New Roman" w:eastAsia="宋体"/>
                <w:sz w:val="21"/>
              </w:rPr>
              <w:t>55.2</w:t>
            </w:r>
          </w:p>
        </w:tc>
        <w:tc>
          <w:tcPr>
            <w:tcW w:w="2310" w:type="dxa"/>
          </w:tcPr>
          <w:p w14:paraId="61CB8A67">
            <w:r>
              <w:rPr>
                <w:rFonts w:ascii="Times New Roman" w:hAnsi="Times New Roman" w:eastAsia="宋体"/>
                <w:sz w:val="21"/>
              </w:rPr>
              <w:t>趋势最一致</w:t>
            </w:r>
          </w:p>
        </w:tc>
      </w:tr>
      <w:tr w14:paraId="25406218">
        <w:tblPrEx>
          <w:tblCellMar>
            <w:top w:w="0" w:type="dxa"/>
            <w:left w:w="108" w:type="dxa"/>
            <w:bottom w:w="0" w:type="dxa"/>
            <w:right w:w="108" w:type="dxa"/>
          </w:tblCellMar>
        </w:tblPrEx>
        <w:tc>
          <w:tcPr>
            <w:tcW w:w="2310" w:type="dxa"/>
          </w:tcPr>
          <w:p w14:paraId="71B280B4">
            <w:r>
              <w:rPr>
                <w:rFonts w:ascii="Times New Roman" w:hAnsi="Times New Roman" w:eastAsia="宋体"/>
                <w:sz w:val="21"/>
              </w:rPr>
              <w:t>高潮分化</w:t>
            </w:r>
          </w:p>
        </w:tc>
        <w:tc>
          <w:tcPr>
            <w:tcW w:w="2310" w:type="dxa"/>
          </w:tcPr>
          <w:p w14:paraId="46F26231">
            <w:r>
              <w:rPr>
                <w:rFonts w:ascii="Times New Roman" w:hAnsi="Times New Roman" w:eastAsia="宋体"/>
                <w:sz w:val="21"/>
              </w:rPr>
              <w:t>1</w:t>
            </w:r>
          </w:p>
        </w:tc>
        <w:tc>
          <w:tcPr>
            <w:tcW w:w="2310" w:type="dxa"/>
          </w:tcPr>
          <w:p w14:paraId="43667E96">
            <w:r>
              <w:rPr>
                <w:rFonts w:ascii="Times New Roman" w:hAnsi="Times New Roman" w:eastAsia="宋体"/>
                <w:sz w:val="21"/>
              </w:rPr>
              <w:t>95.0</w:t>
            </w:r>
          </w:p>
        </w:tc>
        <w:tc>
          <w:tcPr>
            <w:tcW w:w="2310" w:type="dxa"/>
          </w:tcPr>
          <w:p w14:paraId="3DDF18F5">
            <w:r>
              <w:rPr>
                <w:rFonts w:ascii="Times New Roman" w:hAnsi="Times New Roman" w:eastAsia="宋体"/>
                <w:sz w:val="21"/>
              </w:rPr>
              <w:t>一致预期末端（n=1 噪声）</w:t>
            </w:r>
          </w:p>
        </w:tc>
      </w:tr>
      <w:tr w14:paraId="0EBC151E">
        <w:tblPrEx>
          <w:tblCellMar>
            <w:top w:w="0" w:type="dxa"/>
            <w:left w:w="108" w:type="dxa"/>
            <w:bottom w:w="0" w:type="dxa"/>
            <w:right w:w="108" w:type="dxa"/>
          </w:tblCellMar>
        </w:tblPrEx>
        <w:tc>
          <w:tcPr>
            <w:tcW w:w="2310" w:type="dxa"/>
          </w:tcPr>
          <w:p w14:paraId="1D7A7598">
            <w:r>
              <w:rPr>
                <w:rFonts w:ascii="Times New Roman" w:hAnsi="Times New Roman" w:eastAsia="宋体"/>
                <w:sz w:val="21"/>
              </w:rPr>
              <w:t>退潮</w:t>
            </w:r>
          </w:p>
        </w:tc>
        <w:tc>
          <w:tcPr>
            <w:tcW w:w="2310" w:type="dxa"/>
          </w:tcPr>
          <w:p w14:paraId="52E4295A">
            <w:r>
              <w:rPr>
                <w:rFonts w:ascii="Times New Roman" w:hAnsi="Times New Roman" w:eastAsia="宋体"/>
                <w:sz w:val="21"/>
              </w:rPr>
              <w:t>380</w:t>
            </w:r>
          </w:p>
        </w:tc>
        <w:tc>
          <w:tcPr>
            <w:tcW w:w="2310" w:type="dxa"/>
          </w:tcPr>
          <w:p w14:paraId="6E5040C4">
            <w:r>
              <w:rPr>
                <w:rFonts w:ascii="Times New Roman" w:hAnsi="Times New Roman" w:eastAsia="宋体"/>
                <w:sz w:val="21"/>
              </w:rPr>
              <w:t>35.0</w:t>
            </w:r>
          </w:p>
        </w:tc>
        <w:tc>
          <w:tcPr>
            <w:tcW w:w="2310" w:type="dxa"/>
          </w:tcPr>
          <w:p w14:paraId="2F712188">
            <w:r>
              <w:rPr>
                <w:rFonts w:ascii="Times New Roman" w:hAnsi="Times New Roman" w:eastAsia="宋体"/>
                <w:sz w:val="21"/>
              </w:rPr>
              <w:t>亏钱效应扩散，防守</w:t>
            </w:r>
          </w:p>
        </w:tc>
      </w:tr>
    </w:tbl>
    <w:p w14:paraId="5D36B12F">
      <w:pPr>
        <w:pStyle w:val="7"/>
        <w:spacing w:line="300" w:lineRule="auto"/>
        <w:ind w:firstLine="420"/>
      </w:pPr>
      <w:r>
        <w:t>按四大战术分组聚合，进攻期平均 57.8% / 修复期 50.5% / 防守期 35.0%，</w:t>
      </w:r>
      <w:r>
        <w:rPr>
          <w:b/>
        </w:rPr>
        <w:t>价差 22.8 个百分点</w:t>
      </w:r>
      <w:r>
        <w:t>，单调且符合"进攻多扛、防守收缩"的预期。</w:t>
      </w:r>
    </w:p>
    <w:p w14:paraId="650D0FAE">
      <w:pPr>
        <w:pStyle w:val="7"/>
        <w:spacing w:line="300" w:lineRule="auto"/>
        <w:ind w:firstLine="420"/>
      </w:pPr>
      <w:r>
        <w:t>图 6-6 给出 4798 个交易日的广度历史走势（红盘率与涨跌家数），是上述回测的数据基座（其中 2009-11 起方向可评分口径 4092 日）；图 6-7 给出分阶段决策命中率随时间的趋势，直观呈现方向命中在长周期上围绕 50% 波动、无稳定超额 edge。</w:t>
      </w:r>
    </w:p>
    <w:p w14:paraId="50136722">
      <w:pPr>
        <w:pStyle w:val="7"/>
        <w:jc w:val="center"/>
      </w:pPr>
      <w:r>
        <w:drawing>
          <wp:inline distT="0" distB="0" distL="114300" distR="114300">
            <wp:extent cx="5029200" cy="35921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a:stretch>
                      <a:fillRect/>
                    </a:stretch>
                  </pic:blipFill>
                  <pic:spPr>
                    <a:xfrm>
                      <a:off x="0" y="0"/>
                      <a:ext cx="5029200" cy="3592286"/>
                    </a:xfrm>
                    <a:prstGeom prst="rect">
                      <a:avLst/>
                    </a:prstGeom>
                  </pic:spPr>
                </pic:pic>
              </a:graphicData>
            </a:graphic>
          </wp:inline>
        </w:drawing>
      </w:r>
    </w:p>
    <w:p w14:paraId="53B0748B">
      <w:pPr>
        <w:pStyle w:val="7"/>
        <w:jc w:val="center"/>
      </w:pPr>
      <w:r>
        <w:rPr>
          <w:rFonts w:ascii="Times New Roman" w:hAnsi="Times New Roman" w:eastAsia="宋体"/>
          <w:sz w:val="21"/>
        </w:rPr>
        <w:t>图 6-6　全市场广度历史（4798 交易日）</w:t>
      </w:r>
    </w:p>
    <w:p w14:paraId="48D6B1D4">
      <w:pPr>
        <w:pStyle w:val="7"/>
        <w:jc w:val="center"/>
      </w:pPr>
      <w:r>
        <w:drawing>
          <wp:inline distT="0" distB="0" distL="114300" distR="114300">
            <wp:extent cx="5029200" cy="35921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stretch>
                      <a:fillRect/>
                    </a:stretch>
                  </pic:blipFill>
                  <pic:spPr>
                    <a:xfrm>
                      <a:off x="0" y="0"/>
                      <a:ext cx="5029200" cy="3592286"/>
                    </a:xfrm>
                    <a:prstGeom prst="rect">
                      <a:avLst/>
                    </a:prstGeom>
                  </pic:spPr>
                </pic:pic>
              </a:graphicData>
            </a:graphic>
          </wp:inline>
        </w:drawing>
      </w:r>
    </w:p>
    <w:p w14:paraId="3C789941">
      <w:pPr>
        <w:pStyle w:val="7"/>
        <w:jc w:val="center"/>
      </w:pPr>
      <w:r>
        <w:rPr>
          <w:rFonts w:ascii="Times New Roman" w:hAnsi="Times New Roman" w:eastAsia="宋体"/>
          <w:sz w:val="21"/>
        </w:rPr>
        <w:t>图 6-7　分阶段决策命中率趋势（围绕 50% 波动）</w:t>
      </w:r>
    </w:p>
    <w:p w14:paraId="2BCB9664">
      <w:pPr>
        <w:pStyle w:val="7"/>
        <w:spacing w:line="300" w:lineRule="auto"/>
        <w:ind w:firstLine="420"/>
      </w:pPr>
      <w:r>
        <w:rPr>
          <w:b/>
        </w:rPr>
        <w:t>刻度校准演示。</w:t>
      </w:r>
      <w:r>
        <w:t xml:space="preserve"> 用回测分组统计驱动 </w:t>
      </w:r>
      <w:r>
        <w:rPr>
          <w:rFonts w:ascii="Courier New" w:hAnsi="Courier New"/>
        </w:rPr>
        <w:t>calibration.py</w:t>
      </w:r>
      <w:r>
        <w:t xml:space="preserve"> 公式 </w:t>
      </w:r>
      <w:r>
        <w:rPr>
          <w:rFonts w:ascii="Courier New" w:hAnsi="Courier New"/>
        </w:rPr>
        <w:t>sug_delta = clamp(round(2.0 × avg_realized), ±5)</w:t>
      </w:r>
      <w:r>
        <w:t xml:space="preserve">，四大战术分组建议调节量均 ≤ 1 点（进攻期 −1、修复期 0、防守期 0；分化期 −5 但 n_call=1 被 </w:t>
      </w:r>
      <w:r>
        <w:rPr>
          <w:rFonts w:ascii="Courier New" w:hAnsi="Courier New"/>
        </w:rPr>
        <w:t>STRONG_SAMPLES=20</w:t>
      </w:r>
      <w:r>
        <w:t xml:space="preserve"> 硬性拦截），</w:t>
      </w:r>
      <w:r>
        <w:rPr>
          <w:b/>
        </w:rPr>
        <w:t>全部 actionable=False</w:t>
      </w:r>
      <w:r>
        <w:t xml:space="preserve">。这说明原有 </w:t>
      </w:r>
      <w:r>
        <w:rPr>
          <w:rFonts w:ascii="Courier New" w:hAnsi="Courier New"/>
        </w:rPr>
        <w:t>CYCLE_ADJ</w:t>
      </w:r>
      <w:r>
        <w:t xml:space="preserve"> 经验常数在统计意义上基本合理，且校准机制在噪音阈值内正确"不动"、小样本被护栏阻断过拟合——与命题一（方向≈随机）自洽。</w:t>
      </w:r>
    </w:p>
    <w:p w14:paraId="26758D8F">
      <w:pPr>
        <w:pStyle w:val="7"/>
        <w:spacing w:line="300" w:lineRule="auto"/>
        <w:ind w:firstLine="420"/>
      </w:pPr>
      <w:r>
        <w:rPr>
          <w:b/>
        </w:rPr>
        <w:t>小结。</w:t>
      </w:r>
      <w:r>
        <w:t xml:space="preserve"> 本节把第 5 章的"可解释 + 可自纠偏"设计落到 4092 天真实数据上：方向不可预测被如实量化，而仓位刻度随周期分化的 22.8pt 价差则证明闭环的真实价值在于"择时仓位缩放"而非"方向博弈"。所有数字由 </w:t>
      </w:r>
      <w:r>
        <w:rPr>
          <w:rFonts w:ascii="Courier New" w:hAnsi="Courier New"/>
        </w:rPr>
        <w:t>backtest_decision_closure.py</w:t>
      </w:r>
      <w:r>
        <w:t xml:space="preserve"> 实算、可复现。</w:t>
      </w:r>
    </w:p>
    <w:p w14:paraId="358BBA7F">
      <w:pPr>
        <w:pStyle w:val="3"/>
      </w:pPr>
      <w:bookmarkStart w:id="59" w:name="_Toc21785"/>
      <w:r>
        <w:t>6.7 本章小结</w:t>
      </w:r>
      <w:bookmarkEnd w:id="59"/>
    </w:p>
    <w:p w14:paraId="643916A4">
      <w:pPr>
        <w:pStyle w:val="7"/>
        <w:spacing w:line="300" w:lineRule="auto"/>
        <w:ind w:firstLine="420"/>
      </w:pPr>
      <w:r>
        <w:t xml:space="preserve">第 6 章以真实运行数据与大规模历史回测证明：决策闭环功能正确（clamp 通过、预测可追踪）、刻度校准机制按设计在小样本下如实沉默（不编造命中率）、在 4092 交易日大规模回测中方向命中≈随机（49.1%，平盘日按“无方向信息”剔除）而仓位刻度随周期显著分化（22.8pt 价差）、回测成本模型真实扣除、平台具备可维护的架构治理。测试体系覆盖前端冒烟、2117 个逻辑单测、数据隔离与 AST 守卫，安全基线 13/13 与覆盖率门禁由 CI 持续校验。所有数字可经 </w:t>
      </w:r>
      <w:r>
        <w:rPr>
          <w:rFonts w:ascii="Courier New" w:hAnsi="Courier New"/>
        </w:rPr>
        <w:t>eval_ch6.py</w:t>
      </w:r>
      <w:r>
        <w:t>、</w:t>
      </w:r>
      <w:r>
        <w:rPr>
          <w:rFonts w:ascii="Courier New" w:hAnsi="Courier New"/>
        </w:rPr>
        <w:t>scripts/backtest_decision_closure.py</w:t>
      </w:r>
      <w:r>
        <w:t xml:space="preserve"> 与对应测试脚本复现。</w:t>
      </w:r>
    </w:p>
    <w:p w14:paraId="13F2FDDA">
      <w:pPr>
        <w:pStyle w:val="2"/>
      </w:pPr>
      <w:bookmarkStart w:id="60" w:name="_Toc14296"/>
      <w:r>
        <w:t>7 结论与展望</w:t>
      </w:r>
      <w:bookmarkEnd w:id="60"/>
    </w:p>
    <w:p w14:paraId="12FD81B1">
      <w:pPr>
        <w:pStyle w:val="3"/>
      </w:pPr>
      <w:bookmarkStart w:id="61" w:name="_Toc16308"/>
      <w:r>
        <w:t>7.1 工作总结</w:t>
      </w:r>
      <w:bookmarkEnd w:id="61"/>
    </w:p>
    <w:p w14:paraId="41BF67CC">
      <w:pPr>
        <w:pStyle w:val="7"/>
        <w:spacing w:line="300" w:lineRule="auto"/>
        <w:ind w:firstLine="420"/>
      </w:pPr>
      <w:r>
        <w:t>本文围绕"个人投资者缺乏可解释、可自纠偏的仓位决策框架"这一现实问题，完成了一项事件驱动的 A 股投研平台及其决策创新点：</w:t>
      </w:r>
    </w:p>
    <w:p w14:paraId="7D5C2404">
      <w:pPr>
        <w:pStyle w:val="7"/>
        <w:spacing w:line="300" w:lineRule="auto"/>
        <w:ind w:firstLine="420"/>
      </w:pPr>
      <w:r>
        <w:t xml:space="preserve">1. </w:t>
      </w:r>
      <w:r>
        <w:rPr>
          <w:b/>
        </w:rPr>
        <w:t>平台层（软件工程主线）</w:t>
      </w:r>
      <w:r>
        <w:t>：构建了"前端多页应用 + Flask 工厂后端 + 逻辑层 + SQLite 数据层"的四层事件驱动投研平台，覆盖行情看板、事件追踪、板块详情、策略回测（含真实成本模型）、持仓管理与多源数据治理。逻辑层 56 个模块不依赖 UI 框架，配合共享有界线程池、五级降级链、统一 JSON 信封与 HS256 鉴权安全基线，验证了分层解耦、并发韧性与安全可测的工程可行性（第 3、4 章）。</w:t>
      </w:r>
    </w:p>
    <w:p w14:paraId="5C8722A5">
      <w:pPr>
        <w:pStyle w:val="7"/>
        <w:spacing w:line="300" w:lineRule="auto"/>
        <w:ind w:firstLine="420"/>
      </w:pPr>
      <w:r>
        <w:t xml:space="preserve">2. </w:t>
      </w:r>
      <w:r>
        <w:rPr>
          <w:b/>
        </w:rPr>
        <w:t>创新层——决策闭环</w:t>
      </w:r>
      <w:r>
        <w:t xml:space="preserve">：以 </w:t>
      </w:r>
      <w:r>
        <w:rPr>
          <w:rFonts w:ascii="Courier New" w:hAnsi="Courier New"/>
        </w:rPr>
        <w:t>derive_position</w:t>
      </w:r>
      <w:r>
        <w:t xml:space="preserve"> 为单一实现入口，将温度/方向/周期/晋级率/事件催化四维输入显式推导为 5%~95% 的仓位，并逐条输出 </w:t>
      </w:r>
      <w:r>
        <w:rPr>
          <w:rFonts w:ascii="Courier New" w:hAnsi="Courier New"/>
        </w:rPr>
        <w:t>reasons</w:t>
      </w:r>
      <w:r>
        <w:t xml:space="preserve"> 实现</w:t>
      </w:r>
      <w:r>
        <w:rPr>
          <w:b/>
        </w:rPr>
        <w:t>可解释</w:t>
      </w:r>
      <w:r>
        <w:t>，辅以极端行情与数据新鲜度守卫保证</w:t>
      </w:r>
      <w:r>
        <w:rPr>
          <w:b/>
        </w:rPr>
        <w:t>诚实</w:t>
      </w:r>
      <w:r>
        <w:t>，落盘归档保证</w:t>
      </w:r>
      <w:r>
        <w:rPr>
          <w:b/>
        </w:rPr>
        <w:t>可回溯</w:t>
      </w:r>
      <w:r>
        <w:t>（第 5.2 章）。</w:t>
      </w:r>
    </w:p>
    <w:p w14:paraId="64FD91DF">
      <w:pPr>
        <w:pStyle w:val="7"/>
        <w:spacing w:line="300" w:lineRule="auto"/>
        <w:ind w:firstLine="420"/>
      </w:pPr>
      <w:r>
        <w:t xml:space="preserve">3. </w:t>
      </w:r>
      <w:r>
        <w:rPr>
          <w:b/>
        </w:rPr>
        <w:t>创新层——刻度校准</w:t>
      </w:r>
      <w:r>
        <w:t xml:space="preserve">：以模块级 </w:t>
      </w:r>
      <w:r>
        <w:rPr>
          <w:rFonts w:ascii="Courier New" w:hAnsi="Courier New"/>
        </w:rPr>
        <w:t>CYCLE_ADJ</w:t>
      </w:r>
      <w:r>
        <w:t xml:space="preserve"> 为校准变量，用历史回测反推有界建议量，并以三条铁律（只建议不写文件 / 有界 ±5 / 小样本不表态）+ 带护栏的落地机制，实现</w:t>
      </w:r>
      <w:r>
        <w:rPr>
          <w:b/>
        </w:rPr>
        <w:t>可自纠偏而不靠小样本过拟合</w:t>
      </w:r>
      <w:r>
        <w:t>（第 5.3 章）。</w:t>
      </w:r>
    </w:p>
    <w:p w14:paraId="752771DB">
      <w:pPr>
        <w:pStyle w:val="7"/>
        <w:spacing w:line="300" w:lineRule="auto"/>
        <w:ind w:firstLine="420"/>
      </w:pPr>
      <w:r>
        <w:t xml:space="preserve">4. </w:t>
      </w:r>
      <w:r>
        <w:rPr>
          <w:b/>
        </w:rPr>
        <w:t>验证层——预测 vs 实际</w:t>
      </w:r>
      <w:r>
        <w:t>：</w:t>
      </w:r>
      <w:r>
        <w:rPr>
          <w:rFonts w:ascii="Courier New" w:hAnsi="Courier New"/>
        </w:rPr>
        <w:t>decision_track</w:t>
      </w:r>
      <w:r>
        <w:t xml:space="preserve"> 每日记录预测并次日对账，使闭环</w:t>
      </w:r>
      <w:r>
        <w:rPr>
          <w:b/>
        </w:rPr>
        <w:t>可验证</w:t>
      </w:r>
      <w:r>
        <w:t>（第 5.4 章）。</w:t>
      </w:r>
    </w:p>
    <w:p w14:paraId="40D6EB47">
      <w:pPr>
        <w:pStyle w:val="7"/>
        <w:spacing w:line="300" w:lineRule="auto"/>
        <w:ind w:firstLine="420"/>
      </w:pPr>
      <w:r>
        <w:t xml:space="preserve">5. </w:t>
      </w:r>
      <w:r>
        <w:rPr>
          <w:b/>
        </w:rPr>
        <w:t>评估</w:t>
      </w:r>
      <w:r>
        <w:t>：第 6 章以真实运行数据验证了上述设计的功能正确性与机制自洽性。</w:t>
      </w:r>
    </w:p>
    <w:p w14:paraId="767D776C">
      <w:pPr>
        <w:pStyle w:val="3"/>
      </w:pPr>
      <w:bookmarkStart w:id="62" w:name="_Toc19332"/>
      <w:r>
        <w:t>7.2 不足（诚实陈述，呼应校准设计）</w:t>
      </w:r>
      <w:bookmarkEnd w:id="62"/>
    </w:p>
    <w:p w14:paraId="6BEFC5BF">
      <w:pPr>
        <w:pStyle w:val="7"/>
        <w:spacing w:line="300" w:lineRule="auto"/>
        <w:ind w:firstLine="420"/>
      </w:pPr>
      <w:r>
        <w:t xml:space="preserve">- </w:t>
      </w:r>
      <w:r>
        <w:rPr>
          <w:b/>
        </w:rPr>
        <w:t>纵向样本仍偏少</w:t>
      </w:r>
      <w:r>
        <w:t>：评估时仅积累 4 份决策快照、1 条已评分预测，长期命中率尚待积累（已建每日自动累积任务，见附录 C）。</w:t>
      </w:r>
    </w:p>
    <w:p w14:paraId="21CB6AD0">
      <w:pPr>
        <w:pStyle w:val="7"/>
        <w:spacing w:line="300" w:lineRule="auto"/>
        <w:ind w:firstLine="420"/>
      </w:pPr>
      <w:r>
        <w:t xml:space="preserve">- </w:t>
      </w:r>
      <w:r>
        <w:rPr>
          <w:b/>
        </w:rPr>
        <w:t>校准采纳保守（有意设计）</w:t>
      </w:r>
      <w:r>
        <w:t>：T1 阶段仅出建议、需人工/阈值采纳，自动化程度有限——这是为防过拟合而</w:t>
      </w:r>
      <w:r>
        <w:rPr>
          <w:b/>
        </w:rPr>
        <w:t>有意保留的 conservative 设计</w:t>
      </w:r>
      <w:r>
        <w:t>，非缺陷。</w:t>
      </w:r>
    </w:p>
    <w:p w14:paraId="3E9476CD">
      <w:pPr>
        <w:pStyle w:val="7"/>
        <w:spacing w:line="300" w:lineRule="auto"/>
        <w:ind w:firstLine="420"/>
      </w:pPr>
      <w:r>
        <w:t xml:space="preserve">- </w:t>
      </w:r>
      <w:r>
        <w:rPr>
          <w:b/>
        </w:rPr>
        <w:t>事件因子未大规模寻优</w:t>
      </w:r>
      <w:r>
        <w:t>：事件权重保持可解释优先，未做黑箱加权，故事件侧贡献的解释力有待扩展。</w:t>
      </w:r>
    </w:p>
    <w:p w14:paraId="77F0D45E">
      <w:pPr>
        <w:pStyle w:val="3"/>
      </w:pPr>
      <w:bookmarkStart w:id="63" w:name="_Toc25303"/>
      <w:r>
        <w:t>7.3 未来工作</w:t>
      </w:r>
      <w:bookmarkEnd w:id="63"/>
    </w:p>
    <w:p w14:paraId="5CE913A4">
      <w:pPr>
        <w:pStyle w:val="7"/>
        <w:spacing w:line="300" w:lineRule="auto"/>
        <w:ind w:firstLine="420"/>
      </w:pPr>
      <w:r>
        <w:t xml:space="preserve">- </w:t>
      </w:r>
      <w:r>
        <w:rPr>
          <w:b/>
        </w:rPr>
        <w:t>长期回测窗口</w:t>
      </w:r>
      <w:r>
        <w:t xml:space="preserve">：待样本积累后放开校准采纳阈值，使 </w:t>
      </w:r>
      <w:r>
        <w:rPr>
          <w:rFonts w:ascii="Courier New" w:hAnsi="Courier New"/>
        </w:rPr>
        <w:t>CYCLE_ADJ</w:t>
      </w:r>
      <w:r>
        <w:t xml:space="preserve"> 自动落地具备统计意义。</w:t>
      </w:r>
    </w:p>
    <w:p w14:paraId="67485FD5">
      <w:pPr>
        <w:pStyle w:val="7"/>
        <w:spacing w:line="300" w:lineRule="auto"/>
        <w:ind w:firstLine="420"/>
      </w:pPr>
      <w:r>
        <w:t xml:space="preserve">- </w:t>
      </w:r>
      <w:r>
        <w:rPr>
          <w:b/>
        </w:rPr>
        <w:t>可解释加权的事件因子</w:t>
      </w:r>
      <w:r>
        <w:t>：在保持规则可追溯前提下，引入 SHAP 式的因子贡献度分解，但不破坏"规则可读"主线。</w:t>
      </w:r>
    </w:p>
    <w:p w14:paraId="1A2F3EF7">
      <w:pPr>
        <w:pStyle w:val="7"/>
        <w:spacing w:line="300" w:lineRule="auto"/>
        <w:ind w:firstLine="420"/>
      </w:pPr>
      <w:r>
        <w:t xml:space="preserve">- </w:t>
      </w:r>
      <w:r>
        <w:rPr>
          <w:b/>
        </w:rPr>
        <w:t>多市场适配</w:t>
      </w:r>
      <w:r>
        <w:t>：将决策闭环扩展到 ETF / 商品期货（如本开发者已实践的纸浆、玻璃等品种），验证跨资产泛化。</w:t>
      </w:r>
    </w:p>
    <w:p w14:paraId="547C0892">
      <w:pPr>
        <w:pStyle w:val="7"/>
        <w:spacing w:line="300" w:lineRule="auto"/>
        <w:ind w:firstLine="420"/>
      </w:pPr>
      <w:r>
        <w:t xml:space="preserve">- </w:t>
      </w:r>
      <w:r>
        <w:rPr>
          <w:b/>
        </w:rPr>
        <w:t>交互式复盘</w:t>
      </w:r>
      <w:r>
        <w:t xml:space="preserve">：在平台内嵌入"历史决策回放"，让用户逐日查看 </w:t>
      </w:r>
      <w:r>
        <w:rPr>
          <w:rFonts w:ascii="Courier New" w:hAnsi="Courier New"/>
        </w:rPr>
        <w:t>reasons</w:t>
      </w:r>
      <w:r>
        <w:t xml:space="preserve"> 与实际走势的对照，强化可信度。</w:t>
      </w:r>
    </w:p>
    <w:p w14:paraId="23F49075">
      <w:pPr>
        <w:pStyle w:val="7"/>
        <w:spacing w:line="300" w:lineRule="auto"/>
        <w:ind w:firstLine="420"/>
      </w:pPr>
      <w:r>
        <w:t xml:space="preserve">- </w:t>
      </w:r>
      <w:r>
        <w:rPr>
          <w:b/>
        </w:rPr>
        <w:t>工程质量持续化</w:t>
      </w:r>
      <w:r>
        <w:t>：在现有 2117 个单元测试与 CI 安全基线之上提升覆盖率门禁阈值，将 AST 守卫扩展到更多"能跑但语义错"的静默 bug 模式，并补充多环境部署与可观测监控，使平台从"能跑"走向"可长期运维"。</w:t>
      </w:r>
    </w:p>
    <w:p w14:paraId="4326EB22">
      <w:pPr>
        <w:spacing w:before="312" w:beforeLines="100" w:after="312" w:afterLines="100" w:line="300" w:lineRule="auto"/>
        <w:jc w:val="center"/>
        <w:rPr>
          <w:rFonts w:ascii="黑体" w:hAnsi="黑体" w:eastAsia="黑体"/>
        </w:rPr>
      </w:pPr>
      <w:r>
        <w:rPr>
          <w:color w:val="0000FF"/>
          <w:sz w:val="24"/>
        </w:rPr>
        <w:br w:type="page"/>
      </w:r>
      <w:bookmarkStart w:id="64" w:name="_Toc32107"/>
      <w:bookmarkStart w:id="65" w:name="_Toc15814"/>
      <w:commentRangeStart w:id="3"/>
      <w:r>
        <w:rPr>
          <w:rStyle w:val="24"/>
          <w:rFonts w:hint="eastAsia" w:ascii="黑体" w:hAnsi="黑体"/>
        </w:rPr>
        <w:t>致</w:t>
      </w:r>
      <w:r>
        <w:rPr>
          <w:rStyle w:val="24"/>
          <w:rFonts w:ascii="黑体" w:hAnsi="黑体"/>
        </w:rPr>
        <w:t xml:space="preserve">  </w:t>
      </w:r>
      <w:r>
        <w:rPr>
          <w:rStyle w:val="24"/>
          <w:rFonts w:hint="eastAsia" w:ascii="黑体" w:hAnsi="黑体"/>
        </w:rPr>
        <w:t>谢</w:t>
      </w:r>
      <w:bookmarkEnd w:id="64"/>
      <w:commentRangeEnd w:id="3"/>
      <w:r>
        <w:rPr>
          <w:rStyle w:val="24"/>
          <w:rFonts w:ascii="黑体" w:hAnsi="黑体"/>
        </w:rPr>
        <w:commentReference w:id="3"/>
      </w:r>
      <w:bookmarkEnd w:id="65"/>
    </w:p>
    <w:p w14:paraId="0CC95BB4">
      <w:pPr>
        <w:pStyle w:val="7"/>
        <w:spacing w:after="0" w:line="300" w:lineRule="auto"/>
        <w:rPr>
          <w:sz w:val="24"/>
        </w:rPr>
      </w:pPr>
      <w:r>
        <w:t>本论文是在刘云翔老师与陈丽琼老师的悉心指导下完成的。从选题、系统设计到实验评估与论文撰写，两位老师严谨的治学态度与工程方法论使我受益匪浅，在此致以诚挚的谢意。感谢上海应用技术大学智能技术学部各位授课老师四年来的培养；感谢同窗好友在系统测试与论文修改过程中提供的宝贵意见；感谢开源社区（akshare、BaoStock、Streamlit 等）的贡献者，本平台的四级数据源降级链正是站在这些巨人的肩膀上构建。最后感谢家人一直以来的理解与支持。</w:t>
      </w:r>
    </w:p>
    <w:p w14:paraId="1E3C4B0C">
      <w:pPr>
        <w:pStyle w:val="7"/>
        <w:spacing w:line="300" w:lineRule="auto"/>
        <w:rPr>
          <w:rFonts w:eastAsia="黑体"/>
          <w:b/>
          <w:bCs/>
          <w:color w:val="0000FF"/>
        </w:rPr>
      </w:pPr>
    </w:p>
    <w:p w14:paraId="62C0682C">
      <w:pPr>
        <w:pStyle w:val="2"/>
        <w:spacing w:before="312" w:beforeLines="100" w:after="312" w:afterLines="100" w:line="300" w:lineRule="auto"/>
        <w:jc w:val="center"/>
        <w:rPr>
          <w:rFonts w:ascii="黑体" w:hAnsi="黑体"/>
        </w:rPr>
      </w:pPr>
      <w:bookmarkStart w:id="66" w:name="_Toc5808"/>
      <w:r>
        <w:rPr>
          <w:b/>
          <w:bCs/>
          <w:color w:val="0000FF"/>
        </w:rPr>
        <w:pict>
          <v:shape id="_x0000_s1042" o:spid="_x0000_s1042" o:spt="61" type="#_x0000_t61" style="position:absolute;left:0pt;margin-left:204.6pt;margin-top:48.15pt;height:43.85pt;width:235.35pt;z-index:251660288;mso-width-relative:page;mso-height-relative:page;" fillcolor="#FFFFFF" filled="t" stroked="t" coordsize="21600,21600" adj="8274,-45982">
            <v:path/>
            <v:fill on="t" focussize="0,0"/>
            <v:stroke/>
            <v:imagedata o:title=""/>
            <o:lock v:ext="edit" aspectratio="f"/>
            <v:textbox>
              <w:txbxContent>
                <w:p w14:paraId="776685D0">
                  <w:pPr>
                    <w:rPr>
                      <w:rFonts w:hint="eastAsia" w:ascii="宋体" w:hAnsi="宋体" w:cs="宋体"/>
                      <w:color w:val="0000FF"/>
                      <w:sz w:val="24"/>
                      <w:szCs w:val="24"/>
                    </w:rPr>
                  </w:pPr>
                  <w:r>
                    <w:rPr>
                      <w:rFonts w:hint="eastAsia" w:ascii="宋体" w:hAnsi="宋体" w:cs="宋体"/>
                      <w:color w:val="0000FF"/>
                      <w:sz w:val="24"/>
                      <w:szCs w:val="24"/>
                    </w:rPr>
                    <w:t>正文用宋体（非汉字用Times new Roman）小四号，行距1.25倍，标准字距。</w:t>
                  </w:r>
                </w:p>
                <w:p w14:paraId="40A391B4"/>
              </w:txbxContent>
            </v:textbox>
          </v:shape>
        </w:pict>
      </w:r>
      <w:r>
        <w:rPr>
          <w:b/>
          <w:bCs/>
          <w:color w:val="0000FF"/>
        </w:rPr>
        <w:br w:type="page"/>
      </w:r>
      <w:bookmarkStart w:id="67" w:name="_Toc25038"/>
      <w:commentRangeStart w:id="4"/>
      <w:r>
        <w:rPr>
          <w:rFonts w:ascii="黑体" w:hAnsi="黑体"/>
        </w:rPr>
        <w:t>参考文献</w:t>
      </w:r>
      <w:bookmarkEnd w:id="67"/>
      <w:commentRangeEnd w:id="4"/>
      <w:r>
        <w:rPr>
          <w:rFonts w:ascii="黑体" w:hAnsi="黑体"/>
        </w:rPr>
        <w:commentReference w:id="4"/>
      </w:r>
      <w:bookmarkEnd w:id="66"/>
    </w:p>
    <w:p w14:paraId="48477B7E">
      <w:r>
        <w:t>[1] MacKinlay A C. Event Studies in Economics and Finance[J]. Journal of Economic Literature, 1997, 35(1): 13-39.</w:t>
      </w:r>
    </w:p>
    <w:p w14:paraId="54A6E246">
      <w:r>
        <w:t>[2] Brown S J, Warner J B. Using Daily Stock Returns: The Case of Event Studies[J]. Journal of Financial Economics, 1985, 14(1): 3-31.</w:t>
      </w:r>
    </w:p>
    <w:p w14:paraId="145CB5C6">
      <w:r>
        <w:t>[3] 赵宇龙. 会计盈余披露的信息含量——来自上海股市的经验证据[J]. 经济研究, 1998(7): 41-49.</w:t>
      </w:r>
    </w:p>
    <w:p w14:paraId="42F510C3">
      <w:r>
        <w:t>[4] Kelly J L. A New Interpretation of Information Rate[J]. Bell System Technical Journal, 1956, 35(4): 917-926.</w:t>
      </w:r>
    </w:p>
    <w:p w14:paraId="25A9F54F">
      <w:r>
        <w:t>[5] Markowitz H. Portfolio Selection[J]. Journal of Finance, 1952, 7(1): 77-91.</w:t>
      </w:r>
    </w:p>
    <w:p w14:paraId="27DE7B79">
      <w:r>
        <w:t>[6] Black F, Jones R. Simplifying Portfolio Insurance[J]. Journal of Portfolio Management, 1987, 14(1): 48-54.</w:t>
      </w:r>
    </w:p>
    <w:p w14:paraId="34586A1F">
      <w:r>
        <w:t>[7] Choueifaty Y, Coignard Y. Towards Maximum Diversification[J]. Journal of Portfolio Management, 2008, 34(4): 40-51.</w:t>
      </w:r>
    </w:p>
    <w:p w14:paraId="309ECD29">
      <w:r>
        <w:t>[8] Ribeiro M T, Singh S, Guestrin C. "Why Should I Trust You?": Explaining the Predictions of Any Classifier[C]//Proceedings of the 22nd ACM SIGKDD International Conference on Knowledge Discovery and Data Mining (KDD), 2016: 1135-1144.</w:t>
      </w:r>
    </w:p>
    <w:p w14:paraId="25F9FD85">
      <w:r>
        <w:t>[9] Lundberg S M, Lee S-I. A Unified Approach to Interpreting Model Predictions[C]//Advances in Neural Information Processing Systems (NeurIPS) 30, 2017: 4765-4774.</w:t>
      </w:r>
    </w:p>
    <w:p w14:paraId="0E669CEF">
      <w:r>
        <w:t>[10] Niculescu-Mizil A, Caruana R. Predicting Good Probabilities With Supervised Learning[C]//Proceedings of the 22nd International Conference on Machine Learning (ICML), 2005: 625-632.</w:t>
      </w:r>
    </w:p>
    <w:p w14:paraId="4C255DC6">
      <w:r>
        <w:t>[11] Guo C, Pleiss G, Sun Y, Weinberger K Q. On Calibration of Modern Neural Networks[C]//Proceedings of the 34th International Conference on Machine Learning (ICML), 2017: 1321-1330.</w:t>
      </w:r>
    </w:p>
    <w:p w14:paraId="0131C743">
      <w:r>
        <w:t>[12] Perold A F. The Implementation Shortfall: Paper Versus Reality[J]. Journal of Portfolio Management, 1988, 14(3): 4-9.</w:t>
      </w:r>
    </w:p>
    <w:p w14:paraId="4EB7D9C0">
      <w:r>
        <w:t>[13] Backtrader[EB/OL]. https://www.backtrader.com, 访问于 2026-09.</w:t>
      </w:r>
    </w:p>
    <w:p w14:paraId="511F2198">
      <w:r>
        <w:t>[14] 聚宽 JoinQuant[EB/OL]. https://www.joinquant.com, 访问于 2026-09.</w:t>
      </w:r>
    </w:p>
    <w:p w14:paraId="2844DC22">
      <w:r>
        <w:t>[15] 米筐 RiceQuant[EB/OL]. https://www.ricequant.com, 访问于 2026-09.</w:t>
      </w:r>
    </w:p>
    <w:p w14:paraId="3811C4C9">
      <w:pPr>
        <w:spacing w:line="560" w:lineRule="exact"/>
        <w:rPr>
          <w:sz w:val="24"/>
        </w:rPr>
      </w:pPr>
    </w:p>
    <w:p w14:paraId="0E133957">
      <w:pPr>
        <w:spacing w:line="560" w:lineRule="exact"/>
        <w:rPr>
          <w:sz w:val="24"/>
        </w:rPr>
      </w:pPr>
      <w:r>
        <w:rPr>
          <w:rFonts w:eastAsia="黑体"/>
          <w:b/>
          <w:bCs/>
          <w:color w:val="0000FF"/>
        </w:rPr>
        <w:pict>
          <v:shape id="_x0000_s1043" o:spid="_x0000_s1043" o:spt="61" type="#_x0000_t61" style="position:absolute;left:0pt;margin-left:178.5pt;margin-top:7.8pt;height:49.1pt;width:241.95pt;z-index:251661312;mso-width-relative:page;mso-height-relative:page;" fillcolor="#FFFFFF" filled="t" stroked="t" coordsize="21600,21600" adj="9481,-34247">
            <v:path/>
            <v:fill on="t" focussize="0,0"/>
            <v:stroke/>
            <v:imagedata o:title=""/>
            <o:lock v:ext="edit" aspectratio="f"/>
            <v:textbox>
              <w:txbxContent>
                <w:p w14:paraId="13C71FD1">
                  <w:pPr>
                    <w:rPr>
                      <w:rFonts w:hint="eastAsia" w:ascii="宋体" w:hAnsi="宋体" w:cs="宋体"/>
                      <w:color w:val="0000FF"/>
                      <w:sz w:val="24"/>
                      <w:szCs w:val="24"/>
                    </w:rPr>
                  </w:pPr>
                  <w:r>
                    <w:rPr>
                      <w:rFonts w:hint="eastAsia" w:ascii="宋体" w:hAnsi="宋体" w:cs="宋体"/>
                      <w:color w:val="0000FF"/>
                      <w:sz w:val="24"/>
                      <w:szCs w:val="24"/>
                    </w:rPr>
                    <w:t>参考文献内容用宋体（非汉字用Times new Roman）小四号，行距1.25倍，标准字距。</w:t>
                  </w:r>
                </w:p>
                <w:p w14:paraId="584E26AC"/>
              </w:txbxContent>
            </v:textbox>
          </v:shape>
        </w:pict>
      </w:r>
    </w:p>
    <w:p w14:paraId="35FFABEB">
      <w:pPr>
        <w:spacing w:line="560" w:lineRule="exact"/>
        <w:rPr>
          <w:sz w:val="24"/>
        </w:rPr>
      </w:pPr>
    </w:p>
    <w:p w14:paraId="64D21125">
      <w:pPr>
        <w:spacing w:line="300" w:lineRule="auto"/>
        <w:rPr>
          <w:color w:val="0000FF"/>
          <w:szCs w:val="21"/>
        </w:rPr>
      </w:pPr>
      <w:r>
        <w:rPr>
          <w:color w:val="0000FF"/>
          <w:szCs w:val="21"/>
        </w:rPr>
        <w:t>注：</w:t>
      </w:r>
    </w:p>
    <w:p w14:paraId="7691DA3B">
      <w:pPr>
        <w:spacing w:line="300" w:lineRule="auto"/>
        <w:rPr>
          <w:color w:val="0000FF"/>
          <w:szCs w:val="21"/>
        </w:rPr>
      </w:pPr>
      <w:bookmarkStart w:id="68" w:name="_Toc11693"/>
      <w:r>
        <w:rPr>
          <w:color w:val="0000FF"/>
          <w:szCs w:val="21"/>
        </w:rPr>
        <w:t>1.参考文献数量不少于10篇，外文文献在2篇以上。</w:t>
      </w:r>
      <w:bookmarkEnd w:id="68"/>
    </w:p>
    <w:p w14:paraId="572B95E2">
      <w:pPr>
        <w:spacing w:line="300" w:lineRule="auto"/>
        <w:rPr>
          <w:color w:val="0000FF"/>
          <w:szCs w:val="21"/>
        </w:rPr>
      </w:pPr>
      <w:r>
        <w:rPr>
          <w:color w:val="0000FF"/>
          <w:szCs w:val="21"/>
        </w:rPr>
        <w:t>2.书写格式要按国家标准GB7714-2005规定，参考文献按在正文中出现先后，统一用阿拉伯数字进行编号，序码用方括号括起。</w:t>
      </w:r>
    </w:p>
    <w:p w14:paraId="66DF2448">
      <w:pPr>
        <w:pStyle w:val="18"/>
        <w:spacing w:before="0" w:beforeAutospacing="0" w:after="0" w:afterAutospacing="0" w:line="300" w:lineRule="auto"/>
        <w:jc w:val="both"/>
        <w:rPr>
          <w:rFonts w:ascii="Times New Roman" w:hAnsi="Times New Roman"/>
          <w:color w:val="0000FF"/>
          <w:kern w:val="2"/>
          <w:sz w:val="21"/>
          <w:szCs w:val="21"/>
        </w:rPr>
      </w:pPr>
      <w:bookmarkStart w:id="69" w:name="_Toc16429"/>
      <w:r>
        <w:rPr>
          <w:rFonts w:ascii="Times New Roman" w:hAnsi="Times New Roman"/>
          <w:color w:val="0000FF"/>
          <w:kern w:val="2"/>
          <w:sz w:val="21"/>
          <w:szCs w:val="21"/>
        </w:rPr>
        <w:t>3.各类参考文献的著录格式为：</w:t>
      </w:r>
      <w:bookmarkEnd w:id="69"/>
    </w:p>
    <w:p w14:paraId="4C1B3182">
      <w:pPr>
        <w:spacing w:line="300" w:lineRule="auto"/>
        <w:rPr>
          <w:color w:val="0000FF"/>
          <w:szCs w:val="21"/>
        </w:rPr>
      </w:pPr>
      <w:r>
        <w:rPr>
          <w:color w:val="0000FF"/>
          <w:szCs w:val="21"/>
        </w:rPr>
        <w:t>A、期刊：[序号] 作者（多名作者用逗号分隔）．文章题目．刊名（外文期刊可缩写）．出版年份，卷号（期号）：起始页码-终止页码．</w:t>
      </w:r>
    </w:p>
    <w:p w14:paraId="08916D28">
      <w:pPr>
        <w:spacing w:line="300" w:lineRule="auto"/>
        <w:rPr>
          <w:color w:val="0000FF"/>
          <w:szCs w:val="21"/>
        </w:rPr>
      </w:pPr>
      <w:r>
        <w:rPr>
          <w:color w:val="0000FF"/>
          <w:szCs w:val="21"/>
        </w:rPr>
        <w:t>B、图书：[序号] 作者（多名作者用逗号分隔）．书名．版次（初版不写），出版地：出版单位，出版年份：起始页码-终止页码．</w:t>
      </w:r>
    </w:p>
    <w:p w14:paraId="3E9D6564">
      <w:pPr>
        <w:spacing w:line="300" w:lineRule="auto"/>
        <w:rPr>
          <w:color w:val="0000FF"/>
          <w:szCs w:val="21"/>
        </w:rPr>
      </w:pPr>
      <w:r>
        <w:rPr>
          <w:color w:val="0000FF"/>
          <w:szCs w:val="21"/>
        </w:rPr>
        <w:t>C、专利：[序号] 专利申请者（多名作者用逗号分隔）．题目名称（或专利名称）：国别，专利文献种类，专利号．公告日期或公开日期．</w:t>
      </w:r>
    </w:p>
    <w:p w14:paraId="0915154D">
      <w:pPr>
        <w:spacing w:line="300" w:lineRule="auto"/>
        <w:rPr>
          <w:color w:val="0000FF"/>
          <w:szCs w:val="21"/>
        </w:rPr>
      </w:pPr>
      <w:r>
        <w:rPr>
          <w:color w:val="0000FF"/>
          <w:szCs w:val="21"/>
        </w:rPr>
        <w:t>D、报纸：[序号] 作者（多名作者用逗号分隔）．题目名称．报名．出版地：出版日期（版次）．</w:t>
      </w:r>
    </w:p>
    <w:p w14:paraId="2CBD40C8">
      <w:pPr>
        <w:spacing w:line="300" w:lineRule="auto"/>
        <w:rPr>
          <w:color w:val="0000FF"/>
          <w:szCs w:val="21"/>
        </w:rPr>
      </w:pPr>
      <w:r>
        <w:rPr>
          <w:color w:val="0000FF"/>
          <w:szCs w:val="21"/>
        </w:rPr>
        <w:t>E、学位论文：[序号] 作者.题目名称：[博士（硕士/学士）学位论文]．保存地：保存单位，授予年份．</w:t>
      </w:r>
      <w:r>
        <w:rPr>
          <w:color w:val="0000FF"/>
          <w:szCs w:val="21"/>
        </w:rPr>
        <w:br w:type="textWrapping"/>
      </w:r>
      <w:r>
        <w:rPr>
          <w:color w:val="0000FF"/>
          <w:szCs w:val="21"/>
        </w:rPr>
        <w:t>　　报纸和专利文献需详细著录出版日期，其形式为“YYYY-MM-DD”。</w:t>
      </w:r>
    </w:p>
    <w:p w14:paraId="0BAB33F9">
      <w:pPr>
        <w:pStyle w:val="2"/>
        <w:spacing w:before="312" w:beforeLines="100" w:after="312" w:afterLines="100" w:line="300" w:lineRule="auto"/>
        <w:jc w:val="center"/>
        <w:rPr>
          <w:rFonts w:ascii="黑体" w:hAnsi="黑体"/>
        </w:rPr>
      </w:pPr>
      <w:r>
        <w:rPr>
          <w:rFonts w:eastAsia="仿宋"/>
          <w:sz w:val="28"/>
          <w:szCs w:val="28"/>
        </w:rPr>
        <w:br w:type="page"/>
      </w:r>
      <w:bookmarkStart w:id="70" w:name="_Toc17096"/>
      <w:bookmarkStart w:id="71" w:name="_Toc10624"/>
      <w:commentRangeStart w:id="5"/>
      <w:r>
        <w:rPr>
          <w:rFonts w:hint="eastAsia" w:ascii="黑体" w:hAnsi="黑体"/>
        </w:rPr>
        <w:t>附  录</w:t>
      </w:r>
      <w:commentRangeEnd w:id="5"/>
      <w:r>
        <w:rPr>
          <w:rFonts w:ascii="黑体" w:hAnsi="黑体"/>
        </w:rPr>
        <w:commentReference w:id="5"/>
      </w:r>
      <w:bookmarkEnd w:id="70"/>
      <w:bookmarkEnd w:id="71"/>
    </w:p>
    <w:p w14:paraId="17EB9EC6">
      <w:pPr>
        <w:spacing w:line="480" w:lineRule="exact"/>
        <w:jc w:val="center"/>
      </w:pPr>
      <w:r>
        <w:rPr>
          <w:rFonts w:eastAsia="黑体"/>
          <w:b/>
          <w:bCs/>
          <w:color w:val="0000FF"/>
        </w:rPr>
        <w:pict>
          <v:shape id="_x0000_s1045" o:spid="_x0000_s1045" o:spt="61" type="#_x0000_t61" style="position:absolute;left:0pt;margin-left:128.4pt;margin-top:97pt;height:101.1pt;width:297.7pt;z-index:251662336;mso-width-relative:page;mso-height-relative:page;" fillcolor="#FFFFFF" filled="t" stroked="t" coordsize="21600,21600" adj="5137,-20702">
            <v:path/>
            <v:fill on="t" focussize="0,0"/>
            <v:stroke/>
            <v:imagedata o:title=""/>
            <o:lock v:ext="edit" aspectratio="f"/>
            <v:textbox>
              <w:txbxContent>
                <w:p w14:paraId="234C7020">
                  <w:pPr>
                    <w:spacing w:line="360" w:lineRule="exact"/>
                    <w:rPr>
                      <w:rFonts w:hint="eastAsia" w:ascii="宋体" w:hAnsi="宋体"/>
                      <w:color w:val="0000FF"/>
                      <w:sz w:val="24"/>
                    </w:rPr>
                  </w:pPr>
                  <w:r>
                    <w:rPr>
                      <w:rFonts w:hint="eastAsia" w:ascii="宋体" w:hAnsi="宋体"/>
                      <w:color w:val="0000FF"/>
                      <w:sz w:val="24"/>
                    </w:rPr>
                    <w:t>附录是对于一些不宜放在正文中，但有参考价值的内容，可编入毕业设计（论文）的附录中，例如公式的推演、编写的程序等；如果文章中引用的符号较多时，便于读者查阅，可以编写一个符号说明，注明符号代表的意义。一般附录的篇幅不宜过大。</w:t>
                  </w:r>
                </w:p>
              </w:txbxContent>
            </v:textbox>
          </v:shape>
        </w:pict>
      </w:r>
    </w:p>
    <w:sectPr>
      <w:headerReference r:id="rId11" w:type="default"/>
      <w:footerReference r:id="rId13" w:type="default"/>
      <w:headerReference r:id="rId12" w:type="even"/>
      <w:footerReference r:id="rId14" w:type="even"/>
      <w:pgSz w:w="11906" w:h="16838"/>
      <w:pgMar w:top="1588" w:right="1247" w:bottom="1361" w:left="1418" w:header="851" w:footer="1418" w:gutter="0"/>
      <w:pgNumType w:fmt="decimal" w:start="1"/>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ing" w:date="2024-02-28T10:21:00Z" w:initials="">
    <w:p w14:paraId="64CCE70F">
      <w:r>
        <w:rPr>
          <w:rFonts w:hint="eastAsia" w:eastAsia="楷体_GB2312"/>
          <w:sz w:val="18"/>
        </w:rPr>
        <w:t>题目位于一页首行，用黑体小二号，加粗，居中，段前距一行，段后距一行。</w:t>
      </w:r>
    </w:p>
    <w:p w14:paraId="71E0185D">
      <w:pPr>
        <w:tabs>
          <w:tab w:val="left" w:pos="1980"/>
        </w:tabs>
        <w:rPr>
          <w:rFonts w:hint="eastAsia" w:eastAsia="楷体_GB2312"/>
          <w:sz w:val="18"/>
        </w:rPr>
      </w:pPr>
    </w:p>
    <w:p w14:paraId="5B26776E">
      <w:pPr>
        <w:pStyle w:val="5"/>
      </w:pPr>
    </w:p>
  </w:comment>
  <w:comment w:id="1" w:author="Ring" w:date="2024-02-28T10:30:00Z" w:initials="">
    <w:p w14:paraId="33DFEFB5">
      <w:pPr>
        <w:rPr>
          <w:rFonts w:ascii="楷体" w:hAnsi="楷体" w:eastAsia="楷体"/>
          <w:sz w:val="18"/>
        </w:rPr>
      </w:pPr>
      <w:r>
        <w:rPr>
          <w:rFonts w:hint="eastAsia" w:ascii="楷体" w:hAnsi="楷体" w:eastAsia="楷体"/>
          <w:sz w:val="18"/>
        </w:rPr>
        <w:t>中文题目翻成外文用Times New Roman小二号加粗，段后距一行</w:t>
      </w:r>
    </w:p>
    <w:p w14:paraId="652A16A8">
      <w:pPr>
        <w:pStyle w:val="5"/>
      </w:pPr>
    </w:p>
  </w:comment>
  <w:comment w:id="2" w:author="Ring" w:date="2024-02-28T10:44:00Z" w:initials="">
    <w:p w14:paraId="6AD6CFFE">
      <w:pPr>
        <w:rPr>
          <w:sz w:val="18"/>
        </w:rPr>
      </w:pPr>
      <w:r>
        <w:rPr>
          <w:rFonts w:hint="eastAsia" w:eastAsia="楷体_GB2312"/>
          <w:sz w:val="18"/>
        </w:rPr>
        <w:t>目录位于一页首行，用黑体小二号，居中，段前距一行，段后距一行。</w:t>
      </w:r>
    </w:p>
    <w:p w14:paraId="6F65419D">
      <w:pPr>
        <w:pStyle w:val="5"/>
      </w:pPr>
    </w:p>
  </w:comment>
  <w:comment w:id="3" w:author="Ring" w:date="2024-03-07T09:31:00Z" w:initials="">
    <w:p w14:paraId="6B36E878">
      <w:pPr>
        <w:rPr>
          <w:rFonts w:hint="eastAsia" w:ascii="楷体" w:hAnsi="楷体" w:eastAsia="楷体" w:cs="楷体"/>
          <w:sz w:val="18"/>
          <w:szCs w:val="18"/>
        </w:rPr>
      </w:pPr>
      <w:r>
        <w:rPr>
          <w:rFonts w:hint="eastAsia" w:ascii="楷体" w:hAnsi="楷体" w:eastAsia="楷体" w:cs="楷体"/>
          <w:sz w:val="18"/>
          <w:szCs w:val="18"/>
        </w:rPr>
        <w:t>致谢为另起一页首行居中，与正文连续编页码，</w:t>
      </w:r>
      <w:r>
        <w:rPr>
          <w:rFonts w:hint="eastAsia" w:ascii="楷体" w:hAnsi="楷体" w:eastAsia="楷体" w:cs="楷体"/>
          <w:color w:val="000000"/>
          <w:sz w:val="18"/>
          <w:szCs w:val="18"/>
        </w:rPr>
        <w:t>两字之间空2个英文字符，</w:t>
      </w:r>
      <w:r>
        <w:rPr>
          <w:rFonts w:hint="eastAsia" w:ascii="楷体" w:hAnsi="楷体" w:eastAsia="楷体" w:cs="楷体"/>
          <w:sz w:val="18"/>
          <w:szCs w:val="18"/>
        </w:rPr>
        <w:t>用黑体小二号，段前距一行，段后距一行。</w:t>
      </w:r>
    </w:p>
  </w:comment>
  <w:comment w:id="4" w:author="Ring" w:date="2024-03-07T09:41:00Z" w:initials="">
    <w:p w14:paraId="692B87B1">
      <w:r>
        <w:rPr>
          <w:rFonts w:hint="eastAsia" w:ascii="楷体" w:hAnsi="楷体" w:eastAsia="楷体"/>
          <w:sz w:val="18"/>
        </w:rPr>
        <w:t>参考文献为另起一页首行居中，与正文连续编页码，用黑体小二号，段前距一行，段后距一行。</w:t>
      </w:r>
    </w:p>
  </w:comment>
  <w:comment w:id="5" w:author="Ring" w:date="2024-03-07T09:51:00Z" w:initials="">
    <w:p w14:paraId="755A236B">
      <w:r>
        <w:rPr>
          <w:rFonts w:hint="eastAsia" w:ascii="楷体" w:hAnsi="楷体" w:eastAsia="楷体" w:cs="楷体"/>
          <w:sz w:val="18"/>
          <w:szCs w:val="18"/>
        </w:rPr>
        <w:t>附录为另起一页首行居中，与正文连续编页码，</w:t>
      </w:r>
      <w:r>
        <w:rPr>
          <w:rFonts w:hint="eastAsia" w:ascii="楷体" w:hAnsi="楷体" w:eastAsia="楷体" w:cs="楷体"/>
          <w:color w:val="000000"/>
          <w:sz w:val="18"/>
          <w:szCs w:val="18"/>
        </w:rPr>
        <w:t>两字之间空2个英文字符，</w:t>
      </w:r>
      <w:r>
        <w:rPr>
          <w:rFonts w:hint="eastAsia" w:ascii="楷体" w:hAnsi="楷体" w:eastAsia="楷体" w:cs="楷体"/>
          <w:sz w:val="18"/>
          <w:szCs w:val="18"/>
        </w:rPr>
        <w:t>用黑体小二号，段前距一行，段后距一行。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26776E" w15:done="0"/>
  <w15:commentEx w15:paraId="652A16A8" w15:done="0"/>
  <w15:commentEx w15:paraId="6F65419D" w15:done="0"/>
  <w15:commentEx w15:paraId="6B36E878" w15:done="0"/>
  <w15:commentEx w15:paraId="692B87B1" w15:done="0"/>
  <w15:commentEx w15:paraId="755A236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CBF1D">
    <w:pPr>
      <w:pStyle w:val="13"/>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18B54">
    <w:pPr>
      <w:pStyle w:val="13"/>
      <w:rPr>
        <w:rFonts w:hint="eastAsia" w:eastAsia="宋体"/>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45B21">
    <w:pPr>
      <w:pStyle w:val="13"/>
      <w:jc w:val="right"/>
      <w:rPr>
        <w:rFonts w:hint="eastAsia" w:eastAsia="宋体"/>
        <w:sz w:val="28"/>
        <w:szCs w:val="28"/>
        <w:lang w:eastAsia="zh-CN"/>
      </w:rPr>
    </w:pPr>
    <w:r>
      <w:rPr>
        <w:rFonts w:hint="eastAsia" w:eastAsia="宋体"/>
        <w:sz w:val="28"/>
        <w:szCs w:val="28"/>
        <w:lang w:eastAsia="zh-CN"/>
      </w:rPr>
      <w:fldChar w:fldCharType="begin"/>
    </w:r>
    <w:r>
      <w:rPr>
        <w:rFonts w:hint="eastAsia" w:eastAsia="宋体"/>
        <w:sz w:val="28"/>
        <w:szCs w:val="28"/>
        <w:lang w:eastAsia="zh-CN"/>
      </w:rPr>
      <w:instrText xml:space="preserve"> PAGE </w:instrText>
    </w:r>
    <w:r>
      <w:rPr>
        <w:rFonts w:hint="eastAsia" w:eastAsia="宋体"/>
        <w:sz w:val="28"/>
        <w:szCs w:val="28"/>
        <w:lang w:eastAsia="zh-CN"/>
      </w:rPr>
      <w:fldChar w:fldCharType="separate"/>
    </w:r>
    <w:r>
      <w:rPr>
        <w:rFonts w:hint="eastAsia" w:eastAsia="宋体"/>
        <w:sz w:val="28"/>
        <w:szCs w:val="28"/>
        <w:lang w:eastAsia="zh-CN"/>
      </w:rPr>
      <w:t>I</w:t>
    </w:r>
    <w:r>
      <w:rPr>
        <w:rFonts w:hint="eastAsia" w:eastAsia="宋体"/>
        <w:sz w:val="28"/>
        <w:szCs w:val="28"/>
        <w:lang w:eastAsia="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CAFD2">
    <w:pPr>
      <w:pStyle w:val="13"/>
      <w:jc w:val="left"/>
      <w:rPr>
        <w:rFonts w:hint="eastAsia" w:eastAsia="宋体"/>
        <w:lang w:eastAsia="zh-CN"/>
      </w:rPr>
    </w:pPr>
    <w:r>
      <w:rPr>
        <w:rFonts w:hint="eastAsia" w:eastAsia="宋体"/>
        <w:lang w:eastAsia="zh-CN"/>
      </w:rPr>
      <w:fldChar w:fldCharType="begin"/>
    </w:r>
    <w:r>
      <w:rPr>
        <w:rFonts w:hint="eastAsia" w:eastAsia="宋体"/>
        <w:lang w:eastAsia="zh-CN"/>
      </w:rPr>
      <w:instrText xml:space="preserve"> PAGE </w:instrText>
    </w:r>
    <w:r>
      <w:rPr>
        <w:rFonts w:hint="eastAsia" w:eastAsia="宋体"/>
        <w:lang w:eastAsia="zh-CN"/>
      </w:rPr>
      <w:fldChar w:fldCharType="separate"/>
    </w:r>
    <w:r>
      <w:rPr>
        <w:rFonts w:hint="eastAsia" w:eastAsia="宋体"/>
        <w:lang w:eastAsia="zh-CN"/>
      </w:rPr>
      <w:t>II</w:t>
    </w:r>
    <w:r>
      <w:rPr>
        <w:rFonts w:hint="eastAsia" w:eastAsia="宋体"/>
        <w:lang w:eastAsia="zh-C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A5874">
    <w:pPr>
      <w:pStyle w:val="13"/>
      <w:ind w:right="1120"/>
      <w:jc w:val="right"/>
      <w:rPr>
        <w:rFonts w:hint="eastAsia" w:eastAsia="宋体"/>
        <w:sz w:val="28"/>
        <w:szCs w:val="28"/>
        <w:lang w:eastAsia="zh-CN"/>
      </w:rPr>
    </w:pPr>
    <w:r>
      <w:rPr>
        <w:rFonts w:hint="eastAsia" w:eastAsia="宋体"/>
        <w:sz w:val="28"/>
        <w:szCs w:val="28"/>
        <w:lang w:eastAsia="zh-CN"/>
      </w:rPr>
      <w:fldChar w:fldCharType="begin"/>
    </w:r>
    <w:r>
      <w:rPr>
        <w:rFonts w:hint="eastAsia" w:eastAsia="宋体"/>
        <w:sz w:val="28"/>
        <w:szCs w:val="28"/>
        <w:lang w:eastAsia="zh-CN"/>
      </w:rPr>
      <w:instrText xml:space="preserve"> PAGE </w:instrText>
    </w:r>
    <w:r>
      <w:rPr>
        <w:rFonts w:hint="eastAsia" w:eastAsia="宋体"/>
        <w:sz w:val="28"/>
        <w:szCs w:val="28"/>
        <w:lang w:eastAsia="zh-CN"/>
      </w:rPr>
      <w:fldChar w:fldCharType="separate"/>
    </w:r>
    <w:r>
      <w:rPr>
        <w:rFonts w:hint="eastAsia" w:eastAsia="宋体"/>
        <w:sz w:val="28"/>
        <w:szCs w:val="28"/>
        <w:lang w:eastAsia="zh-CN"/>
      </w:rPr>
      <w:t>I</w:t>
    </w:r>
    <w:r>
      <w:rPr>
        <w:rFonts w:hint="eastAsia" w:eastAsia="宋体"/>
        <w:sz w:val="28"/>
        <w:szCs w:val="28"/>
        <w:lang w:eastAsia="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85E39">
    <w:pPr>
      <w:pStyle w:val="13"/>
      <w:jc w:val="left"/>
      <w:rPr>
        <w:rFonts w:hint="eastAsia" w:eastAsia="宋体"/>
        <w:lang w:eastAsia="zh-CN"/>
      </w:rPr>
    </w:pPr>
    <w:r>
      <w:rPr>
        <w:rFonts w:hint="eastAsia" w:eastAsia="宋体"/>
        <w:lang w:eastAsia="zh-CN"/>
      </w:rPr>
      <w:fldChar w:fldCharType="begin"/>
    </w:r>
    <w:r>
      <w:rPr>
        <w:rFonts w:hint="eastAsia" w:eastAsia="宋体"/>
        <w:lang w:eastAsia="zh-CN"/>
      </w:rPr>
      <w:instrText xml:space="preserve"> PAGE </w:instrText>
    </w:r>
    <w:r>
      <w:rPr>
        <w:rFonts w:hint="eastAsia" w:eastAsia="宋体"/>
        <w:lang w:eastAsia="zh-CN"/>
      </w:rPr>
      <w:fldChar w:fldCharType="separate"/>
    </w:r>
    <w:r>
      <w:rPr>
        <w:rFonts w:hint="eastAsia" w:eastAsia="宋体"/>
        <w:lang w:eastAsia="zh-CN"/>
      </w:rPr>
      <w:t>II</w:t>
    </w:r>
    <w:r>
      <w:rPr>
        <w:rFonts w:hint="eastAsia" w:eastAsia="宋体"/>
        <w:lang w:eastAsia="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D86A5">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203B7">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EBF7F">
    <w:pPr>
      <w:pStyle w:val="14"/>
    </w:pPr>
    <w:r>
      <w:rPr>
        <w:rStyle w:val="22"/>
        <w:rFonts w:hint="eastAsia"/>
      </w:rPr>
      <w:t>毕业设计（论文）题目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430D6">
    <w:pPr>
      <w:pStyle w:val="14"/>
    </w:pPr>
    <w:r>
      <w:rPr>
        <w:rStyle w:val="22"/>
        <w:rFonts w:hint="eastAsia"/>
      </w:rPr>
      <w:t>毕业设计（论文）题目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24193"/>
    <w:multiLevelType w:val="multilevel"/>
    <w:tmpl w:val="04C24193"/>
    <w:lvl w:ilvl="0" w:tentative="0">
      <w:start w:val="1"/>
      <w:numFmt w:val="none"/>
      <w:lvlText w:val="一、"/>
      <w:lvlJc w:val="left"/>
      <w:pPr>
        <w:tabs>
          <w:tab w:val="left" w:pos="480"/>
        </w:tabs>
        <w:ind w:left="480" w:hanging="48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ing">
    <w15:presenceInfo w15:providerId="None" w15:userId="R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BiYzhlM2I4MmE0YmQ2ZjlhYjFkNDUwOGY1Mzg0MTMifQ=="/>
  </w:docVars>
  <w:rsids>
    <w:rsidRoot w:val="00B14261"/>
    <w:rsid w:val="00006ACC"/>
    <w:rsid w:val="00037206"/>
    <w:rsid w:val="000637C0"/>
    <w:rsid w:val="000772DA"/>
    <w:rsid w:val="00095E3D"/>
    <w:rsid w:val="000F1CE3"/>
    <w:rsid w:val="00154AF6"/>
    <w:rsid w:val="0016611B"/>
    <w:rsid w:val="0016647F"/>
    <w:rsid w:val="001B2AE5"/>
    <w:rsid w:val="001C50BA"/>
    <w:rsid w:val="001F6B5D"/>
    <w:rsid w:val="00223533"/>
    <w:rsid w:val="002675E7"/>
    <w:rsid w:val="002733C0"/>
    <w:rsid w:val="00286941"/>
    <w:rsid w:val="00367394"/>
    <w:rsid w:val="00382DEE"/>
    <w:rsid w:val="00392159"/>
    <w:rsid w:val="003C426B"/>
    <w:rsid w:val="003F13B1"/>
    <w:rsid w:val="004779D8"/>
    <w:rsid w:val="004C2988"/>
    <w:rsid w:val="004C50F0"/>
    <w:rsid w:val="004D6037"/>
    <w:rsid w:val="005173F0"/>
    <w:rsid w:val="00541AAD"/>
    <w:rsid w:val="005576CD"/>
    <w:rsid w:val="005773F7"/>
    <w:rsid w:val="00584E49"/>
    <w:rsid w:val="005A04E5"/>
    <w:rsid w:val="00640C50"/>
    <w:rsid w:val="00653073"/>
    <w:rsid w:val="00653977"/>
    <w:rsid w:val="00667455"/>
    <w:rsid w:val="00692B8E"/>
    <w:rsid w:val="006E7773"/>
    <w:rsid w:val="0071557C"/>
    <w:rsid w:val="00742FD2"/>
    <w:rsid w:val="00750A35"/>
    <w:rsid w:val="007E5ADA"/>
    <w:rsid w:val="007F0083"/>
    <w:rsid w:val="00851677"/>
    <w:rsid w:val="008964E4"/>
    <w:rsid w:val="008B5D9E"/>
    <w:rsid w:val="008E4530"/>
    <w:rsid w:val="009273D4"/>
    <w:rsid w:val="009572C0"/>
    <w:rsid w:val="00973331"/>
    <w:rsid w:val="00973583"/>
    <w:rsid w:val="00A01F35"/>
    <w:rsid w:val="00A23905"/>
    <w:rsid w:val="00AC0031"/>
    <w:rsid w:val="00AC0F73"/>
    <w:rsid w:val="00AD7D0A"/>
    <w:rsid w:val="00AF67C8"/>
    <w:rsid w:val="00B0219A"/>
    <w:rsid w:val="00B14261"/>
    <w:rsid w:val="00B3016D"/>
    <w:rsid w:val="00B421C1"/>
    <w:rsid w:val="00B42479"/>
    <w:rsid w:val="00B66B17"/>
    <w:rsid w:val="00BA3B51"/>
    <w:rsid w:val="00BB0BE8"/>
    <w:rsid w:val="00BD0A3D"/>
    <w:rsid w:val="00BD6C26"/>
    <w:rsid w:val="00BE1BA9"/>
    <w:rsid w:val="00C86D7A"/>
    <w:rsid w:val="00C91BB8"/>
    <w:rsid w:val="00CA6062"/>
    <w:rsid w:val="00CB3A48"/>
    <w:rsid w:val="00CF1850"/>
    <w:rsid w:val="00D3344D"/>
    <w:rsid w:val="00D37AE5"/>
    <w:rsid w:val="00D612DF"/>
    <w:rsid w:val="00E0222C"/>
    <w:rsid w:val="00E22F9B"/>
    <w:rsid w:val="00E30ABA"/>
    <w:rsid w:val="00E41C0B"/>
    <w:rsid w:val="00EA7475"/>
    <w:rsid w:val="00EB00CB"/>
    <w:rsid w:val="00EC3B83"/>
    <w:rsid w:val="00ED052D"/>
    <w:rsid w:val="00EE39E2"/>
    <w:rsid w:val="00EF52A8"/>
    <w:rsid w:val="00F00081"/>
    <w:rsid w:val="00F61AA8"/>
    <w:rsid w:val="00F8158C"/>
    <w:rsid w:val="00FA2D06"/>
    <w:rsid w:val="02AE1145"/>
    <w:rsid w:val="04790F82"/>
    <w:rsid w:val="049A7BD3"/>
    <w:rsid w:val="04BD38C2"/>
    <w:rsid w:val="05574541"/>
    <w:rsid w:val="07C531B9"/>
    <w:rsid w:val="08DA2C94"/>
    <w:rsid w:val="09F00295"/>
    <w:rsid w:val="0A9B46A5"/>
    <w:rsid w:val="0B116715"/>
    <w:rsid w:val="0B9510F4"/>
    <w:rsid w:val="0C1A7FE2"/>
    <w:rsid w:val="0CAB56B8"/>
    <w:rsid w:val="0E214EC1"/>
    <w:rsid w:val="10090303"/>
    <w:rsid w:val="10635C65"/>
    <w:rsid w:val="10C021DC"/>
    <w:rsid w:val="12D93FBD"/>
    <w:rsid w:val="12E46EA3"/>
    <w:rsid w:val="12F7727B"/>
    <w:rsid w:val="144E09DA"/>
    <w:rsid w:val="14B51D54"/>
    <w:rsid w:val="151F0B44"/>
    <w:rsid w:val="16F94C2D"/>
    <w:rsid w:val="19E716B5"/>
    <w:rsid w:val="1AC57C5A"/>
    <w:rsid w:val="1B907905"/>
    <w:rsid w:val="1BEF273E"/>
    <w:rsid w:val="1CC7757C"/>
    <w:rsid w:val="1E85149C"/>
    <w:rsid w:val="1F15637C"/>
    <w:rsid w:val="1FC4521F"/>
    <w:rsid w:val="20875058"/>
    <w:rsid w:val="21141E27"/>
    <w:rsid w:val="2181419D"/>
    <w:rsid w:val="22CC31F6"/>
    <w:rsid w:val="22FA4207"/>
    <w:rsid w:val="24B13D16"/>
    <w:rsid w:val="24B86128"/>
    <w:rsid w:val="261548C3"/>
    <w:rsid w:val="264A5B38"/>
    <w:rsid w:val="26D27249"/>
    <w:rsid w:val="26D85C14"/>
    <w:rsid w:val="271635D9"/>
    <w:rsid w:val="29CD4916"/>
    <w:rsid w:val="2AEA4B61"/>
    <w:rsid w:val="2BE710A1"/>
    <w:rsid w:val="2D5C5ABE"/>
    <w:rsid w:val="2F1877C3"/>
    <w:rsid w:val="2F9D1AF3"/>
    <w:rsid w:val="2F9E5F1A"/>
    <w:rsid w:val="30E04A0D"/>
    <w:rsid w:val="316B4522"/>
    <w:rsid w:val="322A618B"/>
    <w:rsid w:val="32755658"/>
    <w:rsid w:val="32F80037"/>
    <w:rsid w:val="347E631A"/>
    <w:rsid w:val="34AB35B3"/>
    <w:rsid w:val="34DD5737"/>
    <w:rsid w:val="359C52D5"/>
    <w:rsid w:val="360311CD"/>
    <w:rsid w:val="360A255B"/>
    <w:rsid w:val="362178A5"/>
    <w:rsid w:val="37A442EA"/>
    <w:rsid w:val="37EB3CC7"/>
    <w:rsid w:val="39243D55"/>
    <w:rsid w:val="394F2215"/>
    <w:rsid w:val="39B747A8"/>
    <w:rsid w:val="3A1439A9"/>
    <w:rsid w:val="3B64626A"/>
    <w:rsid w:val="3D1E4B3E"/>
    <w:rsid w:val="41BD0482"/>
    <w:rsid w:val="42937435"/>
    <w:rsid w:val="433B1FA6"/>
    <w:rsid w:val="45603F46"/>
    <w:rsid w:val="456B6447"/>
    <w:rsid w:val="47974345"/>
    <w:rsid w:val="47BD1DAE"/>
    <w:rsid w:val="4B355438"/>
    <w:rsid w:val="4C88182D"/>
    <w:rsid w:val="4D1205CF"/>
    <w:rsid w:val="4F4C72E9"/>
    <w:rsid w:val="50454464"/>
    <w:rsid w:val="50740B35"/>
    <w:rsid w:val="51106ACC"/>
    <w:rsid w:val="519F7E5A"/>
    <w:rsid w:val="51B15B29"/>
    <w:rsid w:val="52096D27"/>
    <w:rsid w:val="5334431C"/>
    <w:rsid w:val="555C57AE"/>
    <w:rsid w:val="57122BC6"/>
    <w:rsid w:val="58FC1D80"/>
    <w:rsid w:val="59F42A57"/>
    <w:rsid w:val="5B6D0D13"/>
    <w:rsid w:val="5B951068"/>
    <w:rsid w:val="5C6C0FCA"/>
    <w:rsid w:val="5D3715D8"/>
    <w:rsid w:val="5DA83A0F"/>
    <w:rsid w:val="5E3C677A"/>
    <w:rsid w:val="5F456963"/>
    <w:rsid w:val="613100ED"/>
    <w:rsid w:val="64EA33D4"/>
    <w:rsid w:val="65B57BD7"/>
    <w:rsid w:val="67430B7A"/>
    <w:rsid w:val="68D73C6F"/>
    <w:rsid w:val="6A0227DA"/>
    <w:rsid w:val="6A18009C"/>
    <w:rsid w:val="6BB40298"/>
    <w:rsid w:val="6C3D5F10"/>
    <w:rsid w:val="6D793547"/>
    <w:rsid w:val="6D8048D6"/>
    <w:rsid w:val="6DE44E65"/>
    <w:rsid w:val="7055204A"/>
    <w:rsid w:val="71884F82"/>
    <w:rsid w:val="729B5D0E"/>
    <w:rsid w:val="73270936"/>
    <w:rsid w:val="74343D24"/>
    <w:rsid w:val="74463A57"/>
    <w:rsid w:val="754B7577"/>
    <w:rsid w:val="7A340F22"/>
    <w:rsid w:val="7A4647B1"/>
    <w:rsid w:val="7B4E6013"/>
    <w:rsid w:val="7BDF4EBD"/>
    <w:rsid w:val="7CCF0A8E"/>
    <w:rsid w:val="7CF229CE"/>
    <w:rsid w:val="7D657644"/>
    <w:rsid w:val="7DA912DF"/>
    <w:rsid w:val="7E431ECE"/>
    <w:rsid w:val="7E5B6295"/>
    <w:rsid w:val="7F425A56"/>
    <w:rsid w:val="7F6220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0" w:semiHidden="0" w:name="Body Text First Indent"/>
    <w:lsdException w:uiPriority="99" w:name="Body Text First Indent 2"/>
    <w:lsdException w:uiPriority="99" w:name="Note Heading"/>
    <w:lsdException w:unhideWhenUsed="0" w:uiPriority="0" w:semiHidden="0" w:name="Body Text 2"/>
    <w:lsdException w:qFormat="1" w:unhideWhenUsed="0" w:uiPriority="0" w:semiHidden="0" w:name="Body Text 3"/>
    <w:lsdException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4"/>
    <w:qFormat/>
    <w:uiPriority w:val="9"/>
    <w:pPr>
      <w:keepNext/>
      <w:keepLines/>
      <w:spacing w:before="340" w:beforeLines="0" w:beforeAutospacing="0" w:after="330" w:afterLines="0" w:afterAutospacing="0" w:line="576" w:lineRule="auto"/>
      <w:outlineLvl w:val="0"/>
    </w:pPr>
    <w:rPr>
      <w:rFonts w:ascii="Times New Roman" w:hAnsi="Times New Roman" w:eastAsia="黑体"/>
      <w:kern w:val="44"/>
      <w:sz w:val="36"/>
    </w:rPr>
  </w:style>
  <w:style w:type="paragraph" w:styleId="3">
    <w:name w:val="heading 2"/>
    <w:basedOn w:val="1"/>
    <w:next w:val="1"/>
    <w:link w:val="25"/>
    <w:qFormat/>
    <w:uiPriority w:val="9"/>
    <w:pPr>
      <w:keepNext/>
      <w:keepLines/>
      <w:spacing w:before="260" w:beforeLines="0" w:beforeAutospacing="0" w:after="260" w:afterLines="0" w:afterAutospacing="0" w:line="413" w:lineRule="auto"/>
      <w:outlineLvl w:val="1"/>
    </w:pPr>
    <w:rPr>
      <w:rFonts w:ascii="Arial" w:hAnsi="Arial" w:eastAsia="黑体"/>
      <w:sz w:val="28"/>
    </w:rPr>
  </w:style>
  <w:style w:type="paragraph" w:styleId="4">
    <w:name w:val="heading 3"/>
    <w:basedOn w:val="1"/>
    <w:next w:val="1"/>
    <w:link w:val="26"/>
    <w:qFormat/>
    <w:uiPriority w:val="9"/>
    <w:pPr>
      <w:keepNext/>
      <w:keepLines/>
      <w:spacing w:before="260" w:beforeLines="0" w:beforeAutospacing="0" w:after="260" w:afterLines="0" w:afterAutospacing="0" w:line="413" w:lineRule="auto"/>
      <w:outlineLvl w:val="2"/>
    </w:pPr>
    <w:rPr>
      <w:rFonts w:ascii="Times New Roman" w:hAnsi="Times New Roman" w:eastAsia="黑体"/>
      <w:sz w:val="24"/>
    </w:rPr>
  </w:style>
  <w:style w:type="character" w:default="1" w:styleId="21">
    <w:name w:val="Default Paragraph Font"/>
    <w:unhideWhenUsed/>
    <w:uiPriority w:val="1"/>
  </w:style>
  <w:style w:type="table" w:default="1" w:styleId="20">
    <w:name w:val="Normal Table"/>
    <w:unhideWhenUsed/>
    <w:qFormat/>
    <w:uiPriority w:val="99"/>
    <w:tblPr>
      <w:tblCellMar>
        <w:top w:w="0" w:type="dxa"/>
        <w:left w:w="108" w:type="dxa"/>
        <w:bottom w:w="0" w:type="dxa"/>
        <w:right w:w="108" w:type="dxa"/>
      </w:tblCellMar>
    </w:tblPr>
  </w:style>
  <w:style w:type="paragraph" w:styleId="5">
    <w:name w:val="annotation text"/>
    <w:basedOn w:val="1"/>
    <w:link w:val="27"/>
    <w:unhideWhenUsed/>
    <w:uiPriority w:val="99"/>
    <w:pPr>
      <w:jc w:val="left"/>
    </w:pPr>
  </w:style>
  <w:style w:type="paragraph" w:styleId="6">
    <w:name w:val="Body Text 3"/>
    <w:basedOn w:val="1"/>
    <w:qFormat/>
    <w:uiPriority w:val="0"/>
    <w:pPr>
      <w:spacing w:after="120"/>
    </w:pPr>
    <w:rPr>
      <w:sz w:val="16"/>
      <w:szCs w:val="16"/>
    </w:rPr>
  </w:style>
  <w:style w:type="paragraph" w:styleId="7">
    <w:name w:val="Body Text"/>
    <w:basedOn w:val="1"/>
    <w:link w:val="28"/>
    <w:uiPriority w:val="0"/>
    <w:pPr>
      <w:spacing w:after="120"/>
    </w:pPr>
  </w:style>
  <w:style w:type="paragraph" w:styleId="8">
    <w:name w:val="Body Text Indent"/>
    <w:basedOn w:val="1"/>
    <w:link w:val="29"/>
    <w:uiPriority w:val="0"/>
    <w:pPr>
      <w:spacing w:line="500" w:lineRule="exact"/>
      <w:ind w:left="420" w:leftChars="200" w:firstLine="480" w:firstLineChars="200"/>
    </w:pPr>
    <w:rPr>
      <w:rFonts w:ascii="Arial" w:hAnsi="Arial"/>
      <w:bCs/>
      <w:sz w:val="24"/>
      <w:szCs w:val="24"/>
    </w:rPr>
  </w:style>
  <w:style w:type="paragraph" w:styleId="9">
    <w:name w:val="toc 3"/>
    <w:basedOn w:val="1"/>
    <w:next w:val="1"/>
    <w:semiHidden/>
    <w:unhideWhenUsed/>
    <w:uiPriority w:val="39"/>
    <w:pPr>
      <w:ind w:left="840" w:leftChars="400"/>
    </w:pPr>
  </w:style>
  <w:style w:type="paragraph" w:styleId="10">
    <w:name w:val="Plain Text"/>
    <w:basedOn w:val="1"/>
    <w:link w:val="30"/>
    <w:uiPriority w:val="0"/>
    <w:rPr>
      <w:rFonts w:ascii="宋体" w:hAnsi="Courier New"/>
      <w:szCs w:val="21"/>
    </w:rPr>
  </w:style>
  <w:style w:type="paragraph" w:styleId="11">
    <w:name w:val="Body Text Indent 2"/>
    <w:basedOn w:val="1"/>
    <w:link w:val="31"/>
    <w:uiPriority w:val="0"/>
    <w:pPr>
      <w:spacing w:after="120" w:line="480" w:lineRule="auto"/>
      <w:ind w:left="420" w:leftChars="200"/>
    </w:pPr>
    <w:rPr>
      <w:szCs w:val="24"/>
    </w:rPr>
  </w:style>
  <w:style w:type="paragraph" w:styleId="12">
    <w:name w:val="Balloon Text"/>
    <w:basedOn w:val="1"/>
    <w:link w:val="49"/>
    <w:semiHidden/>
    <w:unhideWhenUsed/>
    <w:uiPriority w:val="99"/>
    <w:rPr>
      <w:sz w:val="18"/>
      <w:szCs w:val="18"/>
    </w:rPr>
  </w:style>
  <w:style w:type="paragraph" w:styleId="13">
    <w:name w:val="footer"/>
    <w:basedOn w:val="1"/>
    <w:link w:val="32"/>
    <w:uiPriority w:val="99"/>
    <w:pPr>
      <w:tabs>
        <w:tab w:val="center" w:pos="4153"/>
        <w:tab w:val="right" w:pos="8306"/>
      </w:tabs>
      <w:snapToGrid w:val="0"/>
      <w:jc w:val="left"/>
    </w:pPr>
    <w:rPr>
      <w:sz w:val="18"/>
    </w:rPr>
  </w:style>
  <w:style w:type="paragraph" w:styleId="14">
    <w:name w:val="header"/>
    <w:basedOn w:val="1"/>
    <w:link w:val="33"/>
    <w:uiPriority w:val="0"/>
    <w:pPr>
      <w:pBdr>
        <w:bottom w:val="single" w:color="auto" w:sz="6" w:space="1"/>
      </w:pBdr>
      <w:tabs>
        <w:tab w:val="center" w:pos="4153"/>
        <w:tab w:val="right" w:pos="8306"/>
      </w:tabs>
      <w:snapToGrid w:val="0"/>
      <w:jc w:val="center"/>
    </w:pPr>
    <w:rPr>
      <w:sz w:val="18"/>
    </w:rPr>
  </w:style>
  <w:style w:type="paragraph" w:styleId="15">
    <w:name w:val="toc 1"/>
    <w:basedOn w:val="1"/>
    <w:next w:val="1"/>
    <w:semiHidden/>
    <w:qFormat/>
    <w:uiPriority w:val="0"/>
    <w:pPr>
      <w:tabs>
        <w:tab w:val="right" w:leader="dot" w:pos="8296"/>
      </w:tabs>
      <w:spacing w:line="400" w:lineRule="exact"/>
    </w:pPr>
  </w:style>
  <w:style w:type="paragraph" w:styleId="16">
    <w:name w:val="toc 2"/>
    <w:basedOn w:val="1"/>
    <w:next w:val="1"/>
    <w:semiHidden/>
    <w:unhideWhenUsed/>
    <w:uiPriority w:val="39"/>
    <w:pPr>
      <w:ind w:left="420" w:leftChars="200"/>
    </w:pPr>
  </w:style>
  <w:style w:type="paragraph" w:styleId="17">
    <w:name w:val="Body Text 2"/>
    <w:basedOn w:val="1"/>
    <w:link w:val="34"/>
    <w:uiPriority w:val="0"/>
    <w:pPr>
      <w:spacing w:after="120" w:line="480" w:lineRule="auto"/>
    </w:pPr>
    <w:rPr>
      <w:szCs w:val="24"/>
    </w:rPr>
  </w:style>
  <w:style w:type="paragraph" w:styleId="18">
    <w:name w:val="Normal (Web)"/>
    <w:basedOn w:val="1"/>
    <w:uiPriority w:val="0"/>
    <w:pPr>
      <w:widowControl/>
      <w:spacing w:before="100" w:beforeAutospacing="1" w:after="100" w:afterAutospacing="1"/>
      <w:jc w:val="left"/>
    </w:pPr>
    <w:rPr>
      <w:rFonts w:ascii="宋体" w:hAnsi="宋体"/>
      <w:color w:val="FFFF99"/>
      <w:kern w:val="0"/>
      <w:sz w:val="24"/>
      <w:szCs w:val="24"/>
    </w:rPr>
  </w:style>
  <w:style w:type="paragraph" w:styleId="19">
    <w:name w:val="Body Text First Indent"/>
    <w:basedOn w:val="7"/>
    <w:link w:val="37"/>
    <w:unhideWhenUsed/>
    <w:uiPriority w:val="0"/>
    <w:pPr>
      <w:ind w:firstLine="420" w:firstLineChars="100"/>
    </w:pPr>
    <w:rPr>
      <w:szCs w:val="24"/>
    </w:rPr>
  </w:style>
  <w:style w:type="character" w:styleId="22">
    <w:name w:val="page number"/>
    <w:uiPriority w:val="0"/>
  </w:style>
  <w:style w:type="character" w:styleId="23">
    <w:name w:val="Hyperlink"/>
    <w:qFormat/>
    <w:uiPriority w:val="0"/>
    <w:rPr>
      <w:color w:val="0000FF"/>
      <w:u w:val="single"/>
    </w:rPr>
  </w:style>
  <w:style w:type="character" w:customStyle="1" w:styleId="24">
    <w:name w:val="标题 1 字符"/>
    <w:link w:val="2"/>
    <w:uiPriority w:val="0"/>
    <w:rPr>
      <w:rFonts w:ascii="Times New Roman" w:hAnsi="Times New Roman" w:eastAsia="黑体"/>
      <w:kern w:val="44"/>
      <w:sz w:val="36"/>
    </w:rPr>
  </w:style>
  <w:style w:type="character" w:customStyle="1" w:styleId="25">
    <w:name w:val="标题 2 字符"/>
    <w:link w:val="3"/>
    <w:uiPriority w:val="0"/>
    <w:rPr>
      <w:rFonts w:ascii="Arial" w:hAnsi="Arial" w:eastAsia="黑体"/>
      <w:sz w:val="28"/>
    </w:rPr>
  </w:style>
  <w:style w:type="character" w:customStyle="1" w:styleId="26">
    <w:name w:val="标题 3 字符"/>
    <w:link w:val="4"/>
    <w:uiPriority w:val="0"/>
    <w:rPr>
      <w:rFonts w:ascii="Times New Roman" w:hAnsi="Times New Roman" w:eastAsia="黑体"/>
      <w:sz w:val="24"/>
    </w:rPr>
  </w:style>
  <w:style w:type="character" w:customStyle="1" w:styleId="27">
    <w:name w:val="批注文字 字符"/>
    <w:link w:val="5"/>
    <w:uiPriority w:val="99"/>
  </w:style>
  <w:style w:type="character" w:customStyle="1" w:styleId="28">
    <w:name w:val="正文文本 字符1"/>
    <w:link w:val="7"/>
    <w:uiPriority w:val="0"/>
    <w:rPr>
      <w:kern w:val="2"/>
      <w:sz w:val="21"/>
    </w:rPr>
  </w:style>
  <w:style w:type="character" w:customStyle="1" w:styleId="29">
    <w:name w:val="正文文本缩进 字符1"/>
    <w:link w:val="8"/>
    <w:uiPriority w:val="0"/>
    <w:rPr>
      <w:rFonts w:ascii="Arial" w:hAnsi="Arial"/>
      <w:bCs/>
      <w:kern w:val="2"/>
      <w:sz w:val="24"/>
      <w:szCs w:val="24"/>
    </w:rPr>
  </w:style>
  <w:style w:type="character" w:customStyle="1" w:styleId="30">
    <w:name w:val="纯文本 字符1"/>
    <w:link w:val="10"/>
    <w:uiPriority w:val="0"/>
    <w:rPr>
      <w:rFonts w:ascii="宋体" w:hAnsi="Courier New"/>
      <w:kern w:val="2"/>
      <w:sz w:val="21"/>
      <w:szCs w:val="21"/>
    </w:rPr>
  </w:style>
  <w:style w:type="character" w:customStyle="1" w:styleId="31">
    <w:name w:val="正文文本缩进 2 字符1"/>
    <w:link w:val="11"/>
    <w:uiPriority w:val="0"/>
    <w:rPr>
      <w:kern w:val="2"/>
      <w:sz w:val="21"/>
      <w:szCs w:val="24"/>
    </w:rPr>
  </w:style>
  <w:style w:type="character" w:customStyle="1" w:styleId="32">
    <w:name w:val="页脚 字符"/>
    <w:link w:val="13"/>
    <w:uiPriority w:val="99"/>
    <w:rPr>
      <w:kern w:val="2"/>
      <w:sz w:val="18"/>
    </w:rPr>
  </w:style>
  <w:style w:type="character" w:customStyle="1" w:styleId="33">
    <w:name w:val="页眉 字符"/>
    <w:link w:val="14"/>
    <w:uiPriority w:val="0"/>
    <w:rPr>
      <w:kern w:val="2"/>
      <w:sz w:val="18"/>
    </w:rPr>
  </w:style>
  <w:style w:type="character" w:customStyle="1" w:styleId="34">
    <w:name w:val="正文文本 2 字符1"/>
    <w:link w:val="17"/>
    <w:uiPriority w:val="0"/>
    <w:rPr>
      <w:kern w:val="2"/>
      <w:sz w:val="21"/>
      <w:szCs w:val="24"/>
    </w:rPr>
  </w:style>
  <w:style w:type="character" w:customStyle="1" w:styleId="35">
    <w:name w:val="正文文本首行缩进 字符"/>
    <w:link w:val="19"/>
    <w:semiHidden/>
    <w:uiPriority w:val="99"/>
  </w:style>
  <w:style w:type="character" w:customStyle="1" w:styleId="36">
    <w:name w:val="正文文本 字符"/>
    <w:semiHidden/>
    <w:uiPriority w:val="99"/>
    <w:rPr>
      <w:kern w:val="2"/>
      <w:sz w:val="21"/>
    </w:rPr>
  </w:style>
  <w:style w:type="character" w:customStyle="1" w:styleId="37">
    <w:name w:val="正文首行缩进 Char"/>
    <w:link w:val="19"/>
    <w:uiPriority w:val="0"/>
    <w:rPr>
      <w:kern w:val="2"/>
      <w:sz w:val="21"/>
      <w:szCs w:val="24"/>
    </w:rPr>
  </w:style>
  <w:style w:type="character" w:customStyle="1" w:styleId="38">
    <w:name w:val="正文文本 2 字符"/>
    <w:semiHidden/>
    <w:uiPriority w:val="99"/>
    <w:rPr>
      <w:kern w:val="2"/>
      <w:sz w:val="21"/>
    </w:rPr>
  </w:style>
  <w:style w:type="paragraph" w:customStyle="1" w:styleId="39">
    <w:name w:val="_Style 31"/>
    <w:basedOn w:val="7"/>
    <w:next w:val="19"/>
    <w:uiPriority w:val="0"/>
    <w:pPr>
      <w:ind w:firstLine="420" w:firstLineChars="100"/>
    </w:pPr>
    <w:rPr>
      <w:szCs w:val="24"/>
    </w:rPr>
  </w:style>
  <w:style w:type="character" w:customStyle="1" w:styleId="40">
    <w:name w:val="正文文本缩进 2 字符"/>
    <w:semiHidden/>
    <w:uiPriority w:val="99"/>
    <w:rPr>
      <w:kern w:val="2"/>
      <w:sz w:val="21"/>
    </w:rPr>
  </w:style>
  <w:style w:type="character" w:customStyle="1" w:styleId="41">
    <w:name w:val="纯文本 字符"/>
    <w:semiHidden/>
    <w:uiPriority w:val="99"/>
    <w:rPr>
      <w:rFonts w:ascii="宋体" w:hAnsi="Courier New" w:cs="Courier New"/>
      <w:kern w:val="2"/>
      <w:sz w:val="21"/>
      <w:szCs w:val="21"/>
    </w:rPr>
  </w:style>
  <w:style w:type="character" w:customStyle="1" w:styleId="42">
    <w:name w:val="正文文本缩进 字符"/>
    <w:semiHidden/>
    <w:uiPriority w:val="99"/>
    <w:rPr>
      <w:kern w:val="2"/>
      <w:sz w:val="21"/>
    </w:rPr>
  </w:style>
  <w:style w:type="paragraph" w:customStyle="1" w:styleId="43">
    <w:name w:val="reader-word-lay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4">
    <w:name w:val="列出段落2"/>
    <w:basedOn w:val="1"/>
    <w:uiPriority w:val="0"/>
    <w:pPr>
      <w:ind w:firstLine="420" w:firstLineChars="200"/>
    </w:pPr>
    <w:rPr>
      <w:szCs w:val="24"/>
    </w:rPr>
  </w:style>
  <w:style w:type="paragraph" w:customStyle="1" w:styleId="45">
    <w:name w:val="主文"/>
    <w:basedOn w:val="1"/>
    <w:qFormat/>
    <w:uiPriority w:val="0"/>
    <w:pPr>
      <w:spacing w:line="360" w:lineRule="auto"/>
    </w:pPr>
    <w:rPr>
      <w:sz w:val="24"/>
    </w:rPr>
  </w:style>
  <w:style w:type="paragraph" w:customStyle="1" w:styleId="46">
    <w:name w:val="WPSOffice手动目录 1"/>
    <w:uiPriority w:val="0"/>
    <w:rPr>
      <w:rFonts w:ascii="Times New Roman" w:hAnsi="Times New Roman" w:eastAsia="宋体" w:cs="Times New Roman"/>
      <w:lang w:val="en-US" w:eastAsia="zh-CN" w:bidi="ar-SA"/>
    </w:rPr>
  </w:style>
  <w:style w:type="paragraph" w:customStyle="1" w:styleId="47">
    <w:name w:val="WPSOffice手动目录 2"/>
    <w:uiPriority w:val="0"/>
    <w:pPr>
      <w:ind w:leftChars="200"/>
    </w:pPr>
    <w:rPr>
      <w:rFonts w:ascii="Times New Roman" w:hAnsi="Times New Roman" w:eastAsia="宋体" w:cs="Times New Roman"/>
      <w:lang w:val="en-US" w:eastAsia="zh-CN" w:bidi="ar-SA"/>
    </w:rPr>
  </w:style>
  <w:style w:type="paragraph" w:customStyle="1" w:styleId="48">
    <w:name w:val="WPSOffice手动目录 3"/>
    <w:uiPriority w:val="0"/>
    <w:pPr>
      <w:ind w:leftChars="400"/>
    </w:pPr>
    <w:rPr>
      <w:rFonts w:ascii="Times New Roman" w:hAnsi="Times New Roman" w:eastAsia="宋体" w:cs="Times New Roman"/>
      <w:lang w:val="en-US" w:eastAsia="zh-CN" w:bidi="ar-SA"/>
    </w:rPr>
  </w:style>
  <w:style w:type="character" w:customStyle="1" w:styleId="49">
    <w:name w:val="批注框文本 Char"/>
    <w:link w:val="12"/>
    <w:semiHidden/>
    <w:uiPriority w:val="99"/>
    <w:rPr>
      <w:kern w:val="2"/>
      <w:sz w:val="18"/>
      <w:szCs w:val="18"/>
    </w:rPr>
  </w:style>
  <w:style w:type="character" w:customStyle="1" w:styleId="50">
    <w:name w:val="页脚 Char"/>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esktop\&#21150;&#20844;&#29992;\&#25991;&#20214;&#27169;&#26495;\&#20844;&#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70"/>
    <customShpInfo spid="_x0000_s1071"/>
    <customShpInfo spid="_x0000_s1060"/>
    <customShpInfo spid="_x0000_s1062"/>
    <customShpInfo spid="_x0000_s1068"/>
    <customShpInfo spid="_x0000_s1047"/>
    <customShpInfo spid="_x0000_s1069"/>
    <customShpInfo spid="_x0000_s1042"/>
    <customShpInfo spid="_x0000_s1043"/>
    <customShpInfo spid="_x0000_s104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公文</Template>
  <Pages>50</Pages>
  <Words>762</Words>
  <Characters>4344</Characters>
  <Lines>36</Lines>
  <Paragraphs>10</Paragraphs>
  <TotalTime>0</TotalTime>
  <ScaleCrop>false</ScaleCrop>
  <LinksUpToDate>false</LinksUpToDate>
  <CharactersWithSpaces>5096</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2025-10-11T01:48:00Z</dcterms:created>
  <dc:creator>秦凤</dc:creator>
  <cp:lastModifiedBy>Administrator</cp:lastModifiedBy>
  <cp:lastPrinted>2001-01-04T07:59:00Z</cp:lastPrinted>
  <dcterms:modified xsi:type="dcterms:W3CDTF">2026-10-18T02:22:28Z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F20ECA8975404C849C7689391D367195_13</vt:lpwstr>
  </property>
</Properties>
</file>