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543FD42">
      <w:pPr>
        <w:jc w:val="center"/>
      </w:pPr>
      <w:bookmarkStart w:id="72" w:name="_GoBack"/>
      <w:bookmarkEnd w:id="72"/>
      <w:r>
        <w:pict>
          <v:shape id="_x0000_i1025" o:spt="75" alt="绿" type="#_x0000_t75" style="height:72.05pt;width:311.25pt;" filled="f" o:preferrelative="t" stroked="f" coordsize="21600,21600">
            <v:path/>
            <v:fill on="f" focussize="0,0"/>
            <v:stroke on="f"/>
            <v:imagedata r:id="rId16" grayscale="t" bilevel="t" o:title="绿"/>
            <o:lock v:ext="edit" aspectratio="t"/>
            <w10:wrap type="none"/>
            <w10:anchorlock/>
          </v:shape>
        </w:pict>
      </w:r>
    </w:p>
    <w:p w14:paraId="78F8E57E">
      <w:pPr>
        <w:jc w:val="center"/>
      </w:pPr>
    </w:p>
    <w:p w14:paraId="123F7488"/>
    <w:p w14:paraId="250C281A">
      <w:pPr>
        <w:jc w:val="center"/>
        <w:outlineLvl w:val="0"/>
        <w:rPr>
          <w:spacing w:val="62"/>
          <w:kern w:val="84"/>
          <w:sz w:val="72"/>
          <w:szCs w:val="72"/>
        </w:rPr>
      </w:pPr>
      <w:bookmarkStart w:id="0" w:name="_Toc14890"/>
      <w:bookmarkStart w:id="1" w:name="_Toc2071"/>
      <w:r>
        <w:rPr>
          <w:rFonts w:eastAsia="黑体"/>
          <w:b/>
          <w:bCs/>
          <w:spacing w:val="62"/>
          <w:kern w:val="84"/>
          <w:sz w:val="72"/>
          <w:szCs w:val="72"/>
        </w:rPr>
        <w:t>本科毕业设计(论文)</w:t>
      </w:r>
      <w:bookmarkEnd w:id="0"/>
      <w:bookmarkEnd w:id="1"/>
    </w:p>
    <w:p w14:paraId="6A0B1729">
      <w:pPr>
        <w:rPr>
          <w:sz w:val="44"/>
          <w:szCs w:val="44"/>
        </w:rPr>
      </w:pPr>
    </w:p>
    <w:p w14:paraId="00918F72">
      <w:pPr>
        <w:rPr>
          <w:sz w:val="44"/>
          <w:szCs w:val="44"/>
        </w:rPr>
      </w:pPr>
    </w:p>
    <w:p w14:paraId="4837E52D">
      <w:pPr>
        <w:rPr>
          <w:sz w:val="40"/>
          <w:szCs w:val="40"/>
        </w:rPr>
      </w:pPr>
      <w:r>
        <w:rPr>
          <w:b/>
          <w:bCs/>
          <w:sz w:val="44"/>
          <w:szCs w:val="44"/>
        </w:rPr>
        <w:t>课题名称</w:t>
      </w:r>
      <w:r>
        <w:rPr>
          <w:sz w:val="44"/>
          <w:szCs w:val="44"/>
        </w:rPr>
        <w:t>:</w:t>
      </w:r>
      <w:r>
        <w:rPr>
          <w:sz w:val="44"/>
          <w:szCs w:val="44"/>
          <w:u w:val="single"/>
        </w:rPr>
        <w:t xml:space="preserve">                            </w:t>
      </w:r>
      <w:r>
        <w:rPr>
          <w:sz w:val="40"/>
          <w:szCs w:val="40"/>
        </w:rPr>
        <w:t xml:space="preserve">        </w:t>
      </w:r>
      <w:r>
        <w:rPr>
          <w:u w:val="single"/>
        </w:rPr>
        <w:t>　基于事件驱动与市场情绪的A股仓位决策闭环与刻度校准研究——StockSignal平台的设计与实现　</w:t>
      </w:r>
    </w:p>
    <w:p w14:paraId="5BF94A7E">
      <w:pPr>
        <w:rPr>
          <w:sz w:val="40"/>
          <w:szCs w:val="40"/>
        </w:rPr>
      </w:pPr>
    </w:p>
    <w:p w14:paraId="61BD07A8">
      <w:pPr>
        <w:rPr>
          <w:sz w:val="40"/>
          <w:szCs w:val="40"/>
        </w:rPr>
      </w:pPr>
    </w:p>
    <w:p w14:paraId="544F3851">
      <w:pPr>
        <w:rPr>
          <w:sz w:val="40"/>
          <w:szCs w:val="40"/>
        </w:rPr>
      </w:pPr>
    </w:p>
    <w:p w14:paraId="69BBCF72">
      <w:pPr>
        <w:spacing w:line="600" w:lineRule="auto"/>
        <w:ind w:firstLine="800" w:firstLineChars="200"/>
        <w:rPr>
          <w:b/>
          <w:bCs/>
          <w:sz w:val="40"/>
          <w:szCs w:val="40"/>
        </w:rPr>
      </w:pPr>
      <w:r>
        <w:rPr>
          <w:b/>
          <w:bCs/>
          <w:sz w:val="40"/>
          <w:szCs w:val="40"/>
        </w:rPr>
        <w:t>学    院</w:t>
      </w:r>
      <w:r>
        <w:rPr>
          <w:b/>
          <w:bCs/>
          <w:sz w:val="40"/>
          <w:szCs w:val="40"/>
          <w:u w:val="single"/>
        </w:rPr>
        <w:t xml:space="preserve">                           </w:t>
      </w:r>
      <w:r>
        <w:rPr>
          <w:b/>
          <w:bCs/>
          <w:sz w:val="40"/>
          <w:szCs w:val="40"/>
        </w:rPr>
        <w:t xml:space="preserve">  </w:t>
      </w:r>
      <w:r>
        <w:rPr>
          <w:u w:val="single"/>
        </w:rPr>
        <w:t>　计算机学院　</w:t>
      </w:r>
    </w:p>
    <w:p w14:paraId="32ACD973">
      <w:pPr>
        <w:spacing w:line="600" w:lineRule="auto"/>
        <w:ind w:firstLine="800" w:firstLineChars="200"/>
        <w:rPr>
          <w:b/>
          <w:bCs/>
          <w:sz w:val="40"/>
          <w:szCs w:val="40"/>
        </w:rPr>
      </w:pPr>
      <w:r>
        <w:rPr>
          <w:b/>
          <w:bCs/>
          <w:sz w:val="40"/>
          <w:szCs w:val="40"/>
        </w:rPr>
        <w:t>专    业</w:t>
      </w:r>
      <w:r>
        <w:rPr>
          <w:b/>
          <w:bCs/>
          <w:sz w:val="40"/>
          <w:szCs w:val="40"/>
          <w:u w:val="single"/>
        </w:rPr>
        <w:t xml:space="preserve">                           </w:t>
      </w:r>
      <w:r>
        <w:rPr>
          <w:b/>
          <w:bCs/>
          <w:sz w:val="40"/>
          <w:szCs w:val="40"/>
        </w:rPr>
        <w:t xml:space="preserve">  </w:t>
      </w:r>
      <w:r>
        <w:rPr>
          <w:u w:val="single"/>
        </w:rPr>
        <w:t>　计算机科学与技术　</w:t>
      </w:r>
    </w:p>
    <w:p w14:paraId="1D4C4204">
      <w:pPr>
        <w:spacing w:line="600" w:lineRule="auto"/>
        <w:ind w:firstLine="800" w:firstLineChars="200"/>
        <w:rPr>
          <w:b/>
          <w:bCs/>
          <w:sz w:val="40"/>
          <w:szCs w:val="40"/>
        </w:rPr>
      </w:pPr>
      <w:r>
        <w:rPr>
          <w:b/>
          <w:bCs/>
          <w:sz w:val="40"/>
          <w:szCs w:val="40"/>
        </w:rPr>
        <w:t>班    级</w:t>
      </w:r>
      <w:r>
        <w:rPr>
          <w:b/>
          <w:bCs/>
          <w:sz w:val="40"/>
          <w:szCs w:val="40"/>
          <w:u w:val="single"/>
        </w:rPr>
        <w:t xml:space="preserve">            </w:t>
      </w:r>
      <w:r>
        <w:rPr>
          <w:b/>
          <w:bCs/>
          <w:sz w:val="40"/>
          <w:szCs w:val="40"/>
        </w:rPr>
        <w:t>学号</w:t>
      </w:r>
      <w:r>
        <w:rPr>
          <w:b/>
          <w:bCs/>
          <w:sz w:val="40"/>
          <w:szCs w:val="40"/>
          <w:u w:val="single"/>
        </w:rPr>
        <w:t xml:space="preserve">           </w:t>
      </w:r>
      <w:r>
        <w:rPr>
          <w:b/>
          <w:bCs/>
          <w:sz w:val="40"/>
          <w:szCs w:val="40"/>
        </w:rPr>
        <w:t xml:space="preserve"> </w:t>
      </w:r>
      <w:r>
        <w:rPr>
          <w:u w:val="single"/>
        </w:rPr>
        <w:t>　　231042Y133</w:t>
      </w:r>
    </w:p>
    <w:p w14:paraId="1B95024C">
      <w:pPr>
        <w:spacing w:line="600" w:lineRule="auto"/>
        <w:ind w:firstLine="800" w:firstLineChars="200"/>
        <w:rPr>
          <w:b/>
          <w:bCs/>
          <w:sz w:val="40"/>
          <w:szCs w:val="40"/>
        </w:rPr>
      </w:pPr>
      <w:r>
        <w:rPr>
          <w:b/>
          <w:bCs/>
          <w:sz w:val="40"/>
          <w:szCs w:val="40"/>
        </w:rPr>
        <w:t>学生姓名</w:t>
      </w:r>
      <w:r>
        <w:rPr>
          <w:b/>
          <w:bCs/>
          <w:sz w:val="40"/>
          <w:szCs w:val="40"/>
          <w:u w:val="single"/>
        </w:rPr>
        <w:t xml:space="preserve">                           </w:t>
      </w:r>
      <w:r>
        <w:rPr>
          <w:b/>
          <w:bCs/>
          <w:sz w:val="40"/>
          <w:szCs w:val="40"/>
        </w:rPr>
        <w:t xml:space="preserve"> </w:t>
      </w:r>
      <w:r>
        <w:rPr>
          <w:u w:val="single"/>
        </w:rPr>
        <w:t>　黄子州　</w:t>
      </w:r>
    </w:p>
    <w:p w14:paraId="22897352">
      <w:pPr>
        <w:adjustRightInd w:val="0"/>
        <w:snapToGrid w:val="0"/>
        <w:spacing w:line="360" w:lineRule="auto"/>
        <w:ind w:firstLine="800" w:firstLineChars="200"/>
        <w:jc w:val="left"/>
        <w:rPr>
          <w:b/>
          <w:bCs/>
          <w:sz w:val="40"/>
          <w:szCs w:val="40"/>
          <w:u w:val="single"/>
        </w:rPr>
      </w:pPr>
      <w:r>
        <w:rPr>
          <w:b/>
          <w:bCs/>
          <w:sz w:val="40"/>
          <w:szCs w:val="40"/>
        </w:rPr>
        <w:t>指导教师</w:t>
      </w:r>
      <w:r>
        <w:rPr>
          <w:b/>
          <w:bCs/>
          <w:sz w:val="40"/>
          <w:szCs w:val="40"/>
          <w:u w:val="single"/>
        </w:rPr>
        <w:t xml:space="preserve">                           </w:t>
      </w:r>
      <w:r>
        <w:rPr>
          <w:u w:val="single"/>
        </w:rPr>
        <w:t xml:space="preserve">　陈丽琼　</w:t>
      </w:r>
    </w:p>
    <w:p w14:paraId="133879AE">
      <w:pPr>
        <w:adjustRightInd w:val="0"/>
        <w:snapToGrid w:val="0"/>
        <w:spacing w:line="360" w:lineRule="auto"/>
        <w:ind w:firstLine="800" w:firstLineChars="200"/>
        <w:rPr>
          <w:b/>
          <w:bCs/>
          <w:sz w:val="40"/>
          <w:szCs w:val="40"/>
          <w:u w:val="single"/>
        </w:rPr>
      </w:pPr>
      <w:r>
        <w:rPr>
          <w:b/>
          <w:bCs/>
          <w:sz w:val="40"/>
          <w:szCs w:val="40"/>
        </w:rPr>
        <w:t>起止日期</w:t>
      </w:r>
      <w:r>
        <w:rPr>
          <w:b/>
          <w:bCs/>
          <w:sz w:val="40"/>
          <w:szCs w:val="40"/>
          <w:u w:val="single"/>
        </w:rPr>
        <w:t xml:space="preserve">                           </w:t>
      </w:r>
      <w:r>
        <w:rPr>
          <w:u w:val="single"/>
        </w:rPr>
        <w:t>　2025-11 至 2026-06　</w:t>
      </w:r>
    </w:p>
    <w:p w14:paraId="4DAEC539">
      <w:pPr>
        <w:adjustRightInd w:val="0"/>
        <w:snapToGrid w:val="0"/>
        <w:spacing w:line="360" w:lineRule="auto"/>
        <w:rPr>
          <w:b/>
          <w:bCs/>
          <w:sz w:val="44"/>
          <w:szCs w:val="44"/>
        </w:rPr>
        <w:sectPr>
          <w:headerReference r:id="rId5" w:type="default"/>
          <w:footerReference r:id="rId7" w:type="default"/>
          <w:headerReference r:id="rId6" w:type="even"/>
          <w:footerReference r:id="rId8" w:type="even"/>
          <w:pgSz w:w="11906" w:h="16838"/>
          <w:pgMar w:top="1588" w:right="1247" w:bottom="1361" w:left="1418" w:header="851" w:footer="907" w:gutter="0"/>
          <w:pgNumType w:fmt="upperRoman"/>
          <w:cols w:space="720" w:num="1"/>
          <w:docGrid w:type="linesAndChars" w:linePitch="312" w:charSpace="0"/>
        </w:sectPr>
      </w:pPr>
    </w:p>
    <w:p w14:paraId="63557FA2">
      <w:pPr>
        <w:adjustRightInd w:val="0"/>
        <w:snapToGrid w:val="0"/>
        <w:spacing w:line="360" w:lineRule="auto"/>
        <w:jc w:val="center"/>
        <w:rPr>
          <w:sz w:val="44"/>
          <w:szCs w:val="44"/>
        </w:rPr>
      </w:pPr>
    </w:p>
    <w:p w14:paraId="53C25427">
      <w:pPr>
        <w:adjustRightInd w:val="0"/>
        <w:snapToGrid w:val="0"/>
        <w:spacing w:line="360" w:lineRule="auto"/>
        <w:jc w:val="center"/>
        <w:outlineLvl w:val="0"/>
        <w:rPr>
          <w:sz w:val="44"/>
          <w:szCs w:val="44"/>
        </w:rPr>
      </w:pPr>
      <w:bookmarkStart w:id="2" w:name="_Toc5315"/>
      <w:bookmarkStart w:id="3" w:name="_Toc9537"/>
      <w:r>
        <w:rPr>
          <w:sz w:val="44"/>
          <w:szCs w:val="44"/>
        </w:rPr>
        <w:t>毕业设计（论文）独创性声明</w:t>
      </w:r>
      <w:bookmarkEnd w:id="2"/>
      <w:bookmarkEnd w:id="3"/>
    </w:p>
    <w:p w14:paraId="1FA0329F">
      <w:pPr>
        <w:adjustRightInd w:val="0"/>
        <w:snapToGrid w:val="0"/>
        <w:spacing w:line="360" w:lineRule="auto"/>
        <w:ind w:firstLine="467" w:firstLineChars="167"/>
        <w:jc w:val="center"/>
        <w:rPr>
          <w:sz w:val="28"/>
          <w:szCs w:val="28"/>
        </w:rPr>
      </w:pPr>
    </w:p>
    <w:p w14:paraId="63C970B2">
      <w:pPr>
        <w:adjustRightInd w:val="0"/>
        <w:snapToGrid w:val="0"/>
        <w:spacing w:line="360" w:lineRule="auto"/>
        <w:ind w:firstLine="560" w:firstLineChars="200"/>
        <w:rPr>
          <w:sz w:val="28"/>
          <w:szCs w:val="28"/>
        </w:rPr>
      </w:pPr>
      <w:r>
        <w:rPr>
          <w:sz w:val="28"/>
          <w:szCs w:val="28"/>
        </w:rPr>
        <w:t>本人所呈交的毕业论文是在指导教师指导下进行的工作及取得的成果。除文中已经注明的内容外，本论文不包含其他个人已经发表或撰写过的研究成果。对本文的研究做出重要贡献的个人和集体，均已在文中作了明确说明并表示谢意。</w:t>
      </w:r>
    </w:p>
    <w:p w14:paraId="418D7208">
      <w:pPr>
        <w:adjustRightInd w:val="0"/>
        <w:snapToGrid w:val="0"/>
        <w:spacing w:line="360" w:lineRule="auto"/>
        <w:ind w:left="5250" w:leftChars="2500"/>
        <w:jc w:val="left"/>
        <w:rPr>
          <w:sz w:val="28"/>
          <w:szCs w:val="28"/>
        </w:rPr>
      </w:pPr>
    </w:p>
    <w:p w14:paraId="3606B0FE">
      <w:pPr>
        <w:adjustRightInd w:val="0"/>
        <w:snapToGrid w:val="0"/>
        <w:spacing w:line="360" w:lineRule="auto"/>
        <w:ind w:left="5250" w:leftChars="2500"/>
        <w:jc w:val="left"/>
        <w:rPr>
          <w:sz w:val="28"/>
          <w:szCs w:val="28"/>
        </w:rPr>
      </w:pPr>
    </w:p>
    <w:p w14:paraId="2BEE7323">
      <w:pPr>
        <w:adjustRightInd w:val="0"/>
        <w:snapToGrid w:val="0"/>
        <w:spacing w:line="360" w:lineRule="auto"/>
        <w:ind w:left="5250" w:leftChars="2500"/>
        <w:jc w:val="left"/>
        <w:rPr>
          <w:sz w:val="28"/>
          <w:szCs w:val="28"/>
        </w:rPr>
      </w:pPr>
    </w:p>
    <w:p w14:paraId="1D460597">
      <w:pPr>
        <w:adjustRightInd w:val="0"/>
        <w:snapToGrid w:val="0"/>
        <w:spacing w:line="360" w:lineRule="auto"/>
        <w:ind w:left="5250" w:leftChars="2500"/>
        <w:jc w:val="left"/>
        <w:rPr>
          <w:sz w:val="28"/>
          <w:szCs w:val="28"/>
        </w:rPr>
      </w:pPr>
    </w:p>
    <w:p w14:paraId="5F63307D">
      <w:pPr>
        <w:adjustRightInd w:val="0"/>
        <w:snapToGrid w:val="0"/>
        <w:spacing w:line="360" w:lineRule="auto"/>
        <w:ind w:left="5250" w:leftChars="2500"/>
        <w:jc w:val="left"/>
        <w:rPr>
          <w:sz w:val="28"/>
          <w:szCs w:val="28"/>
        </w:rPr>
      </w:pPr>
    </w:p>
    <w:p w14:paraId="74A679D3">
      <w:pPr>
        <w:adjustRightInd w:val="0"/>
        <w:snapToGrid w:val="0"/>
        <w:spacing w:line="360" w:lineRule="auto"/>
        <w:ind w:left="5250" w:leftChars="2500"/>
        <w:jc w:val="left"/>
        <w:rPr>
          <w:sz w:val="28"/>
          <w:szCs w:val="28"/>
        </w:rPr>
      </w:pPr>
    </w:p>
    <w:p w14:paraId="02601684">
      <w:pPr>
        <w:adjustRightInd w:val="0"/>
        <w:snapToGrid w:val="0"/>
        <w:spacing w:line="360" w:lineRule="auto"/>
        <w:ind w:left="5250" w:leftChars="2500"/>
        <w:jc w:val="left"/>
        <w:rPr>
          <w:sz w:val="28"/>
          <w:szCs w:val="28"/>
        </w:rPr>
      </w:pPr>
      <w:r>
        <w:rPr>
          <w:sz w:val="28"/>
          <w:szCs w:val="28"/>
        </w:rPr>
        <w:t>作者签名：</w:t>
      </w:r>
    </w:p>
    <w:p w14:paraId="3CEDF273">
      <w:pPr>
        <w:adjustRightInd w:val="0"/>
        <w:snapToGrid w:val="0"/>
        <w:spacing w:line="360" w:lineRule="auto"/>
        <w:ind w:left="5250" w:leftChars="2500"/>
        <w:jc w:val="left"/>
        <w:rPr>
          <w:sz w:val="28"/>
          <w:szCs w:val="28"/>
        </w:rPr>
      </w:pPr>
      <w:r>
        <w:rPr>
          <w:sz w:val="28"/>
          <w:szCs w:val="28"/>
        </w:rPr>
        <w:t>日    期：</w:t>
      </w:r>
    </w:p>
    <w:p w14:paraId="53AFBAF2">
      <w:pPr>
        <w:jc w:val="left"/>
        <w:rPr>
          <w:color w:val="0000FF"/>
          <w:sz w:val="24"/>
          <w:szCs w:val="24"/>
        </w:rPr>
        <w:sectPr>
          <w:footerReference r:id="rId9" w:type="default"/>
          <w:footerReference r:id="rId10" w:type="even"/>
          <w:pgSz w:w="11906" w:h="16838"/>
          <w:pgMar w:top="1588" w:right="1247" w:bottom="1361" w:left="1418" w:header="851" w:footer="907" w:gutter="0"/>
          <w:pgNumType w:fmt="upperRoman" w:start="1"/>
          <w:cols w:space="720" w:num="1"/>
          <w:docGrid w:type="linesAndChars" w:linePitch="312" w:charSpace="0"/>
        </w:sectPr>
      </w:pPr>
      <w:r>
        <w:rPr>
          <w:bCs/>
          <w:color w:val="000000"/>
          <w:sz w:val="28"/>
          <w:szCs w:val="28"/>
        </w:rPr>
        <w:pict>
          <v:shape id="_x0000_s1070" o:spid="_x0000_s1070" o:spt="61" type="#_x0000_t61" style="position:absolute;left:0pt;margin-left:179.65pt;margin-top:125.35pt;height:25.45pt;width:154.95pt;z-index:251667456;mso-width-relative:page;mso-height-relative:page;" fillcolor="#FFFFFF" filled="t" stroked="t" coordsize="21600,21600" adj="-10837,76428">
            <v:path/>
            <v:fill on="t" focussize="0,0"/>
            <v:stroke/>
            <v:imagedata o:title=""/>
            <o:lock v:ext="edit" aspectratio="f"/>
            <v:textbox>
              <w:txbxContent>
                <w:p w14:paraId="18EFD531">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79F0113F">
      <w:pPr>
        <w:spacing w:line="300" w:lineRule="auto"/>
        <w:jc w:val="center"/>
        <w:rPr>
          <w:b/>
          <w:bCs/>
          <w:sz w:val="36"/>
        </w:rPr>
      </w:pPr>
      <w:r>
        <w:rPr>
          <w:b/>
          <w:bCs/>
          <w:sz w:val="36"/>
        </w:rPr>
        <w:t>上海应用技术大学毕业设计（论文）任务书</w:t>
      </w:r>
    </w:p>
    <w:tbl>
      <w:tblPr>
        <w:tblStyle w:val="20"/>
        <w:tblW w:w="96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923"/>
      </w:tblGrid>
      <w:tr w14:paraId="16E57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46250D0F">
            <w:pPr>
              <w:pStyle w:val="7"/>
              <w:spacing w:line="300" w:lineRule="auto"/>
              <w:rPr>
                <w:sz w:val="24"/>
              </w:rPr>
            </w:pPr>
            <w:r>
              <w:rPr>
                <w:sz w:val="24"/>
              </w:rPr>
              <w:t xml:space="preserve">题目：  </w:t>
            </w:r>
            <w:r>
              <w:rPr>
                <w:sz w:val="24"/>
              </w:rPr>
              <w:fldChar w:fldCharType="begin"/>
            </w:r>
            <w:r>
              <w:rPr>
                <w:sz w:val="24"/>
              </w:rPr>
              <w:instrText xml:space="preserve"> HYPERLINK "JavaScript:showArticle('2336385e-e532-4bc6-ae42-2a8a32c59484')" </w:instrText>
            </w:r>
            <w:r>
              <w:rPr>
                <w:sz w:val="24"/>
              </w:rPr>
              <w:fldChar w:fldCharType="separate"/>
            </w:r>
            <w:r>
              <w:rPr>
                <w:rStyle w:val="23"/>
                <w:sz w:val="24"/>
              </w:rPr>
              <w:t>JavaScript:showArticle('2336385e-e532-4bc6-ae42-2a8a32c59484')</w:t>
            </w:r>
            <w:r>
              <w:rPr>
                <w:sz w:val="24"/>
              </w:rPr>
              <w:fldChar w:fldCharType="end"/>
            </w:r>
            <w:r>
              <w:rPr>
                <w:sz w:val="24"/>
              </w:rPr>
              <w:t xml:space="preserve">   </w:t>
            </w:r>
          </w:p>
        </w:tc>
      </w:tr>
      <w:tr w14:paraId="6C7A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top"/>
          </w:tcPr>
          <w:p w14:paraId="6AE045B2">
            <w:pPr>
              <w:pStyle w:val="7"/>
              <w:spacing w:line="300" w:lineRule="auto"/>
              <w:rPr>
                <w:sz w:val="24"/>
              </w:rPr>
            </w:pPr>
            <w:r>
              <w:rPr>
                <w:sz w:val="24"/>
              </w:rPr>
              <w:t>学生姓名：          学号：                   专业：</w:t>
            </w:r>
          </w:p>
        </w:tc>
      </w:tr>
      <w:tr w14:paraId="1A2A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0443C369">
            <w:pPr>
              <w:pStyle w:val="7"/>
              <w:spacing w:line="300" w:lineRule="auto"/>
              <w:rPr>
                <w:sz w:val="24"/>
              </w:rPr>
            </w:pPr>
            <w:r>
              <w:rPr>
                <w:sz w:val="24"/>
              </w:rPr>
              <w:t xml:space="preserve">任务起止日期：     </w:t>
            </w:r>
          </w:p>
        </w:tc>
      </w:tr>
      <w:tr w14:paraId="49F4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2" w:hRule="atLeast"/>
        </w:trPr>
        <w:tc>
          <w:tcPr>
            <w:tcW w:w="9648" w:type="dxa"/>
            <w:gridSpan w:val="2"/>
            <w:noWrap w:val="0"/>
            <w:vAlign w:val="top"/>
          </w:tcPr>
          <w:p w14:paraId="502C0934">
            <w:pPr>
              <w:pStyle w:val="7"/>
              <w:numPr>
                <w:ilvl w:val="0"/>
                <w:numId w:val="1"/>
              </w:numPr>
              <w:spacing w:after="0" w:line="300" w:lineRule="auto"/>
              <w:rPr>
                <w:sz w:val="24"/>
              </w:rPr>
            </w:pPr>
            <w:r>
              <w:rPr>
                <w:sz w:val="24"/>
              </w:rPr>
              <w:t>课题的任务内容：</w:t>
            </w:r>
          </w:p>
          <w:p w14:paraId="656A43E1">
            <w:pPr>
              <w:widowControl/>
              <w:adjustRightInd w:val="0"/>
              <w:snapToGrid w:val="0"/>
              <w:spacing w:line="300" w:lineRule="auto"/>
              <w:ind w:firstLine="480" w:firstLineChars="200"/>
              <w:rPr>
                <w:sz w:val="24"/>
                <w:szCs w:val="28"/>
              </w:rPr>
            </w:pPr>
          </w:p>
        </w:tc>
      </w:tr>
      <w:tr w14:paraId="2BCB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trPr>
        <w:tc>
          <w:tcPr>
            <w:tcW w:w="9648" w:type="dxa"/>
            <w:gridSpan w:val="2"/>
            <w:noWrap w:val="0"/>
            <w:vAlign w:val="top"/>
          </w:tcPr>
          <w:p w14:paraId="66DB9E56">
            <w:pPr>
              <w:pStyle w:val="7"/>
              <w:spacing w:line="300" w:lineRule="auto"/>
              <w:rPr>
                <w:sz w:val="24"/>
              </w:rPr>
            </w:pPr>
            <w:r>
              <w:rPr>
                <w:sz w:val="24"/>
              </w:rPr>
              <w:t>二、原始条件及数据：</w:t>
            </w:r>
          </w:p>
          <w:p w14:paraId="3F3BA359">
            <w:pPr>
              <w:pStyle w:val="7"/>
              <w:spacing w:line="300" w:lineRule="auto"/>
              <w:rPr>
                <w:sz w:val="24"/>
              </w:rPr>
            </w:pPr>
          </w:p>
        </w:tc>
      </w:tr>
      <w:tr w14:paraId="086C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1" w:hRule="atLeast"/>
        </w:trPr>
        <w:tc>
          <w:tcPr>
            <w:tcW w:w="9648" w:type="dxa"/>
            <w:gridSpan w:val="2"/>
            <w:noWrap w:val="0"/>
            <w:vAlign w:val="top"/>
          </w:tcPr>
          <w:p w14:paraId="466040F4">
            <w:pPr>
              <w:pStyle w:val="7"/>
              <w:spacing w:line="300" w:lineRule="auto"/>
              <w:rPr>
                <w:sz w:val="24"/>
              </w:rPr>
            </w:pPr>
            <w:r>
              <w:rPr>
                <w:sz w:val="24"/>
              </w:rPr>
              <w:t>三、设计的技术要求（论文的研究要求）：</w:t>
            </w:r>
          </w:p>
          <w:p w14:paraId="20137FC8">
            <w:pPr>
              <w:spacing w:line="300" w:lineRule="auto"/>
              <w:rPr>
                <w:sz w:val="24"/>
              </w:rPr>
            </w:pPr>
          </w:p>
        </w:tc>
      </w:tr>
      <w:tr w14:paraId="3110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5" w:hRule="atLeast"/>
        </w:trPr>
        <w:tc>
          <w:tcPr>
            <w:tcW w:w="9648" w:type="dxa"/>
            <w:gridSpan w:val="2"/>
            <w:tcBorders>
              <w:bottom w:val="single" w:color="auto" w:sz="4" w:space="0"/>
            </w:tcBorders>
            <w:noWrap w:val="0"/>
            <w:vAlign w:val="top"/>
          </w:tcPr>
          <w:p w14:paraId="63AD3B0B">
            <w:pPr>
              <w:pStyle w:val="7"/>
              <w:spacing w:line="300" w:lineRule="auto"/>
              <w:rPr>
                <w:sz w:val="24"/>
              </w:rPr>
            </w:pPr>
            <w:r>
              <w:rPr>
                <w:sz w:val="24"/>
              </w:rPr>
              <w:t>四、毕业设计（论文）应完成的具体工作：</w:t>
            </w:r>
          </w:p>
          <w:p w14:paraId="67C0D475">
            <w:pPr>
              <w:pStyle w:val="7"/>
              <w:spacing w:line="300" w:lineRule="auto"/>
              <w:rPr>
                <w:sz w:val="24"/>
              </w:rPr>
            </w:pPr>
          </w:p>
          <w:p w14:paraId="2FF4AD5B">
            <w:pPr>
              <w:pStyle w:val="7"/>
              <w:spacing w:line="300" w:lineRule="auto"/>
              <w:rPr>
                <w:sz w:val="24"/>
              </w:rPr>
            </w:pPr>
          </w:p>
          <w:p w14:paraId="2B33A951">
            <w:pPr>
              <w:pStyle w:val="7"/>
              <w:spacing w:line="300" w:lineRule="auto"/>
              <w:rPr>
                <w:sz w:val="24"/>
              </w:rPr>
            </w:pPr>
          </w:p>
          <w:p w14:paraId="40AD07EA">
            <w:pPr>
              <w:pStyle w:val="7"/>
              <w:spacing w:line="300" w:lineRule="auto"/>
              <w:rPr>
                <w:sz w:val="24"/>
              </w:rPr>
            </w:pPr>
          </w:p>
          <w:p w14:paraId="4D348955">
            <w:pPr>
              <w:pStyle w:val="7"/>
              <w:spacing w:line="300" w:lineRule="auto"/>
              <w:rPr>
                <w:sz w:val="24"/>
              </w:rPr>
            </w:pPr>
            <w:r>
              <w:rPr>
                <w:sz w:val="24"/>
              </w:rPr>
              <w:t>软硬件名称、内容及主要的技术指标（可按以下类型选择）：</w:t>
            </w:r>
          </w:p>
        </w:tc>
      </w:tr>
      <w:tr w14:paraId="010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EFCC894">
            <w:pPr>
              <w:pStyle w:val="7"/>
              <w:spacing w:line="300" w:lineRule="auto"/>
              <w:ind w:firstLine="120" w:firstLineChars="50"/>
              <w:rPr>
                <w:sz w:val="24"/>
              </w:rPr>
            </w:pPr>
            <w:r>
              <w:rPr>
                <w:sz w:val="24"/>
              </w:rPr>
              <w:t>计算机软件</w:t>
            </w:r>
          </w:p>
        </w:tc>
        <w:tc>
          <w:tcPr>
            <w:tcW w:w="7923" w:type="dxa"/>
            <w:noWrap w:val="0"/>
            <w:vAlign w:val="top"/>
          </w:tcPr>
          <w:p w14:paraId="0B318733">
            <w:pPr>
              <w:pStyle w:val="7"/>
              <w:spacing w:line="300" w:lineRule="auto"/>
              <w:ind w:left="7512"/>
              <w:rPr>
                <w:sz w:val="24"/>
              </w:rPr>
            </w:pPr>
          </w:p>
        </w:tc>
      </w:tr>
      <w:tr w14:paraId="18CE4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A43914B">
            <w:pPr>
              <w:pStyle w:val="7"/>
              <w:spacing w:line="300" w:lineRule="auto"/>
              <w:ind w:firstLine="120" w:firstLineChars="50"/>
              <w:rPr>
                <w:sz w:val="24"/>
              </w:rPr>
            </w:pPr>
            <w:r>
              <w:rPr>
                <w:sz w:val="24"/>
              </w:rPr>
              <w:t>图      纸</w:t>
            </w:r>
          </w:p>
        </w:tc>
        <w:tc>
          <w:tcPr>
            <w:tcW w:w="7923" w:type="dxa"/>
            <w:noWrap w:val="0"/>
            <w:vAlign w:val="top"/>
          </w:tcPr>
          <w:p w14:paraId="783B434F">
            <w:pPr>
              <w:pStyle w:val="7"/>
              <w:spacing w:line="300" w:lineRule="auto"/>
              <w:ind w:left="7392"/>
              <w:rPr>
                <w:sz w:val="24"/>
              </w:rPr>
            </w:pPr>
          </w:p>
        </w:tc>
      </w:tr>
      <w:tr w14:paraId="4EBE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4BE2A2D">
            <w:pPr>
              <w:pStyle w:val="7"/>
              <w:spacing w:line="300" w:lineRule="auto"/>
              <w:ind w:firstLine="120" w:firstLineChars="50"/>
              <w:rPr>
                <w:sz w:val="24"/>
              </w:rPr>
            </w:pPr>
            <w:r>
              <w:rPr>
                <w:sz w:val="24"/>
              </w:rPr>
              <w:t>电  路  板</w:t>
            </w:r>
          </w:p>
        </w:tc>
        <w:tc>
          <w:tcPr>
            <w:tcW w:w="7923" w:type="dxa"/>
            <w:noWrap w:val="0"/>
            <w:vAlign w:val="top"/>
          </w:tcPr>
          <w:p w14:paraId="7101D334">
            <w:pPr>
              <w:pStyle w:val="7"/>
              <w:spacing w:line="300" w:lineRule="auto"/>
              <w:ind w:left="7632"/>
              <w:rPr>
                <w:sz w:val="24"/>
              </w:rPr>
            </w:pPr>
          </w:p>
        </w:tc>
      </w:tr>
      <w:tr w14:paraId="2F7238A7">
        <w:tblPrEx>
          <w:tblCellMar>
            <w:top w:w="0" w:type="dxa"/>
            <w:left w:w="108" w:type="dxa"/>
            <w:bottom w:w="0" w:type="dxa"/>
            <w:right w:w="108" w:type="dxa"/>
          </w:tblCellMar>
        </w:tblPrEx>
        <w:trPr>
          <w:trHeight w:val="465" w:hRule="atLeast"/>
        </w:trPr>
        <w:tc>
          <w:tcPr>
            <w:tcW w:w="1725" w:type="dxa"/>
            <w:noWrap w:val="0"/>
            <w:vAlign w:val="center"/>
          </w:tcPr>
          <w:p w14:paraId="318607D2">
            <w:pPr>
              <w:pStyle w:val="7"/>
              <w:spacing w:line="300" w:lineRule="auto"/>
              <w:ind w:firstLine="120" w:firstLineChars="50"/>
              <w:rPr>
                <w:sz w:val="24"/>
              </w:rPr>
            </w:pPr>
            <w:r>
              <w:rPr>
                <w:sz w:val="24"/>
              </w:rPr>
              <w:t>机</w:t>
            </w:r>
            <w:r>
              <w:rPr>
                <w:sz w:val="18"/>
                <w:szCs w:val="18"/>
              </w:rPr>
              <w:t xml:space="preserve"> </w:t>
            </w:r>
            <w:r>
              <w:rPr>
                <w:sz w:val="24"/>
              </w:rPr>
              <w:t>电</w:t>
            </w:r>
            <w:r>
              <w:rPr>
                <w:sz w:val="18"/>
                <w:szCs w:val="18"/>
              </w:rPr>
              <w:t xml:space="preserve"> </w:t>
            </w:r>
            <w:r>
              <w:rPr>
                <w:sz w:val="24"/>
              </w:rPr>
              <w:t>装</w:t>
            </w:r>
            <w:r>
              <w:rPr>
                <w:sz w:val="18"/>
                <w:szCs w:val="18"/>
              </w:rPr>
              <w:t xml:space="preserve"> </w:t>
            </w:r>
            <w:r>
              <w:rPr>
                <w:sz w:val="24"/>
              </w:rPr>
              <w:t>置</w:t>
            </w:r>
          </w:p>
        </w:tc>
        <w:tc>
          <w:tcPr>
            <w:tcW w:w="7923" w:type="dxa"/>
            <w:noWrap w:val="0"/>
            <w:vAlign w:val="top"/>
          </w:tcPr>
          <w:p w14:paraId="1D93871D">
            <w:pPr>
              <w:pStyle w:val="7"/>
              <w:spacing w:line="300" w:lineRule="auto"/>
              <w:rPr>
                <w:sz w:val="24"/>
              </w:rPr>
            </w:pPr>
          </w:p>
        </w:tc>
      </w:tr>
      <w:tr w14:paraId="6F87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5A6B5774">
            <w:pPr>
              <w:pStyle w:val="7"/>
              <w:spacing w:line="300" w:lineRule="auto"/>
              <w:ind w:firstLine="120" w:firstLineChars="50"/>
              <w:rPr>
                <w:sz w:val="24"/>
              </w:rPr>
            </w:pPr>
            <w:r>
              <w:rPr>
                <w:sz w:val="24"/>
              </w:rPr>
              <w:t>新材料制剂</w:t>
            </w:r>
          </w:p>
        </w:tc>
        <w:tc>
          <w:tcPr>
            <w:tcW w:w="7923" w:type="dxa"/>
            <w:noWrap w:val="0"/>
            <w:vAlign w:val="top"/>
          </w:tcPr>
          <w:p w14:paraId="2FCA58AA">
            <w:pPr>
              <w:pStyle w:val="7"/>
              <w:spacing w:line="300" w:lineRule="auto"/>
              <w:ind w:left="7392"/>
              <w:rPr>
                <w:sz w:val="24"/>
              </w:rPr>
            </w:pPr>
          </w:p>
        </w:tc>
      </w:tr>
      <w:tr w14:paraId="75143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1725" w:type="dxa"/>
            <w:noWrap w:val="0"/>
            <w:vAlign w:val="center"/>
          </w:tcPr>
          <w:p w14:paraId="7727056C">
            <w:pPr>
              <w:pStyle w:val="7"/>
              <w:spacing w:line="300" w:lineRule="auto"/>
              <w:ind w:firstLine="120" w:firstLineChars="50"/>
              <w:rPr>
                <w:sz w:val="24"/>
              </w:rPr>
            </w:pPr>
            <w:r>
              <w:rPr>
                <w:sz w:val="24"/>
              </w:rPr>
              <w:t>结</w:t>
            </w:r>
            <w:r>
              <w:rPr>
                <w:sz w:val="18"/>
                <w:szCs w:val="18"/>
              </w:rPr>
              <w:t xml:space="preserve"> </w:t>
            </w:r>
            <w:r>
              <w:rPr>
                <w:sz w:val="24"/>
              </w:rPr>
              <w:t>构</w:t>
            </w:r>
            <w:r>
              <w:rPr>
                <w:sz w:val="18"/>
                <w:szCs w:val="18"/>
              </w:rPr>
              <w:t xml:space="preserve"> </w:t>
            </w:r>
            <w:r>
              <w:rPr>
                <w:sz w:val="24"/>
              </w:rPr>
              <w:t>模</w:t>
            </w:r>
            <w:r>
              <w:rPr>
                <w:sz w:val="18"/>
                <w:szCs w:val="18"/>
              </w:rPr>
              <w:t xml:space="preserve"> </w:t>
            </w:r>
            <w:r>
              <w:rPr>
                <w:sz w:val="24"/>
              </w:rPr>
              <w:t>型</w:t>
            </w:r>
          </w:p>
        </w:tc>
        <w:tc>
          <w:tcPr>
            <w:tcW w:w="7923" w:type="dxa"/>
            <w:noWrap w:val="0"/>
            <w:vAlign w:val="top"/>
          </w:tcPr>
          <w:p w14:paraId="3C8412CC">
            <w:pPr>
              <w:pStyle w:val="7"/>
              <w:spacing w:line="300" w:lineRule="auto"/>
              <w:ind w:left="7392"/>
              <w:rPr>
                <w:sz w:val="24"/>
              </w:rPr>
            </w:pPr>
          </w:p>
        </w:tc>
      </w:tr>
      <w:tr w14:paraId="135F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70CDD4B">
            <w:pPr>
              <w:pStyle w:val="7"/>
              <w:spacing w:line="300" w:lineRule="auto"/>
              <w:ind w:firstLine="120" w:firstLineChars="50"/>
              <w:rPr>
                <w:sz w:val="24"/>
              </w:rPr>
            </w:pPr>
            <w:r>
              <w:rPr>
                <w:sz w:val="24"/>
              </w:rPr>
              <w:t>其      他</w:t>
            </w:r>
          </w:p>
        </w:tc>
        <w:tc>
          <w:tcPr>
            <w:tcW w:w="7923" w:type="dxa"/>
            <w:noWrap w:val="0"/>
            <w:vAlign w:val="top"/>
          </w:tcPr>
          <w:p w14:paraId="0F8162C3">
            <w:pPr>
              <w:pStyle w:val="7"/>
              <w:spacing w:line="300" w:lineRule="auto"/>
              <w:rPr>
                <w:sz w:val="24"/>
              </w:rPr>
            </w:pPr>
          </w:p>
        </w:tc>
      </w:tr>
      <w:tr w14:paraId="04BBD1F5">
        <w:tblPrEx>
          <w:tblCellMar>
            <w:top w:w="0" w:type="dxa"/>
            <w:left w:w="108" w:type="dxa"/>
            <w:bottom w:w="0" w:type="dxa"/>
            <w:right w:w="108" w:type="dxa"/>
          </w:tblCellMar>
        </w:tblPrEx>
        <w:trPr>
          <w:trHeight w:val="2945" w:hRule="atLeast"/>
        </w:trPr>
        <w:tc>
          <w:tcPr>
            <w:tcW w:w="9648" w:type="dxa"/>
            <w:gridSpan w:val="2"/>
            <w:noWrap w:val="0"/>
            <w:vAlign w:val="top"/>
          </w:tcPr>
          <w:p w14:paraId="1163EF83">
            <w:pPr>
              <w:spacing w:line="300" w:lineRule="auto"/>
              <w:rPr>
                <w:sz w:val="24"/>
              </w:rPr>
            </w:pPr>
            <w:r>
              <w:rPr>
                <w:sz w:val="24"/>
                <w:szCs w:val="28"/>
              </w:rPr>
              <w:t>五、</w:t>
            </w:r>
            <w:r>
              <w:rPr>
                <w:sz w:val="24"/>
              </w:rPr>
              <w:t>查阅文献要求及主要的参考文献：</w:t>
            </w:r>
          </w:p>
          <w:p w14:paraId="5D7BB1B4">
            <w:pPr>
              <w:spacing w:line="300" w:lineRule="auto"/>
              <w:rPr>
                <w:sz w:val="24"/>
              </w:rPr>
            </w:pPr>
          </w:p>
        </w:tc>
      </w:tr>
      <w:tr w14:paraId="5D83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9648" w:type="dxa"/>
            <w:gridSpan w:val="2"/>
            <w:noWrap w:val="0"/>
            <w:vAlign w:val="top"/>
          </w:tcPr>
          <w:p w14:paraId="0AB70E5C">
            <w:pPr>
              <w:spacing w:line="300" w:lineRule="auto"/>
              <w:rPr>
                <w:sz w:val="24"/>
                <w:szCs w:val="28"/>
              </w:rPr>
            </w:pPr>
            <w:r>
              <w:rPr>
                <w:sz w:val="24"/>
                <w:szCs w:val="28"/>
              </w:rPr>
              <w:t>六、进度安排：（设计或论文各阶段的要求，时间安排）：</w:t>
            </w:r>
          </w:p>
          <w:p w14:paraId="722DB6B5">
            <w:pPr>
              <w:tabs>
                <w:tab w:val="left" w:pos="540"/>
                <w:tab w:val="left" w:pos="840"/>
              </w:tabs>
              <w:spacing w:after="62" w:afterLines="20" w:line="276" w:lineRule="auto"/>
              <w:rPr>
                <w:sz w:val="24"/>
              </w:rPr>
            </w:pPr>
          </w:p>
        </w:tc>
      </w:tr>
      <w:tr w14:paraId="79FC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6" w:hRule="atLeast"/>
        </w:trPr>
        <w:tc>
          <w:tcPr>
            <w:tcW w:w="9648" w:type="dxa"/>
            <w:gridSpan w:val="2"/>
            <w:noWrap w:val="0"/>
            <w:vAlign w:val="top"/>
          </w:tcPr>
          <w:p w14:paraId="41F56B82">
            <w:pPr>
              <w:spacing w:line="300" w:lineRule="auto"/>
              <w:rPr>
                <w:sz w:val="24"/>
                <w:szCs w:val="18"/>
              </w:rPr>
            </w:pPr>
            <w:r>
              <w:rPr>
                <w:sz w:val="24"/>
                <w:szCs w:val="28"/>
              </w:rPr>
              <w:t xml:space="preserve">指导教师：陈丽琼 </w:t>
            </w:r>
            <w:r>
              <w:rPr>
                <w:sz w:val="24"/>
                <w:szCs w:val="28"/>
                <w:u w:val="single"/>
              </w:rPr>
              <w:t xml:space="preserve">                </w:t>
            </w:r>
            <w:r>
              <w:rPr>
                <w:sz w:val="24"/>
                <w:szCs w:val="28"/>
              </w:rPr>
              <w:t xml:space="preserve">                        年    月   日</w:t>
            </w:r>
            <w:r>
              <w:rPr>
                <w:sz w:val="24"/>
                <w:szCs w:val="18"/>
              </w:rPr>
              <w:t xml:space="preserve">  </w:t>
            </w:r>
          </w:p>
        </w:tc>
      </w:tr>
      <w:tr w14:paraId="2C82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648" w:type="dxa"/>
            <w:gridSpan w:val="2"/>
            <w:noWrap w:val="0"/>
            <w:vAlign w:val="top"/>
          </w:tcPr>
          <w:p w14:paraId="43E6E263">
            <w:pPr>
              <w:spacing w:line="300" w:lineRule="auto"/>
              <w:rPr>
                <w:sz w:val="24"/>
                <w:szCs w:val="18"/>
              </w:rPr>
            </w:pPr>
            <w:r>
              <w:rPr>
                <w:sz w:val="24"/>
                <w:szCs w:val="18"/>
              </w:rPr>
              <w:t xml:space="preserve">审核意见： </w:t>
            </w:r>
          </w:p>
          <w:p w14:paraId="2B7010F0">
            <w:pPr>
              <w:spacing w:line="300" w:lineRule="auto"/>
              <w:rPr>
                <w:sz w:val="24"/>
                <w:szCs w:val="18"/>
              </w:rPr>
            </w:pPr>
            <w:r>
              <w:rPr>
                <w:sz w:val="24"/>
                <w:szCs w:val="18"/>
              </w:rPr>
              <w:t xml:space="preserve">教研室主任： </w:t>
            </w:r>
            <w:r>
              <w:rPr>
                <w:sz w:val="24"/>
                <w:szCs w:val="18"/>
                <w:u w:val="single"/>
              </w:rPr>
              <w:t xml:space="preserve">            </w:t>
            </w:r>
            <w:r>
              <w:rPr>
                <w:sz w:val="24"/>
                <w:szCs w:val="18"/>
              </w:rPr>
              <w:t xml:space="preserve">                          年    月   日</w:t>
            </w:r>
          </w:p>
        </w:tc>
      </w:tr>
    </w:tbl>
    <w:p w14:paraId="7696CA56">
      <w:pPr>
        <w:spacing w:line="300" w:lineRule="auto"/>
      </w:pPr>
      <w:r>
        <w:rPr>
          <w:color w:val="0000FF"/>
          <w:sz w:val="24"/>
          <w:szCs w:val="24"/>
        </w:rPr>
        <w:pict>
          <v:shape id="_x0000_s1071" o:spid="_x0000_s1071" o:spt="61" type="#_x0000_t61" style="position:absolute;left:0pt;margin-left:191.65pt;margin-top:97.55pt;height:25.45pt;width:154.95pt;z-index:251668480;mso-width-relative:page;mso-height-relative:page;" fillcolor="#FFFFFF" filled="t" stroked="t" coordsize="21600,21600" adj="-10837,76428">
            <v:path/>
            <v:fill on="t" focussize="0,0"/>
            <v:stroke/>
            <v:imagedata o:title=""/>
            <o:lock v:ext="edit" aspectratio="f"/>
            <v:textbox>
              <w:txbxContent>
                <w:p w14:paraId="2E4F7B8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08582DA9">
      <w:pPr>
        <w:jc w:val="left"/>
        <w:rPr>
          <w:color w:val="0000FF"/>
          <w:sz w:val="24"/>
          <w:szCs w:val="24"/>
        </w:rPr>
        <w:sectPr>
          <w:pgSz w:w="11906" w:h="16838"/>
          <w:pgMar w:top="1588" w:right="1247" w:bottom="1361" w:left="1418" w:header="851" w:footer="907" w:gutter="0"/>
          <w:pgNumType w:fmt="upperRoman"/>
          <w:cols w:space="720" w:num="1"/>
          <w:docGrid w:type="linesAndChars" w:linePitch="312" w:charSpace="0"/>
        </w:sectPr>
      </w:pPr>
    </w:p>
    <w:p w14:paraId="27E55BC9">
      <w:pPr>
        <w:spacing w:before="312" w:beforeLines="100" w:after="312" w:afterLines="100" w:line="300" w:lineRule="auto"/>
        <w:jc w:val="center"/>
        <w:outlineLvl w:val="0"/>
        <w:rPr>
          <w:rFonts w:eastAsia="黑体"/>
          <w:b/>
          <w:sz w:val="36"/>
          <w:szCs w:val="36"/>
        </w:rPr>
      </w:pPr>
      <w:commentRangeStart w:id="0"/>
      <w:bookmarkStart w:id="4" w:name="_Toc31912"/>
      <w:bookmarkStart w:id="5" w:name="_Toc17029"/>
      <w:r>
        <w:rPr>
          <w:rFonts w:eastAsia="黑体"/>
          <w:b/>
          <w:sz w:val="36"/>
          <w:szCs w:val="36"/>
        </w:rPr>
        <w:t>毕业设计（论文）题目</w:t>
      </w:r>
      <w:commentRangeEnd w:id="0"/>
      <w:bookmarkEnd w:id="4"/>
      <w:r>
        <w:rPr>
          <w:rFonts w:eastAsia="黑体"/>
          <w:b/>
          <w:sz w:val="36"/>
          <w:szCs w:val="36"/>
        </w:rPr>
        <w:commentReference w:id="0"/>
      </w:r>
      <w:bookmarkEnd w:id="5"/>
    </w:p>
    <w:p w14:paraId="030B1A95">
      <w:pPr>
        <w:spacing w:line="300" w:lineRule="auto"/>
        <w:jc w:val="left"/>
        <w:rPr>
          <w:sz w:val="18"/>
        </w:rPr>
      </w:pPr>
      <w:r>
        <w:t>摘要：A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r>
        <w:br w:type="textWrapping"/>
      </w:r>
      <w:r>
        <w:br w:type="textWrapping"/>
      </w: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r>
        <w:br w:type="textWrapping"/>
      </w:r>
      <w:r>
        <w:br w:type="textWrapping"/>
      </w:r>
      <w:r>
        <w:t>本文表明：在日频方向不可预测的现实下，把有限的可预测性配置在"仓位刻度"这一更稳健的维度、并以数据驱动方式持续校准，是事件驱动情绪类策略更诚实、更可持续的工程化路径。</w:t>
      </w:r>
    </w:p>
    <w:p w14:paraId="2175C11B">
      <w:pPr>
        <w:spacing w:before="312" w:beforeLines="100" w:line="300" w:lineRule="auto"/>
        <w:jc w:val="left"/>
        <w:rPr>
          <w:sz w:val="24"/>
          <w:szCs w:val="24"/>
        </w:rPr>
      </w:pPr>
      <w:r>
        <w:t>关键词： A 股；市场广度；情绪周期；决策闭环；刻度校准；回测；StockSignal</w:t>
      </w:r>
    </w:p>
    <w:p w14:paraId="00B47FEF">
      <w:pPr>
        <w:pStyle w:val="7"/>
        <w:rPr>
          <w:sz w:val="24"/>
        </w:rPr>
      </w:pPr>
      <w:r>
        <w:rPr>
          <w:rFonts w:eastAsia="黑体"/>
          <w:b/>
          <w:bCs/>
          <w:color w:val="0000FF"/>
        </w:rPr>
        <w:pict>
          <v:shape id="_x0000_s1060" o:spid="_x0000_s1060" o:spt="61" type="#_x0000_t61" style="position:absolute;left:0pt;margin-left:182.85pt;margin-top:8.4pt;height:36.65pt;width:217.3pt;z-index:251663360;mso-width-relative:page;mso-height-relative:page;" fillcolor="#FFFFFF" filled="t" stroked="t" coordsize="21600,21600" adj="1208,-8309">
            <v:path/>
            <v:fill on="t" focussize="0,0"/>
            <v:stroke/>
            <v:imagedata o:title=""/>
            <o:lock v:ext="edit" aspectratio="f"/>
            <v:textbox>
              <w:txbxContent>
                <w:p w14:paraId="64B5B05C">
                  <w:r>
                    <w:rPr>
                      <w:rFonts w:hint="eastAsia" w:ascii="宋体" w:hAnsi="宋体" w:cs="宋体"/>
                      <w:color w:val="0000FF"/>
                      <w:sz w:val="24"/>
                      <w:szCs w:val="24"/>
                    </w:rPr>
                    <w:t>（内容用宋体小四号，含3~5个字或词组，间隔用分号，结束无标点符号。）</w:t>
                  </w:r>
                </w:p>
              </w:txbxContent>
            </v:textbox>
          </v:shape>
        </w:pict>
      </w:r>
    </w:p>
    <w:p w14:paraId="60628A7F">
      <w:pPr>
        <w:pStyle w:val="7"/>
        <w:rPr>
          <w:color w:val="0000FF"/>
          <w:sz w:val="24"/>
          <w:szCs w:val="24"/>
        </w:rPr>
      </w:pPr>
      <w:r>
        <w:rPr>
          <w:color w:val="0000FF"/>
          <w:sz w:val="24"/>
          <w:szCs w:val="24"/>
        </w:rPr>
        <w:t>（</w:t>
      </w:r>
      <w:r>
        <w:rPr>
          <w:rFonts w:eastAsia="楷体_GB2312"/>
          <w:color w:val="0000FF"/>
          <w:sz w:val="24"/>
          <w:szCs w:val="24"/>
        </w:rPr>
        <w:t>空二行）</w:t>
      </w:r>
    </w:p>
    <w:p w14:paraId="69D624C0">
      <w:pPr>
        <w:spacing w:after="312" w:afterLines="100" w:line="300" w:lineRule="auto"/>
        <w:jc w:val="center"/>
        <w:outlineLvl w:val="0"/>
        <w:rPr>
          <w:b/>
          <w:bCs/>
          <w:iCs/>
          <w:sz w:val="36"/>
          <w:szCs w:val="36"/>
        </w:rPr>
      </w:pPr>
      <w:commentRangeStart w:id="1"/>
      <w:bookmarkStart w:id="6" w:name="_Toc29023"/>
      <w:bookmarkStart w:id="7" w:name="_Toc1890"/>
      <w:r>
        <w:rPr>
          <w:b/>
          <w:bCs/>
          <w:iCs/>
          <w:sz w:val="36"/>
          <w:szCs w:val="36"/>
        </w:rPr>
        <w:t xml:space="preserve">Language Learning </w:t>
      </w:r>
      <w:commentRangeEnd w:id="1"/>
      <w:bookmarkEnd w:id="6"/>
      <w:r>
        <w:rPr>
          <w:b/>
          <w:sz w:val="36"/>
          <w:szCs w:val="36"/>
        </w:rPr>
        <w:commentReference w:id="1"/>
      </w:r>
      <w:bookmarkEnd w:id="7"/>
    </w:p>
    <w:p w14:paraId="6A1F2D15">
      <w:pPr>
        <w:spacing w:line="300" w:lineRule="auto"/>
        <w:rPr>
          <w:color w:val="FF0000"/>
          <w:sz w:val="18"/>
        </w:rPr>
      </w:pPr>
      <w:r>
        <w:t>Abstract: 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r>
        <w:br w:type="textWrapping"/>
      </w:r>
      <w:r>
        <w:br w:type="textWrapping"/>
      </w: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r>
        <w:br w:type="textWrapping"/>
      </w:r>
      <w:r>
        <w:br w:type="textWrapping"/>
      </w: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0A46CE2">
      <w:pPr>
        <w:spacing w:before="312" w:beforeLines="100" w:line="300" w:lineRule="auto"/>
        <w:jc w:val="left"/>
        <w:rPr>
          <w:sz w:val="24"/>
        </w:rPr>
      </w:pPr>
      <w:r>
        <w:t>KeyWords: A-share; market breadth; sentiment cycle; decision closed-loop; scale calibration; backtest; StockSignal</w:t>
      </w:r>
    </w:p>
    <w:p w14:paraId="42C820A3">
      <w:pPr>
        <w:pStyle w:val="7"/>
        <w:spacing w:line="300" w:lineRule="auto"/>
        <w:rPr>
          <w:sz w:val="24"/>
        </w:rPr>
      </w:pPr>
    </w:p>
    <w:p w14:paraId="2971CD2C">
      <w:pPr>
        <w:pStyle w:val="7"/>
        <w:spacing w:line="300" w:lineRule="auto"/>
        <w:rPr>
          <w:sz w:val="24"/>
        </w:rPr>
      </w:pPr>
      <w:r>
        <w:rPr>
          <w:rFonts w:eastAsia="黑体"/>
          <w:b/>
          <w:bCs/>
          <w:color w:val="0000FF"/>
        </w:rPr>
        <w:pict>
          <v:shape id="_x0000_s1062" o:spid="_x0000_s1062" o:spt="61" type="#_x0000_t61" style="position:absolute;left:0pt;margin-left:117.3pt;margin-top:24.25pt;height:45.2pt;width:246.1pt;z-index:251664384;mso-width-relative:page;mso-height-relative:page;" fillcolor="#FFFFFF" filled="t" stroked="t" coordsize="21600,21600" adj="1088,-9989">
            <v:path/>
            <v:fill on="t" focussize="0,0"/>
            <v:stroke/>
            <v:imagedata o:title=""/>
            <o:lock v:ext="edit" aspectratio="f"/>
            <v:textbox>
              <w:txbxContent>
                <w:p w14:paraId="4384F044">
                  <w:r>
                    <w:rPr>
                      <w:rFonts w:hint="eastAsia" w:ascii="宋体" w:hAnsi="宋体" w:cs="宋体"/>
                      <w:color w:val="0000FF"/>
                      <w:sz w:val="24"/>
                      <w:szCs w:val="24"/>
                    </w:rPr>
                    <w:t>内容用</w:t>
                  </w:r>
                  <w:r>
                    <w:rPr>
                      <w:color w:val="0000FF"/>
                      <w:sz w:val="24"/>
                      <w:szCs w:val="24"/>
                    </w:rPr>
                    <w:t>Times New Roman小四号</w:t>
                  </w:r>
                  <w:r>
                    <w:rPr>
                      <w:rFonts w:hint="eastAsia" w:ascii="宋体" w:hAnsi="宋体" w:cs="宋体"/>
                      <w:color w:val="0000FF"/>
                      <w:sz w:val="24"/>
                      <w:szCs w:val="24"/>
                    </w:rPr>
                    <w:t>，含3~5个字或词组，间隔用分号，结束无标点符号。</w:t>
                  </w:r>
                </w:p>
              </w:txbxContent>
            </v:textbox>
          </v:shape>
        </w:pict>
      </w:r>
    </w:p>
    <w:p w14:paraId="6B1869B0">
      <w:pPr>
        <w:pStyle w:val="7"/>
        <w:ind w:firstLine="560" w:firstLineChars="200"/>
        <w:rPr>
          <w:sz w:val="24"/>
        </w:rPr>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8" o:spid="_x0000_s1068" o:spt="61" type="#_x0000_t61" style="position:absolute;left:0pt;margin-left:168.3pt;margin-top:107.9pt;height:25.45pt;width:154.95pt;z-index:251665408;mso-width-relative:page;mso-height-relative:page;" fillcolor="#FFFFFF" filled="t" stroked="t" coordsize="21600,21600" adj="-10837,76428">
            <v:path/>
            <v:fill on="t" focussize="0,0"/>
            <v:stroke/>
            <v:imagedata o:title=""/>
            <o:lock v:ext="edit" aspectratio="f"/>
            <v:textbox>
              <w:txbxContent>
                <w:p w14:paraId="175E97C8">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613A7DEC">
      <w:pPr>
        <w:pStyle w:val="7"/>
        <w:spacing w:line="360" w:lineRule="auto"/>
        <w:jc w:val="center"/>
        <w:rPr>
          <w:rFonts w:ascii="Times New Roman" w:hAnsi="Times New Roman" w:eastAsia="宋体" w:cs="Times New Roman"/>
          <w:kern w:val="2"/>
          <w:sz w:val="24"/>
          <w:szCs w:val="24"/>
          <w:lang w:val="en-US" w:eastAsia="zh-CN" w:bidi="ar-SA"/>
        </w:rPr>
      </w:pPr>
      <w:commentRangeStart w:id="2"/>
      <w:r>
        <w:rPr>
          <w:rFonts w:eastAsia="黑体"/>
          <w:sz w:val="36"/>
          <w:szCs w:val="36"/>
        </w:rPr>
        <w:t>目  录</w:t>
      </w:r>
      <w:commentRangeEnd w:id="2"/>
      <w:r>
        <w:rPr>
          <w:rFonts w:eastAsia="黑体"/>
          <w:sz w:val="36"/>
          <w:szCs w:val="36"/>
        </w:rPr>
        <w:commentReference w:id="2"/>
      </w:r>
      <w:r>
        <w:rPr>
          <w:sz w:val="24"/>
          <w:szCs w:val="24"/>
        </w:rPr>
        <w:fldChar w:fldCharType="begin"/>
      </w:r>
      <w:r>
        <w:rPr>
          <w:sz w:val="24"/>
          <w:szCs w:val="24"/>
        </w:rPr>
        <w:instrText xml:space="preserve">TOC \o "1-3" \h \u </w:instrText>
      </w:r>
      <w:r>
        <w:rPr>
          <w:sz w:val="24"/>
          <w:szCs w:val="24"/>
        </w:rPr>
        <w:fldChar w:fldCharType="separate"/>
      </w:r>
    </w:p>
    <w:p w14:paraId="1B99B246">
      <w:pPr>
        <w:pStyle w:val="15"/>
        <w:tabs>
          <w:tab w:val="right" w:leader="dot" w:pos="9241"/>
          <w:tab w:val="clear" w:pos="8296"/>
        </w:tabs>
      </w:pPr>
      <w:r>
        <w:rPr>
          <w:szCs w:val="24"/>
        </w:rPr>
        <w:fldChar w:fldCharType="begin"/>
      </w:r>
      <w:r>
        <w:rPr>
          <w:szCs w:val="24"/>
        </w:rPr>
        <w:instrText xml:space="preserve"> HYPERLINK \l _Toc2071 </w:instrText>
      </w:r>
      <w:r>
        <w:rPr>
          <w:szCs w:val="24"/>
        </w:rPr>
        <w:fldChar w:fldCharType="separate"/>
      </w:r>
      <w:r>
        <w:rPr>
          <w:rFonts w:eastAsia="黑体"/>
          <w:bCs/>
          <w:spacing w:val="62"/>
          <w:kern w:val="84"/>
          <w:szCs w:val="72"/>
        </w:rPr>
        <w:t>本科毕业设计(论文)</w:t>
      </w:r>
      <w:r>
        <w:tab/>
      </w:r>
      <w:r>
        <w:fldChar w:fldCharType="begin"/>
      </w:r>
      <w:r>
        <w:instrText xml:space="preserve"> PAGEREF _Toc2071 \h </w:instrText>
      </w:r>
      <w:r>
        <w:fldChar w:fldCharType="separate"/>
      </w:r>
      <w:r>
        <w:t>I</w:t>
      </w:r>
      <w:r>
        <w:fldChar w:fldCharType="end"/>
      </w:r>
      <w:r>
        <w:rPr>
          <w:szCs w:val="24"/>
        </w:rPr>
        <w:fldChar w:fldCharType="end"/>
      </w:r>
    </w:p>
    <w:p w14:paraId="1A531372">
      <w:pPr>
        <w:pStyle w:val="15"/>
        <w:tabs>
          <w:tab w:val="right" w:leader="dot" w:pos="9241"/>
          <w:tab w:val="clear" w:pos="8296"/>
        </w:tabs>
      </w:pPr>
      <w:r>
        <w:rPr>
          <w:szCs w:val="24"/>
        </w:rPr>
        <w:fldChar w:fldCharType="begin"/>
      </w:r>
      <w:r>
        <w:rPr>
          <w:szCs w:val="24"/>
        </w:rPr>
        <w:instrText xml:space="preserve"> HYPERLINK \l _Toc9537 </w:instrText>
      </w:r>
      <w:r>
        <w:rPr>
          <w:szCs w:val="24"/>
        </w:rPr>
        <w:fldChar w:fldCharType="separate"/>
      </w:r>
      <w:r>
        <w:rPr>
          <w:szCs w:val="44"/>
        </w:rPr>
        <w:t>毕业设计（论文）独创性声明</w:t>
      </w:r>
      <w:r>
        <w:tab/>
      </w:r>
      <w:r>
        <w:fldChar w:fldCharType="begin"/>
      </w:r>
      <w:r>
        <w:instrText xml:space="preserve"> PAGEREF _Toc9537 \h </w:instrText>
      </w:r>
      <w:r>
        <w:fldChar w:fldCharType="separate"/>
      </w:r>
      <w:r>
        <w:t>I</w:t>
      </w:r>
      <w:r>
        <w:fldChar w:fldCharType="end"/>
      </w:r>
      <w:r>
        <w:rPr>
          <w:szCs w:val="24"/>
        </w:rPr>
        <w:fldChar w:fldCharType="end"/>
      </w:r>
    </w:p>
    <w:p w14:paraId="19D3F2EA">
      <w:pPr>
        <w:pStyle w:val="15"/>
        <w:tabs>
          <w:tab w:val="right" w:leader="dot" w:pos="9241"/>
          <w:tab w:val="clear" w:pos="8296"/>
        </w:tabs>
      </w:pPr>
      <w:r>
        <w:rPr>
          <w:szCs w:val="24"/>
        </w:rPr>
        <w:fldChar w:fldCharType="begin"/>
      </w:r>
      <w:r>
        <w:rPr>
          <w:szCs w:val="24"/>
        </w:rPr>
        <w:instrText xml:space="preserve"> HYPERLINK \l _Toc17029 </w:instrText>
      </w:r>
      <w:r>
        <w:rPr>
          <w:szCs w:val="24"/>
        </w:rPr>
        <w:fldChar w:fldCharType="separate"/>
      </w:r>
      <w:r>
        <w:rPr>
          <w:rFonts w:eastAsia="黑体"/>
          <w:szCs w:val="36"/>
        </w:rPr>
        <w:t>毕业设计（论文）题目</w:t>
      </w:r>
      <w:r>
        <w:tab/>
      </w:r>
      <w:r>
        <w:fldChar w:fldCharType="begin"/>
      </w:r>
      <w:r>
        <w:instrText xml:space="preserve"> PAGEREF _Toc17029 \h </w:instrText>
      </w:r>
      <w:r>
        <w:fldChar w:fldCharType="separate"/>
      </w:r>
      <w:r>
        <w:t>I</w:t>
      </w:r>
      <w:r>
        <w:fldChar w:fldCharType="end"/>
      </w:r>
      <w:r>
        <w:rPr>
          <w:szCs w:val="24"/>
        </w:rPr>
        <w:fldChar w:fldCharType="end"/>
      </w:r>
    </w:p>
    <w:p w14:paraId="4780DED5">
      <w:pPr>
        <w:pStyle w:val="15"/>
        <w:tabs>
          <w:tab w:val="right" w:leader="dot" w:pos="9241"/>
          <w:tab w:val="clear" w:pos="8296"/>
        </w:tabs>
      </w:pPr>
      <w:r>
        <w:rPr>
          <w:szCs w:val="24"/>
        </w:rPr>
        <w:fldChar w:fldCharType="begin"/>
      </w:r>
      <w:r>
        <w:rPr>
          <w:szCs w:val="24"/>
        </w:rPr>
        <w:instrText xml:space="preserve"> HYPERLINK \l _Toc1890 </w:instrText>
      </w:r>
      <w:r>
        <w:rPr>
          <w:szCs w:val="24"/>
        </w:rPr>
        <w:fldChar w:fldCharType="separate"/>
      </w:r>
      <w:r>
        <w:rPr>
          <w:bCs/>
          <w:iCs/>
          <w:szCs w:val="36"/>
        </w:rPr>
        <w:t xml:space="preserve">Language Learning </w:t>
      </w:r>
      <w:r>
        <w:tab/>
      </w:r>
      <w:r>
        <w:fldChar w:fldCharType="begin"/>
      </w:r>
      <w:r>
        <w:instrText xml:space="preserve"> PAGEREF _Toc1890 \h </w:instrText>
      </w:r>
      <w:r>
        <w:fldChar w:fldCharType="separate"/>
      </w:r>
      <w:r>
        <w:t>I</w:t>
      </w:r>
      <w:r>
        <w:fldChar w:fldCharType="end"/>
      </w:r>
      <w:r>
        <w:rPr>
          <w:szCs w:val="24"/>
        </w:rPr>
        <w:fldChar w:fldCharType="end"/>
      </w:r>
    </w:p>
    <w:p w14:paraId="2BBEDE76">
      <w:pPr>
        <w:pStyle w:val="16"/>
        <w:tabs>
          <w:tab w:val="right" w:leader="dot" w:pos="9241"/>
        </w:tabs>
      </w:pPr>
      <w:r>
        <w:rPr>
          <w:szCs w:val="24"/>
        </w:rPr>
        <w:fldChar w:fldCharType="begin"/>
      </w:r>
      <w:r>
        <w:rPr>
          <w:szCs w:val="24"/>
        </w:rPr>
        <w:instrText xml:space="preserve"> HYPERLINK \l _Toc12796 </w:instrText>
      </w:r>
      <w:r>
        <w:rPr>
          <w:szCs w:val="24"/>
        </w:rPr>
        <w:fldChar w:fldCharType="separate"/>
      </w:r>
      <w:r>
        <w:t>——StockSignal 平台的设计与实现</w:t>
      </w:r>
      <w:r>
        <w:tab/>
      </w:r>
      <w:r>
        <w:fldChar w:fldCharType="begin"/>
      </w:r>
      <w:r>
        <w:instrText xml:space="preserve"> PAGEREF _Toc12796 \h </w:instrText>
      </w:r>
      <w:r>
        <w:fldChar w:fldCharType="separate"/>
      </w:r>
      <w:r>
        <w:t>1</w:t>
      </w:r>
      <w:r>
        <w:fldChar w:fldCharType="end"/>
      </w:r>
      <w:r>
        <w:rPr>
          <w:szCs w:val="24"/>
        </w:rPr>
        <w:fldChar w:fldCharType="end"/>
      </w:r>
    </w:p>
    <w:p w14:paraId="538DEE97">
      <w:pPr>
        <w:pStyle w:val="15"/>
        <w:tabs>
          <w:tab w:val="right" w:leader="dot" w:pos="9241"/>
          <w:tab w:val="clear" w:pos="8296"/>
        </w:tabs>
      </w:pPr>
      <w:r>
        <w:rPr>
          <w:szCs w:val="24"/>
        </w:rPr>
        <w:fldChar w:fldCharType="begin"/>
      </w:r>
      <w:r>
        <w:rPr>
          <w:szCs w:val="24"/>
        </w:rPr>
        <w:instrText xml:space="preserve"> HYPERLINK \l _Toc6410 </w:instrText>
      </w:r>
      <w:r>
        <w:rPr>
          <w:szCs w:val="24"/>
        </w:rPr>
        <w:fldChar w:fldCharType="separate"/>
      </w:r>
      <w:r>
        <w:t>1 绪论</w:t>
      </w:r>
      <w:r>
        <w:tab/>
      </w:r>
      <w:r>
        <w:fldChar w:fldCharType="begin"/>
      </w:r>
      <w:r>
        <w:instrText xml:space="preserve"> PAGEREF _Toc6410 \h </w:instrText>
      </w:r>
      <w:r>
        <w:fldChar w:fldCharType="separate"/>
      </w:r>
      <w:r>
        <w:t>2</w:t>
      </w:r>
      <w:r>
        <w:fldChar w:fldCharType="end"/>
      </w:r>
      <w:r>
        <w:rPr>
          <w:szCs w:val="24"/>
        </w:rPr>
        <w:fldChar w:fldCharType="end"/>
      </w:r>
    </w:p>
    <w:p w14:paraId="6C5BBB8F">
      <w:pPr>
        <w:pStyle w:val="16"/>
        <w:tabs>
          <w:tab w:val="right" w:leader="dot" w:pos="9241"/>
        </w:tabs>
      </w:pPr>
      <w:r>
        <w:rPr>
          <w:szCs w:val="24"/>
        </w:rPr>
        <w:fldChar w:fldCharType="begin"/>
      </w:r>
      <w:r>
        <w:rPr>
          <w:szCs w:val="24"/>
        </w:rPr>
        <w:instrText xml:space="preserve"> HYPERLINK \l _Toc30719 </w:instrText>
      </w:r>
      <w:r>
        <w:rPr>
          <w:szCs w:val="24"/>
        </w:rPr>
        <w:fldChar w:fldCharType="separate"/>
      </w:r>
      <w:r>
        <w:t>1.1 研究背景与意义</w:t>
      </w:r>
      <w:r>
        <w:tab/>
      </w:r>
      <w:r>
        <w:fldChar w:fldCharType="begin"/>
      </w:r>
      <w:r>
        <w:instrText xml:space="preserve"> PAGEREF _Toc30719 \h </w:instrText>
      </w:r>
      <w:r>
        <w:fldChar w:fldCharType="separate"/>
      </w:r>
      <w:r>
        <w:t>2</w:t>
      </w:r>
      <w:r>
        <w:fldChar w:fldCharType="end"/>
      </w:r>
      <w:r>
        <w:rPr>
          <w:szCs w:val="24"/>
        </w:rPr>
        <w:fldChar w:fldCharType="end"/>
      </w:r>
    </w:p>
    <w:p w14:paraId="446F688D">
      <w:pPr>
        <w:pStyle w:val="16"/>
        <w:tabs>
          <w:tab w:val="right" w:leader="dot" w:pos="9241"/>
        </w:tabs>
      </w:pPr>
      <w:r>
        <w:rPr>
          <w:szCs w:val="24"/>
        </w:rPr>
        <w:fldChar w:fldCharType="begin"/>
      </w:r>
      <w:r>
        <w:rPr>
          <w:szCs w:val="24"/>
        </w:rPr>
        <w:instrText xml:space="preserve"> HYPERLINK \l _Toc1199 </w:instrText>
      </w:r>
      <w:r>
        <w:rPr>
          <w:szCs w:val="24"/>
        </w:rPr>
        <w:fldChar w:fldCharType="separate"/>
      </w:r>
      <w:r>
        <w:t>1.2 国内外研究现状</w:t>
      </w:r>
      <w:r>
        <w:tab/>
      </w:r>
      <w:r>
        <w:fldChar w:fldCharType="begin"/>
      </w:r>
      <w:r>
        <w:instrText xml:space="preserve"> PAGEREF _Toc1199 \h </w:instrText>
      </w:r>
      <w:r>
        <w:fldChar w:fldCharType="separate"/>
      </w:r>
      <w:r>
        <w:t>2</w:t>
      </w:r>
      <w:r>
        <w:fldChar w:fldCharType="end"/>
      </w:r>
      <w:r>
        <w:rPr>
          <w:szCs w:val="24"/>
        </w:rPr>
        <w:fldChar w:fldCharType="end"/>
      </w:r>
    </w:p>
    <w:p w14:paraId="39613BD4">
      <w:pPr>
        <w:pStyle w:val="16"/>
        <w:tabs>
          <w:tab w:val="right" w:leader="dot" w:pos="9241"/>
        </w:tabs>
      </w:pPr>
      <w:r>
        <w:rPr>
          <w:szCs w:val="24"/>
        </w:rPr>
        <w:fldChar w:fldCharType="begin"/>
      </w:r>
      <w:r>
        <w:rPr>
          <w:szCs w:val="24"/>
        </w:rPr>
        <w:instrText xml:space="preserve"> HYPERLINK \l _Toc28709 </w:instrText>
      </w:r>
      <w:r>
        <w:rPr>
          <w:szCs w:val="24"/>
        </w:rPr>
        <w:fldChar w:fldCharType="separate"/>
      </w:r>
      <w:r>
        <w:t>1.3 研究内容与创新点</w:t>
      </w:r>
      <w:r>
        <w:tab/>
      </w:r>
      <w:r>
        <w:fldChar w:fldCharType="begin"/>
      </w:r>
      <w:r>
        <w:instrText xml:space="preserve"> PAGEREF _Toc28709 \h </w:instrText>
      </w:r>
      <w:r>
        <w:fldChar w:fldCharType="separate"/>
      </w:r>
      <w:r>
        <w:t>3</w:t>
      </w:r>
      <w:r>
        <w:fldChar w:fldCharType="end"/>
      </w:r>
      <w:r>
        <w:rPr>
          <w:szCs w:val="24"/>
        </w:rPr>
        <w:fldChar w:fldCharType="end"/>
      </w:r>
    </w:p>
    <w:p w14:paraId="291467B7">
      <w:pPr>
        <w:pStyle w:val="16"/>
        <w:tabs>
          <w:tab w:val="right" w:leader="dot" w:pos="9241"/>
        </w:tabs>
      </w:pPr>
      <w:r>
        <w:rPr>
          <w:szCs w:val="24"/>
        </w:rPr>
        <w:fldChar w:fldCharType="begin"/>
      </w:r>
      <w:r>
        <w:rPr>
          <w:szCs w:val="24"/>
        </w:rPr>
        <w:instrText xml:space="preserve"> HYPERLINK \l _Toc3743 </w:instrText>
      </w:r>
      <w:r>
        <w:rPr>
          <w:szCs w:val="24"/>
        </w:rPr>
        <w:fldChar w:fldCharType="separate"/>
      </w:r>
      <w:r>
        <w:t>1.4 论文组织结构</w:t>
      </w:r>
      <w:r>
        <w:tab/>
      </w:r>
      <w:r>
        <w:fldChar w:fldCharType="begin"/>
      </w:r>
      <w:r>
        <w:instrText xml:space="preserve"> PAGEREF _Toc3743 \h </w:instrText>
      </w:r>
      <w:r>
        <w:fldChar w:fldCharType="separate"/>
      </w:r>
      <w:r>
        <w:t>3</w:t>
      </w:r>
      <w:r>
        <w:fldChar w:fldCharType="end"/>
      </w:r>
      <w:r>
        <w:rPr>
          <w:szCs w:val="24"/>
        </w:rPr>
        <w:fldChar w:fldCharType="end"/>
      </w:r>
    </w:p>
    <w:p w14:paraId="5D4816FB">
      <w:pPr>
        <w:pStyle w:val="15"/>
        <w:tabs>
          <w:tab w:val="right" w:leader="dot" w:pos="9241"/>
          <w:tab w:val="clear" w:pos="8296"/>
        </w:tabs>
      </w:pPr>
      <w:r>
        <w:rPr>
          <w:szCs w:val="24"/>
        </w:rPr>
        <w:fldChar w:fldCharType="begin"/>
      </w:r>
      <w:r>
        <w:rPr>
          <w:szCs w:val="24"/>
        </w:rPr>
        <w:instrText xml:space="preserve"> HYPERLINK \l _Toc4174 </w:instrText>
      </w:r>
      <w:r>
        <w:rPr>
          <w:szCs w:val="24"/>
        </w:rPr>
        <w:fldChar w:fldCharType="separate"/>
      </w:r>
      <w:r>
        <w:t>2 相关技术与理论基础</w:t>
      </w:r>
      <w:r>
        <w:tab/>
      </w:r>
      <w:r>
        <w:fldChar w:fldCharType="begin"/>
      </w:r>
      <w:r>
        <w:instrText xml:space="preserve"> PAGEREF _Toc4174 \h </w:instrText>
      </w:r>
      <w:r>
        <w:fldChar w:fldCharType="separate"/>
      </w:r>
      <w:r>
        <w:t>4</w:t>
      </w:r>
      <w:r>
        <w:fldChar w:fldCharType="end"/>
      </w:r>
      <w:r>
        <w:rPr>
          <w:szCs w:val="24"/>
        </w:rPr>
        <w:fldChar w:fldCharType="end"/>
      </w:r>
    </w:p>
    <w:p w14:paraId="2AFFAC4D">
      <w:pPr>
        <w:pStyle w:val="16"/>
        <w:tabs>
          <w:tab w:val="right" w:leader="dot" w:pos="9241"/>
        </w:tabs>
      </w:pPr>
      <w:r>
        <w:rPr>
          <w:szCs w:val="24"/>
        </w:rPr>
        <w:fldChar w:fldCharType="begin"/>
      </w:r>
      <w:r>
        <w:rPr>
          <w:szCs w:val="24"/>
        </w:rPr>
        <w:instrText xml:space="preserve"> HYPERLINK \l _Toc13533 </w:instrText>
      </w:r>
      <w:r>
        <w:rPr>
          <w:szCs w:val="24"/>
        </w:rPr>
        <w:fldChar w:fldCharType="separate"/>
      </w:r>
      <w:r>
        <w:t>2.1 技术栈</w:t>
      </w:r>
      <w:r>
        <w:tab/>
      </w:r>
      <w:r>
        <w:fldChar w:fldCharType="begin"/>
      </w:r>
      <w:r>
        <w:instrText xml:space="preserve"> PAGEREF _Toc13533 \h </w:instrText>
      </w:r>
      <w:r>
        <w:fldChar w:fldCharType="separate"/>
      </w:r>
      <w:r>
        <w:t>4</w:t>
      </w:r>
      <w:r>
        <w:fldChar w:fldCharType="end"/>
      </w:r>
      <w:r>
        <w:rPr>
          <w:szCs w:val="24"/>
        </w:rPr>
        <w:fldChar w:fldCharType="end"/>
      </w:r>
    </w:p>
    <w:p w14:paraId="3DB16B88">
      <w:pPr>
        <w:pStyle w:val="16"/>
        <w:tabs>
          <w:tab w:val="right" w:leader="dot" w:pos="9241"/>
        </w:tabs>
      </w:pPr>
      <w:r>
        <w:rPr>
          <w:szCs w:val="24"/>
        </w:rPr>
        <w:fldChar w:fldCharType="begin"/>
      </w:r>
      <w:r>
        <w:rPr>
          <w:szCs w:val="24"/>
        </w:rPr>
        <w:instrText xml:space="preserve"> HYPERLINK \l _Toc18314 </w:instrText>
      </w:r>
      <w:r>
        <w:rPr>
          <w:szCs w:val="24"/>
        </w:rPr>
        <w:fldChar w:fldCharType="separate"/>
      </w:r>
      <w:r>
        <w:t>2.2 事件驱动架构（EDA）概念</w:t>
      </w:r>
      <w:r>
        <w:tab/>
      </w:r>
      <w:r>
        <w:fldChar w:fldCharType="begin"/>
      </w:r>
      <w:r>
        <w:instrText xml:space="preserve"> PAGEREF _Toc18314 \h </w:instrText>
      </w:r>
      <w:r>
        <w:fldChar w:fldCharType="separate"/>
      </w:r>
      <w:r>
        <w:t>4</w:t>
      </w:r>
      <w:r>
        <w:fldChar w:fldCharType="end"/>
      </w:r>
      <w:r>
        <w:rPr>
          <w:szCs w:val="24"/>
        </w:rPr>
        <w:fldChar w:fldCharType="end"/>
      </w:r>
    </w:p>
    <w:p w14:paraId="78914FC4">
      <w:pPr>
        <w:pStyle w:val="16"/>
        <w:tabs>
          <w:tab w:val="right" w:leader="dot" w:pos="9241"/>
        </w:tabs>
      </w:pPr>
      <w:r>
        <w:rPr>
          <w:szCs w:val="24"/>
        </w:rPr>
        <w:fldChar w:fldCharType="begin"/>
      </w:r>
      <w:r>
        <w:rPr>
          <w:szCs w:val="24"/>
        </w:rPr>
        <w:instrText xml:space="preserve"> HYPERLINK \l _Toc22252 </w:instrText>
      </w:r>
      <w:r>
        <w:rPr>
          <w:szCs w:val="24"/>
        </w:rPr>
        <w:fldChar w:fldCharType="separate"/>
      </w:r>
      <w:r>
        <w:t>2.3 回测与成本模型</w:t>
      </w:r>
      <w:r>
        <w:tab/>
      </w:r>
      <w:r>
        <w:fldChar w:fldCharType="begin"/>
      </w:r>
      <w:r>
        <w:instrText xml:space="preserve"> PAGEREF _Toc22252 \h </w:instrText>
      </w:r>
      <w:r>
        <w:fldChar w:fldCharType="separate"/>
      </w:r>
      <w:r>
        <w:t>4</w:t>
      </w:r>
      <w:r>
        <w:fldChar w:fldCharType="end"/>
      </w:r>
      <w:r>
        <w:rPr>
          <w:szCs w:val="24"/>
        </w:rPr>
        <w:fldChar w:fldCharType="end"/>
      </w:r>
    </w:p>
    <w:p w14:paraId="1A005898">
      <w:pPr>
        <w:pStyle w:val="16"/>
        <w:tabs>
          <w:tab w:val="right" w:leader="dot" w:pos="9241"/>
        </w:tabs>
      </w:pPr>
      <w:r>
        <w:rPr>
          <w:szCs w:val="24"/>
        </w:rPr>
        <w:fldChar w:fldCharType="begin"/>
      </w:r>
      <w:r>
        <w:rPr>
          <w:szCs w:val="24"/>
        </w:rPr>
        <w:instrText xml:space="preserve"> HYPERLINK \l _Toc14647 </w:instrText>
      </w:r>
      <w:r>
        <w:rPr>
          <w:szCs w:val="24"/>
        </w:rPr>
        <w:fldChar w:fldCharType="separate"/>
      </w:r>
      <w:r>
        <w:t>2.4 仓位决策与评价方法</w:t>
      </w:r>
      <w:r>
        <w:tab/>
      </w:r>
      <w:r>
        <w:fldChar w:fldCharType="begin"/>
      </w:r>
      <w:r>
        <w:instrText xml:space="preserve"> PAGEREF _Toc14647 \h </w:instrText>
      </w:r>
      <w:r>
        <w:fldChar w:fldCharType="separate"/>
      </w:r>
      <w:r>
        <w:t>5</w:t>
      </w:r>
      <w:r>
        <w:fldChar w:fldCharType="end"/>
      </w:r>
      <w:r>
        <w:rPr>
          <w:szCs w:val="24"/>
        </w:rPr>
        <w:fldChar w:fldCharType="end"/>
      </w:r>
    </w:p>
    <w:p w14:paraId="424D7131">
      <w:pPr>
        <w:pStyle w:val="16"/>
        <w:tabs>
          <w:tab w:val="right" w:leader="dot" w:pos="9241"/>
        </w:tabs>
      </w:pPr>
      <w:r>
        <w:rPr>
          <w:szCs w:val="24"/>
        </w:rPr>
        <w:fldChar w:fldCharType="begin"/>
      </w:r>
      <w:r>
        <w:rPr>
          <w:szCs w:val="24"/>
        </w:rPr>
        <w:instrText xml:space="preserve"> HYPERLINK \l _Toc27889 </w:instrText>
      </w:r>
      <w:r>
        <w:rPr>
          <w:szCs w:val="24"/>
        </w:rPr>
        <w:fldChar w:fldCharType="separate"/>
      </w:r>
      <w:r>
        <w:t>2.5 本章小结</w:t>
      </w:r>
      <w:r>
        <w:tab/>
      </w:r>
      <w:r>
        <w:fldChar w:fldCharType="begin"/>
      </w:r>
      <w:r>
        <w:instrText xml:space="preserve"> PAGEREF _Toc27889 \h </w:instrText>
      </w:r>
      <w:r>
        <w:fldChar w:fldCharType="separate"/>
      </w:r>
      <w:r>
        <w:t>5</w:t>
      </w:r>
      <w:r>
        <w:fldChar w:fldCharType="end"/>
      </w:r>
      <w:r>
        <w:rPr>
          <w:szCs w:val="24"/>
        </w:rPr>
        <w:fldChar w:fldCharType="end"/>
      </w:r>
    </w:p>
    <w:p w14:paraId="3149B36B">
      <w:pPr>
        <w:pStyle w:val="15"/>
        <w:tabs>
          <w:tab w:val="right" w:leader="dot" w:pos="9241"/>
          <w:tab w:val="clear" w:pos="8296"/>
        </w:tabs>
      </w:pPr>
      <w:r>
        <w:rPr>
          <w:szCs w:val="24"/>
        </w:rPr>
        <w:fldChar w:fldCharType="begin"/>
      </w:r>
      <w:r>
        <w:rPr>
          <w:szCs w:val="24"/>
        </w:rPr>
        <w:instrText xml:space="preserve"> HYPERLINK \l _Toc24102 </w:instrText>
      </w:r>
      <w:r>
        <w:rPr>
          <w:szCs w:val="24"/>
        </w:rPr>
        <w:fldChar w:fldCharType="separate"/>
      </w:r>
      <w:r>
        <w:t>3 系统需求分析与总体设计</w:t>
      </w:r>
      <w:r>
        <w:tab/>
      </w:r>
      <w:r>
        <w:fldChar w:fldCharType="begin"/>
      </w:r>
      <w:r>
        <w:instrText xml:space="preserve"> PAGEREF _Toc24102 \h </w:instrText>
      </w:r>
      <w:r>
        <w:fldChar w:fldCharType="separate"/>
      </w:r>
      <w:r>
        <w:t>5</w:t>
      </w:r>
      <w:r>
        <w:fldChar w:fldCharType="end"/>
      </w:r>
      <w:r>
        <w:rPr>
          <w:szCs w:val="24"/>
        </w:rPr>
        <w:fldChar w:fldCharType="end"/>
      </w:r>
    </w:p>
    <w:p w14:paraId="1ACE5390">
      <w:pPr>
        <w:pStyle w:val="16"/>
        <w:tabs>
          <w:tab w:val="right" w:leader="dot" w:pos="9241"/>
        </w:tabs>
      </w:pPr>
      <w:r>
        <w:rPr>
          <w:szCs w:val="24"/>
        </w:rPr>
        <w:fldChar w:fldCharType="begin"/>
      </w:r>
      <w:r>
        <w:rPr>
          <w:szCs w:val="24"/>
        </w:rPr>
        <w:instrText xml:space="preserve"> HYPERLINK \l _Toc20681 </w:instrText>
      </w:r>
      <w:r>
        <w:rPr>
          <w:szCs w:val="24"/>
        </w:rPr>
        <w:fldChar w:fldCharType="separate"/>
      </w:r>
      <w:r>
        <w:t>3.1 功能需求</w:t>
      </w:r>
      <w:r>
        <w:tab/>
      </w:r>
      <w:r>
        <w:fldChar w:fldCharType="begin"/>
      </w:r>
      <w:r>
        <w:instrText xml:space="preserve"> PAGEREF _Toc20681 \h </w:instrText>
      </w:r>
      <w:r>
        <w:fldChar w:fldCharType="separate"/>
      </w:r>
      <w:r>
        <w:t>5</w:t>
      </w:r>
      <w:r>
        <w:fldChar w:fldCharType="end"/>
      </w:r>
      <w:r>
        <w:rPr>
          <w:szCs w:val="24"/>
        </w:rPr>
        <w:fldChar w:fldCharType="end"/>
      </w:r>
    </w:p>
    <w:p w14:paraId="4915E462">
      <w:pPr>
        <w:pStyle w:val="16"/>
        <w:tabs>
          <w:tab w:val="right" w:leader="dot" w:pos="9241"/>
        </w:tabs>
      </w:pPr>
      <w:r>
        <w:rPr>
          <w:szCs w:val="24"/>
        </w:rPr>
        <w:fldChar w:fldCharType="begin"/>
      </w:r>
      <w:r>
        <w:rPr>
          <w:szCs w:val="24"/>
        </w:rPr>
        <w:instrText xml:space="preserve"> HYPERLINK \l _Toc9157 </w:instrText>
      </w:r>
      <w:r>
        <w:rPr>
          <w:szCs w:val="24"/>
        </w:rPr>
        <w:fldChar w:fldCharType="separate"/>
      </w:r>
      <w:r>
        <w:t>3.2 非功能需求</w:t>
      </w:r>
      <w:r>
        <w:tab/>
      </w:r>
      <w:r>
        <w:fldChar w:fldCharType="begin"/>
      </w:r>
      <w:r>
        <w:instrText xml:space="preserve"> PAGEREF _Toc9157 \h </w:instrText>
      </w:r>
      <w:r>
        <w:fldChar w:fldCharType="separate"/>
      </w:r>
      <w:r>
        <w:t>6</w:t>
      </w:r>
      <w:r>
        <w:fldChar w:fldCharType="end"/>
      </w:r>
      <w:r>
        <w:rPr>
          <w:szCs w:val="24"/>
        </w:rPr>
        <w:fldChar w:fldCharType="end"/>
      </w:r>
    </w:p>
    <w:p w14:paraId="554D5084">
      <w:pPr>
        <w:pStyle w:val="16"/>
        <w:tabs>
          <w:tab w:val="right" w:leader="dot" w:pos="9241"/>
        </w:tabs>
      </w:pPr>
      <w:r>
        <w:rPr>
          <w:szCs w:val="24"/>
        </w:rPr>
        <w:fldChar w:fldCharType="begin"/>
      </w:r>
      <w:r>
        <w:rPr>
          <w:szCs w:val="24"/>
        </w:rPr>
        <w:instrText xml:space="preserve"> HYPERLINK \l _Toc28947 </w:instrText>
      </w:r>
      <w:r>
        <w:rPr>
          <w:szCs w:val="24"/>
        </w:rPr>
        <w:fldChar w:fldCharType="separate"/>
      </w:r>
      <w:r>
        <w:t>3.3 总体架构</w:t>
      </w:r>
      <w:r>
        <w:tab/>
      </w:r>
      <w:r>
        <w:fldChar w:fldCharType="begin"/>
      </w:r>
      <w:r>
        <w:instrText xml:space="preserve"> PAGEREF _Toc28947 \h </w:instrText>
      </w:r>
      <w:r>
        <w:fldChar w:fldCharType="separate"/>
      </w:r>
      <w:r>
        <w:t>6</w:t>
      </w:r>
      <w:r>
        <w:fldChar w:fldCharType="end"/>
      </w:r>
      <w:r>
        <w:rPr>
          <w:szCs w:val="24"/>
        </w:rPr>
        <w:fldChar w:fldCharType="end"/>
      </w:r>
    </w:p>
    <w:p w14:paraId="63A02CB9">
      <w:pPr>
        <w:pStyle w:val="16"/>
        <w:tabs>
          <w:tab w:val="right" w:leader="dot" w:pos="9241"/>
        </w:tabs>
      </w:pPr>
      <w:r>
        <w:rPr>
          <w:szCs w:val="24"/>
        </w:rPr>
        <w:fldChar w:fldCharType="begin"/>
      </w:r>
      <w:r>
        <w:rPr>
          <w:szCs w:val="24"/>
        </w:rPr>
        <w:instrText xml:space="preserve"> HYPERLINK \l _Toc8598 </w:instrText>
      </w:r>
      <w:r>
        <w:rPr>
          <w:szCs w:val="24"/>
        </w:rPr>
        <w:fldChar w:fldCharType="separate"/>
      </w:r>
      <w:r>
        <w:t>3.4 数据库设计</w:t>
      </w:r>
      <w:r>
        <w:tab/>
      </w:r>
      <w:r>
        <w:fldChar w:fldCharType="begin"/>
      </w:r>
      <w:r>
        <w:instrText xml:space="preserve"> PAGEREF _Toc8598 \h </w:instrText>
      </w:r>
      <w:r>
        <w:fldChar w:fldCharType="separate"/>
      </w:r>
      <w:r>
        <w:t>7</w:t>
      </w:r>
      <w:r>
        <w:fldChar w:fldCharType="end"/>
      </w:r>
      <w:r>
        <w:rPr>
          <w:szCs w:val="24"/>
        </w:rPr>
        <w:fldChar w:fldCharType="end"/>
      </w:r>
    </w:p>
    <w:p w14:paraId="5AF3DD15">
      <w:pPr>
        <w:pStyle w:val="16"/>
        <w:tabs>
          <w:tab w:val="right" w:leader="dot" w:pos="9241"/>
        </w:tabs>
      </w:pPr>
      <w:r>
        <w:rPr>
          <w:szCs w:val="24"/>
        </w:rPr>
        <w:fldChar w:fldCharType="begin"/>
      </w:r>
      <w:r>
        <w:rPr>
          <w:szCs w:val="24"/>
        </w:rPr>
        <w:instrText xml:space="preserve"> HYPERLINK \l _Toc17720 </w:instrText>
      </w:r>
      <w:r>
        <w:rPr>
          <w:szCs w:val="24"/>
        </w:rPr>
        <w:fldChar w:fldCharType="separate"/>
      </w:r>
      <w:r>
        <w:t>3.5 设计模式与关键质量属性</w:t>
      </w:r>
      <w:r>
        <w:tab/>
      </w:r>
      <w:r>
        <w:fldChar w:fldCharType="begin"/>
      </w:r>
      <w:r>
        <w:instrText xml:space="preserve"> PAGEREF _Toc17720 \h </w:instrText>
      </w:r>
      <w:r>
        <w:fldChar w:fldCharType="separate"/>
      </w:r>
      <w:r>
        <w:t>8</w:t>
      </w:r>
      <w:r>
        <w:fldChar w:fldCharType="end"/>
      </w:r>
      <w:r>
        <w:rPr>
          <w:szCs w:val="24"/>
        </w:rPr>
        <w:fldChar w:fldCharType="end"/>
      </w:r>
    </w:p>
    <w:p w14:paraId="2C4005E4">
      <w:pPr>
        <w:pStyle w:val="16"/>
        <w:tabs>
          <w:tab w:val="right" w:leader="dot" w:pos="9241"/>
        </w:tabs>
      </w:pPr>
      <w:r>
        <w:rPr>
          <w:szCs w:val="24"/>
        </w:rPr>
        <w:fldChar w:fldCharType="begin"/>
      </w:r>
      <w:r>
        <w:rPr>
          <w:szCs w:val="24"/>
        </w:rPr>
        <w:instrText xml:space="preserve"> HYPERLINK \l _Toc32646 </w:instrText>
      </w:r>
      <w:r>
        <w:rPr>
          <w:szCs w:val="24"/>
        </w:rPr>
        <w:fldChar w:fldCharType="separate"/>
      </w:r>
      <w:r>
        <w:t>3.6 本章小结</w:t>
      </w:r>
      <w:r>
        <w:tab/>
      </w:r>
      <w:r>
        <w:fldChar w:fldCharType="begin"/>
      </w:r>
      <w:r>
        <w:instrText xml:space="preserve"> PAGEREF _Toc32646 \h </w:instrText>
      </w:r>
      <w:r>
        <w:fldChar w:fldCharType="separate"/>
      </w:r>
      <w:r>
        <w:t>9</w:t>
      </w:r>
      <w:r>
        <w:fldChar w:fldCharType="end"/>
      </w:r>
      <w:r>
        <w:rPr>
          <w:szCs w:val="24"/>
        </w:rPr>
        <w:fldChar w:fldCharType="end"/>
      </w:r>
    </w:p>
    <w:p w14:paraId="529F3BED">
      <w:pPr>
        <w:pStyle w:val="15"/>
        <w:tabs>
          <w:tab w:val="right" w:leader="dot" w:pos="9241"/>
          <w:tab w:val="clear" w:pos="8296"/>
        </w:tabs>
      </w:pPr>
      <w:r>
        <w:rPr>
          <w:szCs w:val="24"/>
        </w:rPr>
        <w:fldChar w:fldCharType="begin"/>
      </w:r>
      <w:r>
        <w:rPr>
          <w:szCs w:val="24"/>
        </w:rPr>
        <w:instrText xml:space="preserve"> HYPERLINK \l _Toc21232 </w:instrText>
      </w:r>
      <w:r>
        <w:rPr>
          <w:szCs w:val="24"/>
        </w:rPr>
        <w:fldChar w:fldCharType="separate"/>
      </w:r>
      <w:r>
        <w:t>4 平台核心模块设计与实现</w:t>
      </w:r>
      <w:r>
        <w:tab/>
      </w:r>
      <w:r>
        <w:fldChar w:fldCharType="begin"/>
      </w:r>
      <w:r>
        <w:instrText xml:space="preserve"> PAGEREF _Toc21232 \h </w:instrText>
      </w:r>
      <w:r>
        <w:fldChar w:fldCharType="separate"/>
      </w:r>
      <w:r>
        <w:t>9</w:t>
      </w:r>
      <w:r>
        <w:fldChar w:fldCharType="end"/>
      </w:r>
      <w:r>
        <w:rPr>
          <w:szCs w:val="24"/>
        </w:rPr>
        <w:fldChar w:fldCharType="end"/>
      </w:r>
    </w:p>
    <w:p w14:paraId="1FD07344">
      <w:pPr>
        <w:pStyle w:val="16"/>
        <w:tabs>
          <w:tab w:val="right" w:leader="dot" w:pos="9241"/>
        </w:tabs>
      </w:pPr>
      <w:r>
        <w:rPr>
          <w:szCs w:val="24"/>
        </w:rPr>
        <w:fldChar w:fldCharType="begin"/>
      </w:r>
      <w:r>
        <w:rPr>
          <w:szCs w:val="24"/>
        </w:rPr>
        <w:instrText xml:space="preserve"> HYPERLINK \l _Toc15330 </w:instrText>
      </w:r>
      <w:r>
        <w:rPr>
          <w:szCs w:val="24"/>
        </w:rPr>
        <w:fldChar w:fldCharType="separate"/>
      </w:r>
      <w:r>
        <w:t>4.1 系统分层架构与模块解耦</w:t>
      </w:r>
      <w:r>
        <w:tab/>
      </w:r>
      <w:r>
        <w:fldChar w:fldCharType="begin"/>
      </w:r>
      <w:r>
        <w:instrText xml:space="preserve"> PAGEREF _Toc15330 \h </w:instrText>
      </w:r>
      <w:r>
        <w:fldChar w:fldCharType="separate"/>
      </w:r>
      <w:r>
        <w:t>9</w:t>
      </w:r>
      <w:r>
        <w:fldChar w:fldCharType="end"/>
      </w:r>
      <w:r>
        <w:rPr>
          <w:szCs w:val="24"/>
        </w:rPr>
        <w:fldChar w:fldCharType="end"/>
      </w:r>
    </w:p>
    <w:p w14:paraId="6EB2A6B3">
      <w:pPr>
        <w:pStyle w:val="16"/>
        <w:tabs>
          <w:tab w:val="right" w:leader="dot" w:pos="9241"/>
        </w:tabs>
      </w:pPr>
      <w:r>
        <w:rPr>
          <w:szCs w:val="24"/>
        </w:rPr>
        <w:fldChar w:fldCharType="begin"/>
      </w:r>
      <w:r>
        <w:rPr>
          <w:szCs w:val="24"/>
        </w:rPr>
        <w:instrText xml:space="preserve"> HYPERLINK \l _Toc22759 </w:instrText>
      </w:r>
      <w:r>
        <w:rPr>
          <w:szCs w:val="24"/>
        </w:rPr>
        <w:fldChar w:fldCharType="separate"/>
      </w:r>
      <w:r>
        <w:t>4.2 行情看板</w:t>
      </w:r>
      <w:r>
        <w:tab/>
      </w:r>
      <w:r>
        <w:fldChar w:fldCharType="begin"/>
      </w:r>
      <w:r>
        <w:instrText xml:space="preserve"> PAGEREF _Toc22759 \h </w:instrText>
      </w:r>
      <w:r>
        <w:fldChar w:fldCharType="separate"/>
      </w:r>
      <w:r>
        <w:t>10</w:t>
      </w:r>
      <w:r>
        <w:fldChar w:fldCharType="end"/>
      </w:r>
      <w:r>
        <w:rPr>
          <w:szCs w:val="24"/>
        </w:rPr>
        <w:fldChar w:fldCharType="end"/>
      </w:r>
    </w:p>
    <w:p w14:paraId="49FCEF43">
      <w:pPr>
        <w:pStyle w:val="16"/>
        <w:tabs>
          <w:tab w:val="right" w:leader="dot" w:pos="9241"/>
        </w:tabs>
      </w:pPr>
      <w:r>
        <w:rPr>
          <w:szCs w:val="24"/>
        </w:rPr>
        <w:fldChar w:fldCharType="begin"/>
      </w:r>
      <w:r>
        <w:rPr>
          <w:szCs w:val="24"/>
        </w:rPr>
        <w:instrText xml:space="preserve"> HYPERLINK \l _Toc13815 </w:instrText>
      </w:r>
      <w:r>
        <w:rPr>
          <w:szCs w:val="24"/>
        </w:rPr>
        <w:fldChar w:fldCharType="separate"/>
      </w:r>
      <w:r>
        <w:t>4.3 事件追踪与板块详情</w:t>
      </w:r>
      <w:r>
        <w:tab/>
      </w:r>
      <w:r>
        <w:fldChar w:fldCharType="begin"/>
      </w:r>
      <w:r>
        <w:instrText xml:space="preserve"> PAGEREF _Toc13815 \h </w:instrText>
      </w:r>
      <w:r>
        <w:fldChar w:fldCharType="separate"/>
      </w:r>
      <w:r>
        <w:t>13</w:t>
      </w:r>
      <w:r>
        <w:fldChar w:fldCharType="end"/>
      </w:r>
      <w:r>
        <w:rPr>
          <w:szCs w:val="24"/>
        </w:rPr>
        <w:fldChar w:fldCharType="end"/>
      </w:r>
    </w:p>
    <w:p w14:paraId="2F7CD166">
      <w:pPr>
        <w:pStyle w:val="16"/>
        <w:tabs>
          <w:tab w:val="right" w:leader="dot" w:pos="9241"/>
        </w:tabs>
      </w:pPr>
      <w:r>
        <w:rPr>
          <w:szCs w:val="24"/>
        </w:rPr>
        <w:fldChar w:fldCharType="begin"/>
      </w:r>
      <w:r>
        <w:rPr>
          <w:szCs w:val="24"/>
        </w:rPr>
        <w:instrText xml:space="preserve"> HYPERLINK \l _Toc3934 </w:instrText>
      </w:r>
      <w:r>
        <w:rPr>
          <w:szCs w:val="24"/>
        </w:rPr>
        <w:fldChar w:fldCharType="separate"/>
      </w:r>
      <w:r>
        <w:t>4.4 策略回测引擎与多进程隔离</w:t>
      </w:r>
      <w:r>
        <w:tab/>
      </w:r>
      <w:r>
        <w:fldChar w:fldCharType="begin"/>
      </w:r>
      <w:r>
        <w:instrText xml:space="preserve"> PAGEREF _Toc3934 \h </w:instrText>
      </w:r>
      <w:r>
        <w:fldChar w:fldCharType="separate"/>
      </w:r>
      <w:r>
        <w:t>15</w:t>
      </w:r>
      <w:r>
        <w:fldChar w:fldCharType="end"/>
      </w:r>
      <w:r>
        <w:rPr>
          <w:szCs w:val="24"/>
        </w:rPr>
        <w:fldChar w:fldCharType="end"/>
      </w:r>
    </w:p>
    <w:p w14:paraId="73703F64">
      <w:pPr>
        <w:pStyle w:val="16"/>
        <w:tabs>
          <w:tab w:val="right" w:leader="dot" w:pos="9241"/>
        </w:tabs>
      </w:pPr>
      <w:r>
        <w:rPr>
          <w:szCs w:val="24"/>
        </w:rPr>
        <w:fldChar w:fldCharType="begin"/>
      </w:r>
      <w:r>
        <w:rPr>
          <w:szCs w:val="24"/>
        </w:rPr>
        <w:instrText xml:space="preserve"> HYPERLINK \l _Toc19099 </w:instrText>
      </w:r>
      <w:r>
        <w:rPr>
          <w:szCs w:val="24"/>
        </w:rPr>
        <w:fldChar w:fldCharType="separate"/>
      </w:r>
      <w:r>
        <w:t>4.5 个股分析与多股对比</w:t>
      </w:r>
      <w:r>
        <w:tab/>
      </w:r>
      <w:r>
        <w:fldChar w:fldCharType="begin"/>
      </w:r>
      <w:r>
        <w:instrText xml:space="preserve"> PAGEREF _Toc19099 \h </w:instrText>
      </w:r>
      <w:r>
        <w:fldChar w:fldCharType="separate"/>
      </w:r>
      <w:r>
        <w:t>16</w:t>
      </w:r>
      <w:r>
        <w:fldChar w:fldCharType="end"/>
      </w:r>
      <w:r>
        <w:rPr>
          <w:szCs w:val="24"/>
        </w:rPr>
        <w:fldChar w:fldCharType="end"/>
      </w:r>
    </w:p>
    <w:p w14:paraId="5F9133E8">
      <w:pPr>
        <w:pStyle w:val="16"/>
        <w:tabs>
          <w:tab w:val="right" w:leader="dot" w:pos="9241"/>
        </w:tabs>
      </w:pPr>
      <w:r>
        <w:rPr>
          <w:szCs w:val="24"/>
        </w:rPr>
        <w:fldChar w:fldCharType="begin"/>
      </w:r>
      <w:r>
        <w:rPr>
          <w:szCs w:val="24"/>
        </w:rPr>
        <w:instrText xml:space="preserve"> HYPERLINK \l _Toc14077 </w:instrText>
      </w:r>
      <w:r>
        <w:rPr>
          <w:szCs w:val="24"/>
        </w:rPr>
        <w:fldChar w:fldCharType="separate"/>
      </w:r>
      <w:r>
        <w:t>4.6 持仓管理与数据多源治理</w:t>
      </w:r>
      <w:r>
        <w:tab/>
      </w:r>
      <w:r>
        <w:fldChar w:fldCharType="begin"/>
      </w:r>
      <w:r>
        <w:instrText xml:space="preserve"> PAGEREF _Toc14077 \h </w:instrText>
      </w:r>
      <w:r>
        <w:fldChar w:fldCharType="separate"/>
      </w:r>
      <w:r>
        <w:t>17</w:t>
      </w:r>
      <w:r>
        <w:fldChar w:fldCharType="end"/>
      </w:r>
      <w:r>
        <w:rPr>
          <w:szCs w:val="24"/>
        </w:rPr>
        <w:fldChar w:fldCharType="end"/>
      </w:r>
    </w:p>
    <w:p w14:paraId="66A0F06F">
      <w:pPr>
        <w:pStyle w:val="16"/>
        <w:tabs>
          <w:tab w:val="right" w:leader="dot" w:pos="9241"/>
        </w:tabs>
      </w:pPr>
      <w:r>
        <w:rPr>
          <w:szCs w:val="24"/>
        </w:rPr>
        <w:fldChar w:fldCharType="begin"/>
      </w:r>
      <w:r>
        <w:rPr>
          <w:szCs w:val="24"/>
        </w:rPr>
        <w:instrText xml:space="preserve"> HYPERLINK \l _Toc31292 </w:instrText>
      </w:r>
      <w:r>
        <w:rPr>
          <w:szCs w:val="24"/>
        </w:rPr>
        <w:fldChar w:fldCharType="separate"/>
      </w:r>
      <w:r>
        <w:t>4.7 并发取数与降级链工程</w:t>
      </w:r>
      <w:r>
        <w:tab/>
      </w:r>
      <w:r>
        <w:fldChar w:fldCharType="begin"/>
      </w:r>
      <w:r>
        <w:instrText xml:space="preserve"> PAGEREF _Toc31292 \h </w:instrText>
      </w:r>
      <w:r>
        <w:fldChar w:fldCharType="separate"/>
      </w:r>
      <w:r>
        <w:t>18</w:t>
      </w:r>
      <w:r>
        <w:fldChar w:fldCharType="end"/>
      </w:r>
      <w:r>
        <w:rPr>
          <w:szCs w:val="24"/>
        </w:rPr>
        <w:fldChar w:fldCharType="end"/>
      </w:r>
    </w:p>
    <w:p w14:paraId="6FF749AA">
      <w:pPr>
        <w:pStyle w:val="16"/>
        <w:tabs>
          <w:tab w:val="right" w:leader="dot" w:pos="9241"/>
        </w:tabs>
      </w:pPr>
      <w:r>
        <w:rPr>
          <w:szCs w:val="24"/>
        </w:rPr>
        <w:fldChar w:fldCharType="begin"/>
      </w:r>
      <w:r>
        <w:rPr>
          <w:szCs w:val="24"/>
        </w:rPr>
        <w:instrText xml:space="preserve"> HYPERLINK \l _Toc12094 </w:instrText>
      </w:r>
      <w:r>
        <w:rPr>
          <w:szCs w:val="24"/>
        </w:rPr>
        <w:fldChar w:fldCharType="separate"/>
      </w:r>
      <w:r>
        <w:t>4.8 安全基线：接口契约、鉴权与防护</w:t>
      </w:r>
      <w:r>
        <w:tab/>
      </w:r>
      <w:r>
        <w:fldChar w:fldCharType="begin"/>
      </w:r>
      <w:r>
        <w:instrText xml:space="preserve"> PAGEREF _Toc12094 \h </w:instrText>
      </w:r>
      <w:r>
        <w:fldChar w:fldCharType="separate"/>
      </w:r>
      <w:r>
        <w:t>18</w:t>
      </w:r>
      <w:r>
        <w:fldChar w:fldCharType="end"/>
      </w:r>
      <w:r>
        <w:rPr>
          <w:szCs w:val="24"/>
        </w:rPr>
        <w:fldChar w:fldCharType="end"/>
      </w:r>
    </w:p>
    <w:p w14:paraId="6EF0A1C6">
      <w:pPr>
        <w:pStyle w:val="16"/>
        <w:tabs>
          <w:tab w:val="right" w:leader="dot" w:pos="9241"/>
        </w:tabs>
      </w:pPr>
      <w:r>
        <w:rPr>
          <w:szCs w:val="24"/>
        </w:rPr>
        <w:fldChar w:fldCharType="begin"/>
      </w:r>
      <w:r>
        <w:rPr>
          <w:szCs w:val="24"/>
        </w:rPr>
        <w:instrText xml:space="preserve"> HYPERLINK \l _Toc3110 </w:instrText>
      </w:r>
      <w:r>
        <w:rPr>
          <w:szCs w:val="24"/>
        </w:rPr>
        <w:fldChar w:fldCharType="separate"/>
      </w:r>
      <w:r>
        <w:t>4.9 本章小结</w:t>
      </w:r>
      <w:r>
        <w:tab/>
      </w:r>
      <w:r>
        <w:fldChar w:fldCharType="begin"/>
      </w:r>
      <w:r>
        <w:instrText xml:space="preserve"> PAGEREF _Toc3110 \h </w:instrText>
      </w:r>
      <w:r>
        <w:fldChar w:fldCharType="separate"/>
      </w:r>
      <w:r>
        <w:t>19</w:t>
      </w:r>
      <w:r>
        <w:fldChar w:fldCharType="end"/>
      </w:r>
      <w:r>
        <w:rPr>
          <w:szCs w:val="24"/>
        </w:rPr>
        <w:fldChar w:fldCharType="end"/>
      </w:r>
    </w:p>
    <w:p w14:paraId="2B287C4F">
      <w:pPr>
        <w:pStyle w:val="15"/>
        <w:tabs>
          <w:tab w:val="right" w:leader="dot" w:pos="9241"/>
          <w:tab w:val="clear" w:pos="8296"/>
        </w:tabs>
      </w:pPr>
      <w:r>
        <w:rPr>
          <w:szCs w:val="24"/>
        </w:rPr>
        <w:fldChar w:fldCharType="begin"/>
      </w:r>
      <w:r>
        <w:rPr>
          <w:szCs w:val="24"/>
        </w:rPr>
        <w:instrText xml:space="preserve"> HYPERLINK \l _Toc22803 </w:instrText>
      </w:r>
      <w:r>
        <w:rPr>
          <w:szCs w:val="24"/>
        </w:rPr>
        <w:fldChar w:fldCharType="separate"/>
      </w:r>
      <w:r>
        <w:t>5 创新点：决策闭环与刻度校准</w:t>
      </w:r>
      <w:r>
        <w:tab/>
      </w:r>
      <w:r>
        <w:fldChar w:fldCharType="begin"/>
      </w:r>
      <w:r>
        <w:instrText xml:space="preserve"> PAGEREF _Toc22803 \h </w:instrText>
      </w:r>
      <w:r>
        <w:fldChar w:fldCharType="separate"/>
      </w:r>
      <w:r>
        <w:t>19</w:t>
      </w:r>
      <w:r>
        <w:fldChar w:fldCharType="end"/>
      </w:r>
      <w:r>
        <w:rPr>
          <w:szCs w:val="24"/>
        </w:rPr>
        <w:fldChar w:fldCharType="end"/>
      </w:r>
    </w:p>
    <w:p w14:paraId="2AEA97B6">
      <w:pPr>
        <w:pStyle w:val="16"/>
        <w:tabs>
          <w:tab w:val="right" w:leader="dot" w:pos="9241"/>
        </w:tabs>
      </w:pPr>
      <w:r>
        <w:rPr>
          <w:szCs w:val="24"/>
        </w:rPr>
        <w:fldChar w:fldCharType="begin"/>
      </w:r>
      <w:r>
        <w:rPr>
          <w:szCs w:val="24"/>
        </w:rPr>
        <w:instrText xml:space="preserve"> HYPERLINK \l _Toc276 </w:instrText>
      </w:r>
      <w:r>
        <w:rPr>
          <w:szCs w:val="24"/>
        </w:rPr>
        <w:fldChar w:fldCharType="separate"/>
      </w:r>
      <w:r>
        <w:t>5.1 问题提出：为何需要"可解释 + 可自纠偏"的仓位决策</w:t>
      </w:r>
      <w:r>
        <w:tab/>
      </w:r>
      <w:r>
        <w:fldChar w:fldCharType="begin"/>
      </w:r>
      <w:r>
        <w:instrText xml:space="preserve"> PAGEREF _Toc276 \h </w:instrText>
      </w:r>
      <w:r>
        <w:fldChar w:fldCharType="separate"/>
      </w:r>
      <w:r>
        <w:t>19</w:t>
      </w:r>
      <w:r>
        <w:fldChar w:fldCharType="end"/>
      </w:r>
      <w:r>
        <w:rPr>
          <w:szCs w:val="24"/>
        </w:rPr>
        <w:fldChar w:fldCharType="end"/>
      </w:r>
    </w:p>
    <w:p w14:paraId="2B7AF106">
      <w:pPr>
        <w:pStyle w:val="16"/>
        <w:tabs>
          <w:tab w:val="right" w:leader="dot" w:pos="9241"/>
        </w:tabs>
      </w:pPr>
      <w:r>
        <w:rPr>
          <w:szCs w:val="24"/>
        </w:rPr>
        <w:fldChar w:fldCharType="begin"/>
      </w:r>
      <w:r>
        <w:rPr>
          <w:szCs w:val="24"/>
        </w:rPr>
        <w:instrText xml:space="preserve"> HYPERLINK \l _Toc28583 </w:instrText>
      </w:r>
      <w:r>
        <w:rPr>
          <w:szCs w:val="24"/>
        </w:rPr>
        <w:fldChar w:fldCharType="separate"/>
      </w:r>
      <w:r>
        <w:t>5.2 决策闭环：从四维输入到可解释仓位</w:t>
      </w:r>
      <w:r>
        <w:tab/>
      </w:r>
      <w:r>
        <w:fldChar w:fldCharType="begin"/>
      </w:r>
      <w:r>
        <w:instrText xml:space="preserve"> PAGEREF _Toc28583 \h </w:instrText>
      </w:r>
      <w:r>
        <w:fldChar w:fldCharType="separate"/>
      </w:r>
      <w:r>
        <w:t>20</w:t>
      </w:r>
      <w:r>
        <w:fldChar w:fldCharType="end"/>
      </w:r>
      <w:r>
        <w:rPr>
          <w:szCs w:val="24"/>
        </w:rPr>
        <w:fldChar w:fldCharType="end"/>
      </w:r>
    </w:p>
    <w:p w14:paraId="31704F0D">
      <w:pPr>
        <w:pStyle w:val="9"/>
        <w:tabs>
          <w:tab w:val="right" w:leader="dot" w:pos="9241"/>
        </w:tabs>
      </w:pPr>
      <w:r>
        <w:rPr>
          <w:szCs w:val="24"/>
        </w:rPr>
        <w:fldChar w:fldCharType="begin"/>
      </w:r>
      <w:r>
        <w:rPr>
          <w:szCs w:val="24"/>
        </w:rPr>
        <w:instrText xml:space="preserve"> HYPERLINK \l _Toc30551 </w:instrText>
      </w:r>
      <w:r>
        <w:rPr>
          <w:szCs w:val="24"/>
        </w:rPr>
        <w:fldChar w:fldCharType="separate"/>
      </w:r>
      <w:r>
        <w:t>5.2.1 单一实现入口 `derive_position`</w:t>
      </w:r>
      <w:r>
        <w:tab/>
      </w:r>
      <w:r>
        <w:fldChar w:fldCharType="begin"/>
      </w:r>
      <w:r>
        <w:instrText xml:space="preserve"> PAGEREF _Toc30551 \h </w:instrText>
      </w:r>
      <w:r>
        <w:fldChar w:fldCharType="separate"/>
      </w:r>
      <w:r>
        <w:t>21</w:t>
      </w:r>
      <w:r>
        <w:fldChar w:fldCharType="end"/>
      </w:r>
      <w:r>
        <w:rPr>
          <w:szCs w:val="24"/>
        </w:rPr>
        <w:fldChar w:fldCharType="end"/>
      </w:r>
    </w:p>
    <w:p w14:paraId="54CF0F03">
      <w:pPr>
        <w:pStyle w:val="9"/>
        <w:tabs>
          <w:tab w:val="right" w:leader="dot" w:pos="9241"/>
        </w:tabs>
      </w:pPr>
      <w:r>
        <w:rPr>
          <w:szCs w:val="24"/>
        </w:rPr>
        <w:fldChar w:fldCharType="begin"/>
      </w:r>
      <w:r>
        <w:rPr>
          <w:szCs w:val="24"/>
        </w:rPr>
        <w:instrText xml:space="preserve"> HYPERLINK \l _Toc4223 </w:instrText>
      </w:r>
      <w:r>
        <w:rPr>
          <w:szCs w:val="24"/>
        </w:rPr>
        <w:fldChar w:fldCharType="separate"/>
      </w:r>
      <w:r>
        <w:t>5.2.2 透明推导与可解释性（创新点的第一支柱）</w:t>
      </w:r>
      <w:r>
        <w:tab/>
      </w:r>
      <w:r>
        <w:fldChar w:fldCharType="begin"/>
      </w:r>
      <w:r>
        <w:instrText xml:space="preserve"> PAGEREF _Toc4223 \h </w:instrText>
      </w:r>
      <w:r>
        <w:fldChar w:fldCharType="separate"/>
      </w:r>
      <w:r>
        <w:t>21</w:t>
      </w:r>
      <w:r>
        <w:fldChar w:fldCharType="end"/>
      </w:r>
      <w:r>
        <w:rPr>
          <w:szCs w:val="24"/>
        </w:rPr>
        <w:fldChar w:fldCharType="end"/>
      </w:r>
    </w:p>
    <w:p w14:paraId="126DE6D0">
      <w:pPr>
        <w:pStyle w:val="9"/>
        <w:tabs>
          <w:tab w:val="right" w:leader="dot" w:pos="9241"/>
        </w:tabs>
      </w:pPr>
      <w:r>
        <w:rPr>
          <w:szCs w:val="24"/>
        </w:rPr>
        <w:fldChar w:fldCharType="begin"/>
      </w:r>
      <w:r>
        <w:rPr>
          <w:szCs w:val="24"/>
        </w:rPr>
        <w:instrText xml:space="preserve"> HYPERLINK \l _Toc29965 </w:instrText>
      </w:r>
      <w:r>
        <w:rPr>
          <w:szCs w:val="24"/>
        </w:rPr>
        <w:fldChar w:fldCharType="separate"/>
      </w:r>
      <w:r>
        <w:t>5.2.3 极端行情与数据新鲜度的"诚实守卫"</w:t>
      </w:r>
      <w:r>
        <w:tab/>
      </w:r>
      <w:r>
        <w:fldChar w:fldCharType="begin"/>
      </w:r>
      <w:r>
        <w:instrText xml:space="preserve"> PAGEREF _Toc29965 \h </w:instrText>
      </w:r>
      <w:r>
        <w:fldChar w:fldCharType="separate"/>
      </w:r>
      <w:r>
        <w:t>22</w:t>
      </w:r>
      <w:r>
        <w:fldChar w:fldCharType="end"/>
      </w:r>
      <w:r>
        <w:rPr>
          <w:szCs w:val="24"/>
        </w:rPr>
        <w:fldChar w:fldCharType="end"/>
      </w:r>
    </w:p>
    <w:p w14:paraId="43A7A05B">
      <w:pPr>
        <w:pStyle w:val="9"/>
        <w:tabs>
          <w:tab w:val="right" w:leader="dot" w:pos="9241"/>
        </w:tabs>
      </w:pPr>
      <w:r>
        <w:rPr>
          <w:szCs w:val="24"/>
        </w:rPr>
        <w:fldChar w:fldCharType="begin"/>
      </w:r>
      <w:r>
        <w:rPr>
          <w:szCs w:val="24"/>
        </w:rPr>
        <w:instrText xml:space="preserve"> HYPERLINK \l _Toc13633 </w:instrText>
      </w:r>
      <w:r>
        <w:rPr>
          <w:szCs w:val="24"/>
        </w:rPr>
        <w:fldChar w:fldCharType="separate"/>
      </w:r>
      <w:r>
        <w:t>5.2.4 落盘与归档：决策可回溯</w:t>
      </w:r>
      <w:r>
        <w:tab/>
      </w:r>
      <w:r>
        <w:fldChar w:fldCharType="begin"/>
      </w:r>
      <w:r>
        <w:instrText xml:space="preserve"> PAGEREF _Toc13633 \h </w:instrText>
      </w:r>
      <w:r>
        <w:fldChar w:fldCharType="separate"/>
      </w:r>
      <w:r>
        <w:t>22</w:t>
      </w:r>
      <w:r>
        <w:fldChar w:fldCharType="end"/>
      </w:r>
      <w:r>
        <w:rPr>
          <w:szCs w:val="24"/>
        </w:rPr>
        <w:fldChar w:fldCharType="end"/>
      </w:r>
    </w:p>
    <w:p w14:paraId="0216C2C4">
      <w:pPr>
        <w:pStyle w:val="16"/>
        <w:tabs>
          <w:tab w:val="right" w:leader="dot" w:pos="9241"/>
        </w:tabs>
      </w:pPr>
      <w:r>
        <w:rPr>
          <w:szCs w:val="24"/>
        </w:rPr>
        <w:fldChar w:fldCharType="begin"/>
      </w:r>
      <w:r>
        <w:rPr>
          <w:szCs w:val="24"/>
        </w:rPr>
        <w:instrText xml:space="preserve"> HYPERLINK \l _Toc28994 </w:instrText>
      </w:r>
      <w:r>
        <w:rPr>
          <w:szCs w:val="24"/>
        </w:rPr>
        <w:fldChar w:fldCharType="separate"/>
      </w:r>
      <w:r>
        <w:t>5.3 刻度校准：让决策"可自纠偏"而不"过小样本过拟合"</w:t>
      </w:r>
      <w:r>
        <w:tab/>
      </w:r>
      <w:r>
        <w:fldChar w:fldCharType="begin"/>
      </w:r>
      <w:r>
        <w:instrText xml:space="preserve"> PAGEREF _Toc28994 \h </w:instrText>
      </w:r>
      <w:r>
        <w:fldChar w:fldCharType="separate"/>
      </w:r>
      <w:r>
        <w:t>22</w:t>
      </w:r>
      <w:r>
        <w:fldChar w:fldCharType="end"/>
      </w:r>
      <w:r>
        <w:rPr>
          <w:szCs w:val="24"/>
        </w:rPr>
        <w:fldChar w:fldCharType="end"/>
      </w:r>
    </w:p>
    <w:p w14:paraId="68BB72C0">
      <w:pPr>
        <w:pStyle w:val="9"/>
        <w:tabs>
          <w:tab w:val="right" w:leader="dot" w:pos="9241"/>
        </w:tabs>
      </w:pPr>
      <w:r>
        <w:rPr>
          <w:szCs w:val="24"/>
        </w:rPr>
        <w:fldChar w:fldCharType="begin"/>
      </w:r>
      <w:r>
        <w:rPr>
          <w:szCs w:val="24"/>
        </w:rPr>
        <w:instrText xml:space="preserve"> HYPERLINK \l _Toc13529 </w:instrText>
      </w:r>
      <w:r>
        <w:rPr>
          <w:szCs w:val="24"/>
        </w:rPr>
        <w:fldChar w:fldCharType="separate"/>
      </w:r>
      <w:r>
        <w:t>5.3.1 校准目标与校准变量</w:t>
      </w:r>
      <w:r>
        <w:tab/>
      </w:r>
      <w:r>
        <w:fldChar w:fldCharType="begin"/>
      </w:r>
      <w:r>
        <w:instrText xml:space="preserve"> PAGEREF _Toc13529 \h </w:instrText>
      </w:r>
      <w:r>
        <w:fldChar w:fldCharType="separate"/>
      </w:r>
      <w:r>
        <w:t>22</w:t>
      </w:r>
      <w:r>
        <w:fldChar w:fldCharType="end"/>
      </w:r>
      <w:r>
        <w:rPr>
          <w:szCs w:val="24"/>
        </w:rPr>
        <w:fldChar w:fldCharType="end"/>
      </w:r>
    </w:p>
    <w:p w14:paraId="7D06B141">
      <w:pPr>
        <w:pStyle w:val="9"/>
        <w:tabs>
          <w:tab w:val="right" w:leader="dot" w:pos="9241"/>
        </w:tabs>
      </w:pPr>
      <w:r>
        <w:rPr>
          <w:szCs w:val="24"/>
        </w:rPr>
        <w:fldChar w:fldCharType="begin"/>
      </w:r>
      <w:r>
        <w:rPr>
          <w:szCs w:val="24"/>
        </w:rPr>
        <w:instrText xml:space="preserve"> HYPERLINK \l _Toc31476 </w:instrText>
      </w:r>
      <w:r>
        <w:rPr>
          <w:szCs w:val="24"/>
        </w:rPr>
        <w:fldChar w:fldCharType="separate"/>
      </w:r>
      <w:r>
        <w:t>5.3.2 回测反推建议量（有界）</w:t>
      </w:r>
      <w:r>
        <w:tab/>
      </w:r>
      <w:r>
        <w:fldChar w:fldCharType="begin"/>
      </w:r>
      <w:r>
        <w:instrText xml:space="preserve"> PAGEREF _Toc31476 \h </w:instrText>
      </w:r>
      <w:r>
        <w:fldChar w:fldCharType="separate"/>
      </w:r>
      <w:r>
        <w:t>23</w:t>
      </w:r>
      <w:r>
        <w:fldChar w:fldCharType="end"/>
      </w:r>
      <w:r>
        <w:rPr>
          <w:szCs w:val="24"/>
        </w:rPr>
        <w:fldChar w:fldCharType="end"/>
      </w:r>
    </w:p>
    <w:p w14:paraId="65D5AA10">
      <w:pPr>
        <w:pStyle w:val="9"/>
        <w:tabs>
          <w:tab w:val="right" w:leader="dot" w:pos="9241"/>
        </w:tabs>
      </w:pPr>
      <w:r>
        <w:rPr>
          <w:szCs w:val="24"/>
        </w:rPr>
        <w:fldChar w:fldCharType="begin"/>
      </w:r>
      <w:r>
        <w:rPr>
          <w:szCs w:val="24"/>
        </w:rPr>
        <w:instrText xml:space="preserve"> HYPERLINK \l _Toc20206 </w:instrText>
      </w:r>
      <w:r>
        <w:rPr>
          <w:szCs w:val="24"/>
        </w:rPr>
        <w:fldChar w:fldCharType="separate"/>
      </w:r>
      <w:r>
        <w:t>5.3.3 三条铁律（方法论核心）</w:t>
      </w:r>
      <w:r>
        <w:tab/>
      </w:r>
      <w:r>
        <w:fldChar w:fldCharType="begin"/>
      </w:r>
      <w:r>
        <w:instrText xml:space="preserve"> PAGEREF _Toc20206 \h </w:instrText>
      </w:r>
      <w:r>
        <w:fldChar w:fldCharType="separate"/>
      </w:r>
      <w:r>
        <w:t>23</w:t>
      </w:r>
      <w:r>
        <w:fldChar w:fldCharType="end"/>
      </w:r>
      <w:r>
        <w:rPr>
          <w:szCs w:val="24"/>
        </w:rPr>
        <w:fldChar w:fldCharType="end"/>
      </w:r>
    </w:p>
    <w:p w14:paraId="57DEF2C8">
      <w:pPr>
        <w:pStyle w:val="9"/>
        <w:tabs>
          <w:tab w:val="right" w:leader="dot" w:pos="9241"/>
        </w:tabs>
      </w:pPr>
      <w:r>
        <w:rPr>
          <w:szCs w:val="24"/>
        </w:rPr>
        <w:fldChar w:fldCharType="begin"/>
      </w:r>
      <w:r>
        <w:rPr>
          <w:szCs w:val="24"/>
        </w:rPr>
        <w:instrText xml:space="preserve"> HYPERLINK \l _Toc5453 </w:instrText>
      </w:r>
      <w:r>
        <w:rPr>
          <w:szCs w:val="24"/>
        </w:rPr>
        <w:fldChar w:fldCharType="separate"/>
      </w:r>
      <w:r>
        <w:t>5.3.4 闭环落地的护栏（必要时才接通，人仍在回路）</w:t>
      </w:r>
      <w:r>
        <w:tab/>
      </w:r>
      <w:r>
        <w:fldChar w:fldCharType="begin"/>
      </w:r>
      <w:r>
        <w:instrText xml:space="preserve"> PAGEREF _Toc5453 \h </w:instrText>
      </w:r>
      <w:r>
        <w:fldChar w:fldCharType="separate"/>
      </w:r>
      <w:r>
        <w:t>23</w:t>
      </w:r>
      <w:r>
        <w:fldChar w:fldCharType="end"/>
      </w:r>
      <w:r>
        <w:rPr>
          <w:szCs w:val="24"/>
        </w:rPr>
        <w:fldChar w:fldCharType="end"/>
      </w:r>
    </w:p>
    <w:p w14:paraId="3ED61954">
      <w:pPr>
        <w:pStyle w:val="9"/>
        <w:tabs>
          <w:tab w:val="right" w:leader="dot" w:pos="9241"/>
        </w:tabs>
      </w:pPr>
      <w:r>
        <w:rPr>
          <w:szCs w:val="24"/>
        </w:rPr>
        <w:fldChar w:fldCharType="begin"/>
      </w:r>
      <w:r>
        <w:rPr>
          <w:szCs w:val="24"/>
        </w:rPr>
        <w:instrText xml:space="preserve"> HYPERLINK \l _Toc7096 </w:instrText>
      </w:r>
      <w:r>
        <w:rPr>
          <w:szCs w:val="24"/>
        </w:rPr>
        <w:fldChar w:fldCharType="separate"/>
      </w:r>
      <w:r>
        <w:t>5.3.5 就绪语义：`any_actionable` 而非全局阈值（易被忽略的设计细节）</w:t>
      </w:r>
      <w:r>
        <w:tab/>
      </w:r>
      <w:r>
        <w:fldChar w:fldCharType="begin"/>
      </w:r>
      <w:r>
        <w:instrText xml:space="preserve"> PAGEREF _Toc7096 \h </w:instrText>
      </w:r>
      <w:r>
        <w:fldChar w:fldCharType="separate"/>
      </w:r>
      <w:r>
        <w:t>24</w:t>
      </w:r>
      <w:r>
        <w:fldChar w:fldCharType="end"/>
      </w:r>
      <w:r>
        <w:rPr>
          <w:szCs w:val="24"/>
        </w:rPr>
        <w:fldChar w:fldCharType="end"/>
      </w:r>
    </w:p>
    <w:p w14:paraId="365204D9">
      <w:pPr>
        <w:pStyle w:val="16"/>
        <w:tabs>
          <w:tab w:val="right" w:leader="dot" w:pos="9241"/>
        </w:tabs>
      </w:pPr>
      <w:r>
        <w:rPr>
          <w:szCs w:val="24"/>
        </w:rPr>
        <w:fldChar w:fldCharType="begin"/>
      </w:r>
      <w:r>
        <w:rPr>
          <w:szCs w:val="24"/>
        </w:rPr>
        <w:instrText xml:space="preserve"> HYPERLINK \l _Toc23184 </w:instrText>
      </w:r>
      <w:r>
        <w:rPr>
          <w:szCs w:val="24"/>
        </w:rPr>
        <w:fldChar w:fldCharType="separate"/>
      </w:r>
      <w:r>
        <w:t>5.4 预测 vs 实际回测：闭环可验证性</w:t>
      </w:r>
      <w:r>
        <w:tab/>
      </w:r>
      <w:r>
        <w:fldChar w:fldCharType="begin"/>
      </w:r>
      <w:r>
        <w:instrText xml:space="preserve"> PAGEREF _Toc23184 \h </w:instrText>
      </w:r>
      <w:r>
        <w:fldChar w:fldCharType="separate"/>
      </w:r>
      <w:r>
        <w:t>25</w:t>
      </w:r>
      <w:r>
        <w:fldChar w:fldCharType="end"/>
      </w:r>
      <w:r>
        <w:rPr>
          <w:szCs w:val="24"/>
        </w:rPr>
        <w:fldChar w:fldCharType="end"/>
      </w:r>
    </w:p>
    <w:p w14:paraId="0F5C252D">
      <w:pPr>
        <w:pStyle w:val="16"/>
        <w:tabs>
          <w:tab w:val="right" w:leader="dot" w:pos="9241"/>
        </w:tabs>
      </w:pPr>
      <w:r>
        <w:rPr>
          <w:szCs w:val="24"/>
        </w:rPr>
        <w:fldChar w:fldCharType="begin"/>
      </w:r>
      <w:r>
        <w:rPr>
          <w:szCs w:val="24"/>
        </w:rPr>
        <w:instrText xml:space="preserve"> HYPERLINK \l _Toc19376 </w:instrText>
      </w:r>
      <w:r>
        <w:rPr>
          <w:szCs w:val="24"/>
        </w:rPr>
        <w:fldChar w:fldCharType="separate"/>
      </w:r>
      <w:r>
        <w:t>5.5 本章小结</w:t>
      </w:r>
      <w:r>
        <w:tab/>
      </w:r>
      <w:r>
        <w:fldChar w:fldCharType="begin"/>
      </w:r>
      <w:r>
        <w:instrText xml:space="preserve"> PAGEREF _Toc19376 \h </w:instrText>
      </w:r>
      <w:r>
        <w:fldChar w:fldCharType="separate"/>
      </w:r>
      <w:r>
        <w:t>25</w:t>
      </w:r>
      <w:r>
        <w:fldChar w:fldCharType="end"/>
      </w:r>
      <w:r>
        <w:rPr>
          <w:szCs w:val="24"/>
        </w:rPr>
        <w:fldChar w:fldCharType="end"/>
      </w:r>
    </w:p>
    <w:p w14:paraId="28E1BBD1">
      <w:pPr>
        <w:pStyle w:val="15"/>
        <w:tabs>
          <w:tab w:val="right" w:leader="dot" w:pos="9241"/>
          <w:tab w:val="clear" w:pos="8296"/>
        </w:tabs>
      </w:pPr>
      <w:r>
        <w:rPr>
          <w:szCs w:val="24"/>
        </w:rPr>
        <w:fldChar w:fldCharType="begin"/>
      </w:r>
      <w:r>
        <w:rPr>
          <w:szCs w:val="24"/>
        </w:rPr>
        <w:instrText xml:space="preserve"> HYPERLINK \l _Toc17290 </w:instrText>
      </w:r>
      <w:r>
        <w:rPr>
          <w:szCs w:val="24"/>
        </w:rPr>
        <w:fldChar w:fldCharType="separate"/>
      </w:r>
      <w:r>
        <w:t>6 系统测试与评估</w:t>
      </w:r>
      <w:r>
        <w:tab/>
      </w:r>
      <w:r>
        <w:fldChar w:fldCharType="begin"/>
      </w:r>
      <w:r>
        <w:instrText xml:space="preserve"> PAGEREF _Toc17290 \h </w:instrText>
      </w:r>
      <w:r>
        <w:fldChar w:fldCharType="separate"/>
      </w:r>
      <w:r>
        <w:t>25</w:t>
      </w:r>
      <w:r>
        <w:fldChar w:fldCharType="end"/>
      </w:r>
      <w:r>
        <w:rPr>
          <w:szCs w:val="24"/>
        </w:rPr>
        <w:fldChar w:fldCharType="end"/>
      </w:r>
    </w:p>
    <w:p w14:paraId="3F356AED">
      <w:pPr>
        <w:pStyle w:val="16"/>
        <w:tabs>
          <w:tab w:val="right" w:leader="dot" w:pos="9241"/>
        </w:tabs>
      </w:pPr>
      <w:r>
        <w:rPr>
          <w:szCs w:val="24"/>
        </w:rPr>
        <w:fldChar w:fldCharType="begin"/>
      </w:r>
      <w:r>
        <w:rPr>
          <w:szCs w:val="24"/>
        </w:rPr>
        <w:instrText xml:space="preserve"> HYPERLINK \l _Toc15805 </w:instrText>
      </w:r>
      <w:r>
        <w:rPr>
          <w:szCs w:val="24"/>
        </w:rPr>
        <w:fldChar w:fldCharType="separate"/>
      </w:r>
      <w:r>
        <w:t>6.1 测试策略与结果</w:t>
      </w:r>
      <w:r>
        <w:tab/>
      </w:r>
      <w:r>
        <w:fldChar w:fldCharType="begin"/>
      </w:r>
      <w:r>
        <w:instrText xml:space="preserve"> PAGEREF _Toc15805 \h </w:instrText>
      </w:r>
      <w:r>
        <w:fldChar w:fldCharType="separate"/>
      </w:r>
      <w:r>
        <w:t>26</w:t>
      </w:r>
      <w:r>
        <w:fldChar w:fldCharType="end"/>
      </w:r>
      <w:r>
        <w:rPr>
          <w:szCs w:val="24"/>
        </w:rPr>
        <w:fldChar w:fldCharType="end"/>
      </w:r>
    </w:p>
    <w:p w14:paraId="6118E24C">
      <w:pPr>
        <w:pStyle w:val="16"/>
        <w:tabs>
          <w:tab w:val="right" w:leader="dot" w:pos="9241"/>
        </w:tabs>
      </w:pPr>
      <w:r>
        <w:rPr>
          <w:szCs w:val="24"/>
        </w:rPr>
        <w:fldChar w:fldCharType="begin"/>
      </w:r>
      <w:r>
        <w:rPr>
          <w:szCs w:val="24"/>
        </w:rPr>
        <w:instrText xml:space="preserve"> HYPERLINK \l _Toc8080 </w:instrText>
      </w:r>
      <w:r>
        <w:rPr>
          <w:szCs w:val="24"/>
        </w:rPr>
        <w:fldChar w:fldCharType="separate"/>
      </w:r>
      <w:r>
        <w:t>6.2 决策闭环评估（真实数据）</w:t>
      </w:r>
      <w:r>
        <w:tab/>
      </w:r>
      <w:r>
        <w:fldChar w:fldCharType="begin"/>
      </w:r>
      <w:r>
        <w:instrText xml:space="preserve"> PAGEREF _Toc8080 \h </w:instrText>
      </w:r>
      <w:r>
        <w:fldChar w:fldCharType="separate"/>
      </w:r>
      <w:r>
        <w:t>26</w:t>
      </w:r>
      <w:r>
        <w:fldChar w:fldCharType="end"/>
      </w:r>
      <w:r>
        <w:rPr>
          <w:szCs w:val="24"/>
        </w:rPr>
        <w:fldChar w:fldCharType="end"/>
      </w:r>
    </w:p>
    <w:p w14:paraId="1A15B36D">
      <w:pPr>
        <w:pStyle w:val="16"/>
        <w:tabs>
          <w:tab w:val="right" w:leader="dot" w:pos="9241"/>
        </w:tabs>
      </w:pPr>
      <w:r>
        <w:rPr>
          <w:szCs w:val="24"/>
        </w:rPr>
        <w:fldChar w:fldCharType="begin"/>
      </w:r>
      <w:r>
        <w:rPr>
          <w:szCs w:val="24"/>
        </w:rPr>
        <w:instrText xml:space="preserve"> HYPERLINK \l _Toc26567 </w:instrText>
      </w:r>
      <w:r>
        <w:rPr>
          <w:szCs w:val="24"/>
        </w:rPr>
        <w:fldChar w:fldCharType="separate"/>
      </w:r>
      <w:r>
        <w:t>6.3 刻度校准机制评估（小样本不表态被真实验证）</w:t>
      </w:r>
      <w:r>
        <w:tab/>
      </w:r>
      <w:r>
        <w:fldChar w:fldCharType="begin"/>
      </w:r>
      <w:r>
        <w:instrText xml:space="preserve"> PAGEREF _Toc26567 \h </w:instrText>
      </w:r>
      <w:r>
        <w:fldChar w:fldCharType="separate"/>
      </w:r>
      <w:r>
        <w:t>29</w:t>
      </w:r>
      <w:r>
        <w:fldChar w:fldCharType="end"/>
      </w:r>
      <w:r>
        <w:rPr>
          <w:szCs w:val="24"/>
        </w:rPr>
        <w:fldChar w:fldCharType="end"/>
      </w:r>
    </w:p>
    <w:p w14:paraId="51944379">
      <w:pPr>
        <w:pStyle w:val="16"/>
        <w:tabs>
          <w:tab w:val="right" w:leader="dot" w:pos="9241"/>
        </w:tabs>
      </w:pPr>
      <w:r>
        <w:rPr>
          <w:szCs w:val="24"/>
        </w:rPr>
        <w:fldChar w:fldCharType="begin"/>
      </w:r>
      <w:r>
        <w:rPr>
          <w:szCs w:val="24"/>
        </w:rPr>
        <w:instrText xml:space="preserve"> HYPERLINK \l _Toc26948 </w:instrText>
      </w:r>
      <w:r>
        <w:rPr>
          <w:szCs w:val="24"/>
        </w:rPr>
        <w:fldChar w:fldCharType="separate"/>
      </w:r>
      <w:r>
        <w:t>6.4 回测成本模型有效性验证</w:t>
      </w:r>
      <w:r>
        <w:tab/>
      </w:r>
      <w:r>
        <w:fldChar w:fldCharType="begin"/>
      </w:r>
      <w:r>
        <w:instrText xml:space="preserve"> PAGEREF _Toc26948 \h </w:instrText>
      </w:r>
      <w:r>
        <w:fldChar w:fldCharType="separate"/>
      </w:r>
      <w:r>
        <w:t>30</w:t>
      </w:r>
      <w:r>
        <w:fldChar w:fldCharType="end"/>
      </w:r>
      <w:r>
        <w:rPr>
          <w:szCs w:val="24"/>
        </w:rPr>
        <w:fldChar w:fldCharType="end"/>
      </w:r>
    </w:p>
    <w:p w14:paraId="2940030E">
      <w:pPr>
        <w:pStyle w:val="16"/>
        <w:tabs>
          <w:tab w:val="right" w:leader="dot" w:pos="9241"/>
        </w:tabs>
      </w:pPr>
      <w:r>
        <w:rPr>
          <w:szCs w:val="24"/>
        </w:rPr>
        <w:fldChar w:fldCharType="begin"/>
      </w:r>
      <w:r>
        <w:rPr>
          <w:szCs w:val="24"/>
        </w:rPr>
        <w:instrText xml:space="preserve"> HYPERLINK \l _Toc11475 </w:instrText>
      </w:r>
      <w:r>
        <w:rPr>
          <w:szCs w:val="24"/>
        </w:rPr>
        <w:fldChar w:fldCharType="separate"/>
      </w:r>
      <w:r>
        <w:t>6.5 质量门禁与持续集成</w:t>
      </w:r>
      <w:r>
        <w:tab/>
      </w:r>
      <w:r>
        <w:fldChar w:fldCharType="begin"/>
      </w:r>
      <w:r>
        <w:instrText xml:space="preserve"> PAGEREF _Toc11475 \h </w:instrText>
      </w:r>
      <w:r>
        <w:fldChar w:fldCharType="separate"/>
      </w:r>
      <w:r>
        <w:t>31</w:t>
      </w:r>
      <w:r>
        <w:fldChar w:fldCharType="end"/>
      </w:r>
      <w:r>
        <w:rPr>
          <w:szCs w:val="24"/>
        </w:rPr>
        <w:fldChar w:fldCharType="end"/>
      </w:r>
    </w:p>
    <w:p w14:paraId="67C058D2">
      <w:pPr>
        <w:pStyle w:val="16"/>
        <w:tabs>
          <w:tab w:val="right" w:leader="dot" w:pos="9241"/>
        </w:tabs>
      </w:pPr>
      <w:r>
        <w:rPr>
          <w:szCs w:val="24"/>
        </w:rPr>
        <w:fldChar w:fldCharType="begin"/>
      </w:r>
      <w:r>
        <w:rPr>
          <w:szCs w:val="24"/>
        </w:rPr>
        <w:instrText xml:space="preserve"> HYPERLINK \l _Toc18113 </w:instrText>
      </w:r>
      <w:r>
        <w:rPr>
          <w:szCs w:val="24"/>
        </w:rPr>
        <w:fldChar w:fldCharType="separate"/>
      </w:r>
      <w:r>
        <w:t>6.6 大规模历史广度回测实证（4092 交易日）</w:t>
      </w:r>
      <w:r>
        <w:tab/>
      </w:r>
      <w:r>
        <w:fldChar w:fldCharType="begin"/>
      </w:r>
      <w:r>
        <w:instrText xml:space="preserve"> PAGEREF _Toc18113 \h </w:instrText>
      </w:r>
      <w:r>
        <w:fldChar w:fldCharType="separate"/>
      </w:r>
      <w:r>
        <w:t>32</w:t>
      </w:r>
      <w:r>
        <w:fldChar w:fldCharType="end"/>
      </w:r>
      <w:r>
        <w:rPr>
          <w:szCs w:val="24"/>
        </w:rPr>
        <w:fldChar w:fldCharType="end"/>
      </w:r>
    </w:p>
    <w:p w14:paraId="46B7290B">
      <w:pPr>
        <w:pStyle w:val="16"/>
        <w:tabs>
          <w:tab w:val="right" w:leader="dot" w:pos="9241"/>
        </w:tabs>
      </w:pPr>
      <w:r>
        <w:rPr>
          <w:szCs w:val="24"/>
        </w:rPr>
        <w:fldChar w:fldCharType="begin"/>
      </w:r>
      <w:r>
        <w:rPr>
          <w:szCs w:val="24"/>
        </w:rPr>
        <w:instrText xml:space="preserve"> HYPERLINK \l _Toc21785 </w:instrText>
      </w:r>
      <w:r>
        <w:rPr>
          <w:szCs w:val="24"/>
        </w:rPr>
        <w:fldChar w:fldCharType="separate"/>
      </w:r>
      <w:r>
        <w:t>6.7 本章小结</w:t>
      </w:r>
      <w:r>
        <w:tab/>
      </w:r>
      <w:r>
        <w:fldChar w:fldCharType="begin"/>
      </w:r>
      <w:r>
        <w:instrText xml:space="preserve"> PAGEREF _Toc21785 \h </w:instrText>
      </w:r>
      <w:r>
        <w:fldChar w:fldCharType="separate"/>
      </w:r>
      <w:r>
        <w:t>34</w:t>
      </w:r>
      <w:r>
        <w:fldChar w:fldCharType="end"/>
      </w:r>
      <w:r>
        <w:rPr>
          <w:szCs w:val="24"/>
        </w:rPr>
        <w:fldChar w:fldCharType="end"/>
      </w:r>
    </w:p>
    <w:p w14:paraId="02F54CF2">
      <w:pPr>
        <w:pStyle w:val="15"/>
        <w:tabs>
          <w:tab w:val="right" w:leader="dot" w:pos="9241"/>
          <w:tab w:val="clear" w:pos="8296"/>
        </w:tabs>
      </w:pPr>
      <w:r>
        <w:rPr>
          <w:szCs w:val="24"/>
        </w:rPr>
        <w:fldChar w:fldCharType="begin"/>
      </w:r>
      <w:r>
        <w:rPr>
          <w:szCs w:val="24"/>
        </w:rPr>
        <w:instrText xml:space="preserve"> HYPERLINK \l _Toc14296 </w:instrText>
      </w:r>
      <w:r>
        <w:rPr>
          <w:szCs w:val="24"/>
        </w:rPr>
        <w:fldChar w:fldCharType="separate"/>
      </w:r>
      <w:r>
        <w:t>7 结论与展望</w:t>
      </w:r>
      <w:r>
        <w:tab/>
      </w:r>
      <w:r>
        <w:fldChar w:fldCharType="begin"/>
      </w:r>
      <w:r>
        <w:instrText xml:space="preserve"> PAGEREF _Toc14296 \h </w:instrText>
      </w:r>
      <w:r>
        <w:fldChar w:fldCharType="separate"/>
      </w:r>
      <w:r>
        <w:t>35</w:t>
      </w:r>
      <w:r>
        <w:fldChar w:fldCharType="end"/>
      </w:r>
      <w:r>
        <w:rPr>
          <w:szCs w:val="24"/>
        </w:rPr>
        <w:fldChar w:fldCharType="end"/>
      </w:r>
    </w:p>
    <w:p w14:paraId="48CEE860">
      <w:pPr>
        <w:pStyle w:val="16"/>
        <w:tabs>
          <w:tab w:val="right" w:leader="dot" w:pos="9241"/>
        </w:tabs>
      </w:pPr>
      <w:r>
        <w:rPr>
          <w:szCs w:val="24"/>
        </w:rPr>
        <w:fldChar w:fldCharType="begin"/>
      </w:r>
      <w:r>
        <w:rPr>
          <w:szCs w:val="24"/>
        </w:rPr>
        <w:instrText xml:space="preserve"> HYPERLINK \l _Toc16308 </w:instrText>
      </w:r>
      <w:r>
        <w:rPr>
          <w:szCs w:val="24"/>
        </w:rPr>
        <w:fldChar w:fldCharType="separate"/>
      </w:r>
      <w:r>
        <w:t>7.1 工作总结</w:t>
      </w:r>
      <w:r>
        <w:tab/>
      </w:r>
      <w:r>
        <w:fldChar w:fldCharType="begin"/>
      </w:r>
      <w:r>
        <w:instrText xml:space="preserve"> PAGEREF _Toc16308 \h </w:instrText>
      </w:r>
      <w:r>
        <w:fldChar w:fldCharType="separate"/>
      </w:r>
      <w:r>
        <w:t>35</w:t>
      </w:r>
      <w:r>
        <w:fldChar w:fldCharType="end"/>
      </w:r>
      <w:r>
        <w:rPr>
          <w:szCs w:val="24"/>
        </w:rPr>
        <w:fldChar w:fldCharType="end"/>
      </w:r>
    </w:p>
    <w:p w14:paraId="264805AD">
      <w:pPr>
        <w:pStyle w:val="16"/>
        <w:tabs>
          <w:tab w:val="right" w:leader="dot" w:pos="9241"/>
        </w:tabs>
      </w:pPr>
      <w:r>
        <w:rPr>
          <w:szCs w:val="24"/>
        </w:rPr>
        <w:fldChar w:fldCharType="begin"/>
      </w:r>
      <w:r>
        <w:rPr>
          <w:szCs w:val="24"/>
        </w:rPr>
        <w:instrText xml:space="preserve"> HYPERLINK \l _Toc19332 </w:instrText>
      </w:r>
      <w:r>
        <w:rPr>
          <w:szCs w:val="24"/>
        </w:rPr>
        <w:fldChar w:fldCharType="separate"/>
      </w:r>
      <w:r>
        <w:t>7.2 不足（诚实陈述，呼应校准设计）</w:t>
      </w:r>
      <w:r>
        <w:tab/>
      </w:r>
      <w:r>
        <w:fldChar w:fldCharType="begin"/>
      </w:r>
      <w:r>
        <w:instrText xml:space="preserve"> PAGEREF _Toc19332 \h </w:instrText>
      </w:r>
      <w:r>
        <w:fldChar w:fldCharType="separate"/>
      </w:r>
      <w:r>
        <w:t>35</w:t>
      </w:r>
      <w:r>
        <w:fldChar w:fldCharType="end"/>
      </w:r>
      <w:r>
        <w:rPr>
          <w:szCs w:val="24"/>
        </w:rPr>
        <w:fldChar w:fldCharType="end"/>
      </w:r>
    </w:p>
    <w:p w14:paraId="68ABC522">
      <w:pPr>
        <w:pStyle w:val="16"/>
        <w:tabs>
          <w:tab w:val="right" w:leader="dot" w:pos="9241"/>
        </w:tabs>
      </w:pPr>
      <w:r>
        <w:rPr>
          <w:szCs w:val="24"/>
        </w:rPr>
        <w:fldChar w:fldCharType="begin"/>
      </w:r>
      <w:r>
        <w:rPr>
          <w:szCs w:val="24"/>
        </w:rPr>
        <w:instrText xml:space="preserve"> HYPERLINK \l _Toc25303 </w:instrText>
      </w:r>
      <w:r>
        <w:rPr>
          <w:szCs w:val="24"/>
        </w:rPr>
        <w:fldChar w:fldCharType="separate"/>
      </w:r>
      <w:r>
        <w:t>7.3 未来工作</w:t>
      </w:r>
      <w:r>
        <w:tab/>
      </w:r>
      <w:r>
        <w:fldChar w:fldCharType="begin"/>
      </w:r>
      <w:r>
        <w:instrText xml:space="preserve"> PAGEREF _Toc25303 \h </w:instrText>
      </w:r>
      <w:r>
        <w:fldChar w:fldCharType="separate"/>
      </w:r>
      <w:r>
        <w:t>36</w:t>
      </w:r>
      <w:r>
        <w:fldChar w:fldCharType="end"/>
      </w:r>
      <w:r>
        <w:rPr>
          <w:szCs w:val="24"/>
        </w:rPr>
        <w:fldChar w:fldCharType="end"/>
      </w:r>
    </w:p>
    <w:p w14:paraId="21C24403">
      <w:pPr>
        <w:pStyle w:val="15"/>
        <w:tabs>
          <w:tab w:val="right" w:leader="dot" w:pos="9241"/>
          <w:tab w:val="clear" w:pos="8296"/>
        </w:tabs>
      </w:pPr>
      <w:r>
        <w:rPr>
          <w:szCs w:val="24"/>
        </w:rPr>
        <w:fldChar w:fldCharType="begin"/>
      </w:r>
      <w:r>
        <w:rPr>
          <w:szCs w:val="24"/>
        </w:rPr>
        <w:instrText xml:space="preserve"> HYPERLINK \l _Toc15814 </w:instrText>
      </w:r>
      <w:r>
        <w:rPr>
          <w:szCs w:val="24"/>
        </w:rPr>
        <w:fldChar w:fldCharType="separate"/>
      </w:r>
      <w:r>
        <w:rPr>
          <w:rFonts w:hint="eastAsia" w:ascii="黑体" w:hAnsi="黑体"/>
        </w:rPr>
        <w:t>致</w:t>
      </w:r>
      <w:r>
        <w:rPr>
          <w:rFonts w:ascii="黑体" w:hAnsi="黑体"/>
        </w:rPr>
        <w:t xml:space="preserve">  </w:t>
      </w:r>
      <w:r>
        <w:rPr>
          <w:rFonts w:hint="eastAsia" w:ascii="黑体" w:hAnsi="黑体"/>
        </w:rPr>
        <w:t>谢</w:t>
      </w:r>
      <w:r>
        <w:tab/>
      </w:r>
      <w:r>
        <w:fldChar w:fldCharType="begin"/>
      </w:r>
      <w:r>
        <w:instrText xml:space="preserve"> PAGEREF _Toc15814 \h </w:instrText>
      </w:r>
      <w:r>
        <w:fldChar w:fldCharType="separate"/>
      </w:r>
      <w:r>
        <w:t>37</w:t>
      </w:r>
      <w:r>
        <w:fldChar w:fldCharType="end"/>
      </w:r>
      <w:r>
        <w:rPr>
          <w:szCs w:val="24"/>
        </w:rPr>
        <w:fldChar w:fldCharType="end"/>
      </w:r>
    </w:p>
    <w:p w14:paraId="1399E315">
      <w:pPr>
        <w:pStyle w:val="15"/>
        <w:tabs>
          <w:tab w:val="right" w:leader="dot" w:pos="9241"/>
          <w:tab w:val="clear" w:pos="8296"/>
        </w:tabs>
      </w:pPr>
      <w:r>
        <w:rPr>
          <w:szCs w:val="24"/>
        </w:rPr>
        <w:fldChar w:fldCharType="begin"/>
      </w:r>
      <w:r>
        <w:rPr>
          <w:szCs w:val="24"/>
        </w:rPr>
        <w:instrText xml:space="preserve"> HYPERLINK \l _Toc5808 </w:instrText>
      </w:r>
      <w:r>
        <w:rPr>
          <w:szCs w:val="24"/>
        </w:rPr>
        <w:fldChar w:fldCharType="separate"/>
      </w:r>
      <w:r>
        <w:rPr>
          <w:rFonts w:ascii="黑体" w:hAnsi="黑体"/>
        </w:rPr>
        <w:t>参考文献</w:t>
      </w:r>
      <w:r>
        <w:tab/>
      </w:r>
      <w:r>
        <w:fldChar w:fldCharType="begin"/>
      </w:r>
      <w:r>
        <w:instrText xml:space="preserve"> PAGEREF _Toc5808 \h </w:instrText>
      </w:r>
      <w:r>
        <w:fldChar w:fldCharType="separate"/>
      </w:r>
      <w:r>
        <w:t>37</w:t>
      </w:r>
      <w:r>
        <w:fldChar w:fldCharType="end"/>
      </w:r>
      <w:r>
        <w:rPr>
          <w:szCs w:val="24"/>
        </w:rPr>
        <w:fldChar w:fldCharType="end"/>
      </w:r>
    </w:p>
    <w:p w14:paraId="51178774">
      <w:pPr>
        <w:pStyle w:val="15"/>
        <w:tabs>
          <w:tab w:val="right" w:leader="dot" w:pos="9241"/>
          <w:tab w:val="clear" w:pos="8296"/>
        </w:tabs>
      </w:pPr>
      <w:r>
        <w:rPr>
          <w:szCs w:val="24"/>
        </w:rPr>
        <w:fldChar w:fldCharType="begin"/>
      </w:r>
      <w:r>
        <w:rPr>
          <w:szCs w:val="24"/>
        </w:rPr>
        <w:instrText xml:space="preserve"> HYPERLINK \l _Toc10624 </w:instrText>
      </w:r>
      <w:r>
        <w:rPr>
          <w:szCs w:val="24"/>
        </w:rPr>
        <w:fldChar w:fldCharType="separate"/>
      </w:r>
      <w:r>
        <w:rPr>
          <w:rFonts w:hint="eastAsia" w:ascii="黑体" w:hAnsi="黑体"/>
        </w:rPr>
        <w:t>附  录</w:t>
      </w:r>
      <w:r>
        <w:tab/>
      </w:r>
      <w:r>
        <w:fldChar w:fldCharType="begin"/>
      </w:r>
      <w:r>
        <w:instrText xml:space="preserve"> PAGEREF _Toc10624 \h </w:instrText>
      </w:r>
      <w:r>
        <w:fldChar w:fldCharType="separate"/>
      </w:r>
      <w:r>
        <w:t>40</w:t>
      </w:r>
      <w:r>
        <w:fldChar w:fldCharType="end"/>
      </w:r>
      <w:r>
        <w:rPr>
          <w:szCs w:val="24"/>
        </w:rPr>
        <w:fldChar w:fldCharType="end"/>
      </w:r>
    </w:p>
    <w:p w14:paraId="68B8BE90">
      <w:pPr>
        <w:pStyle w:val="7"/>
        <w:spacing w:before="312" w:beforeLines="100" w:after="312" w:afterLines="100" w:line="300" w:lineRule="auto"/>
        <w:jc w:val="center"/>
        <w:rPr>
          <w:sz w:val="24"/>
          <w:szCs w:val="24"/>
        </w:rPr>
      </w:pPr>
      <w:r>
        <w:rPr>
          <w:sz w:val="24"/>
          <w:szCs w:val="24"/>
        </w:rPr>
        <w:fldChar w:fldCharType="end"/>
      </w:r>
    </w:p>
    <w:p w14:paraId="47F9993B">
      <w:r>
        <w:rPr>
          <w:bCs/>
          <w:color w:val="000000"/>
          <w:sz w:val="28"/>
          <w:szCs w:val="28"/>
        </w:rPr>
        <w:pict>
          <v:shape id="自选图形 36" o:spid="_x0000_s1047" o:spt="61" type="#_x0000_t61" style="position:absolute;left:0pt;margin-left:194.9pt;margin-top:6.95pt;height:91pt;width:207.4pt;z-index:251659264;mso-width-relative:page;mso-height-relative:page;" fillcolor="#FFFFFF" filled="t" stroked="t" coordsize="21600,21600" adj="5369,-30184">
            <v:path/>
            <v:fill on="t" focussize="0,0"/>
            <v:stroke/>
            <v:imagedata o:title=""/>
            <o:lock v:ext="edit" aspectratio="f"/>
            <v:textbox>
              <w:txbxContent>
                <w:p w14:paraId="2F96AF07">
                  <w:pPr>
                    <w:rPr>
                      <w:rFonts w:hint="eastAsia" w:ascii="宋体" w:hAnsi="宋体" w:cs="宋体"/>
                      <w:color w:val="0000FF"/>
                      <w:sz w:val="24"/>
                      <w:szCs w:val="24"/>
                    </w:rPr>
                  </w:pPr>
                  <w:r>
                    <w:rPr>
                      <w:rFonts w:hint="eastAsia" w:ascii="宋体" w:hAnsi="宋体" w:cs="宋体"/>
                      <w:color w:val="0000FF"/>
                      <w:sz w:val="24"/>
                      <w:szCs w:val="24"/>
                    </w:rPr>
                    <w:t>目录列出一、二、三级标题，</w:t>
                  </w:r>
                </w:p>
                <w:p w14:paraId="63D58684">
                  <w:pPr>
                    <w:rPr>
                      <w:rFonts w:hint="eastAsia" w:ascii="宋体" w:hAnsi="宋体" w:cs="宋体"/>
                      <w:color w:val="0000FF"/>
                      <w:sz w:val="24"/>
                      <w:szCs w:val="24"/>
                    </w:rPr>
                  </w:pPr>
                  <w:r>
                    <w:rPr>
                      <w:rFonts w:hint="eastAsia" w:ascii="宋体" w:hAnsi="宋体" w:cs="宋体"/>
                      <w:color w:val="0000FF"/>
                      <w:sz w:val="24"/>
                      <w:szCs w:val="24"/>
                    </w:rPr>
                    <w:t>一级标题宋体小四号加粗左对齐</w:t>
                  </w:r>
                </w:p>
                <w:p w14:paraId="5BDEA7C0">
                  <w:pPr>
                    <w:rPr>
                      <w:rFonts w:hint="eastAsia" w:ascii="宋体" w:hAnsi="宋体" w:cs="宋体"/>
                      <w:color w:val="0000FF"/>
                      <w:sz w:val="24"/>
                      <w:szCs w:val="24"/>
                    </w:rPr>
                  </w:pPr>
                  <w:r>
                    <w:rPr>
                      <w:rFonts w:hint="eastAsia" w:ascii="宋体" w:hAnsi="宋体" w:cs="宋体"/>
                      <w:color w:val="0000FF"/>
                      <w:sz w:val="24"/>
                      <w:szCs w:val="24"/>
                    </w:rPr>
                    <w:t>二级标题宋体小四号缩进一个字符</w:t>
                  </w:r>
                </w:p>
                <w:p w14:paraId="7B2EC08B">
                  <w:pPr>
                    <w:rPr>
                      <w:rFonts w:hint="eastAsia" w:ascii="宋体" w:hAnsi="宋体" w:cs="宋体"/>
                      <w:color w:val="0000FF"/>
                      <w:sz w:val="24"/>
                      <w:szCs w:val="24"/>
                    </w:rPr>
                  </w:pPr>
                  <w:r>
                    <w:rPr>
                      <w:rFonts w:hint="eastAsia" w:ascii="宋体" w:hAnsi="宋体" w:cs="宋体"/>
                      <w:color w:val="0000FF"/>
                      <w:sz w:val="24"/>
                      <w:szCs w:val="24"/>
                    </w:rPr>
                    <w:t>三级标题宋体小四号缩进两个字符</w:t>
                  </w:r>
                </w:p>
                <w:p w14:paraId="3B24B978">
                  <w:pPr>
                    <w:rPr>
                      <w:rFonts w:hint="eastAsia"/>
                      <w:sz w:val="24"/>
                      <w:szCs w:val="24"/>
                    </w:rPr>
                  </w:pPr>
                  <w:r>
                    <w:rPr>
                      <w:rFonts w:hint="eastAsia" w:ascii="宋体" w:hAnsi="宋体" w:cs="宋体"/>
                      <w:color w:val="0000FF"/>
                      <w:sz w:val="24"/>
                      <w:szCs w:val="24"/>
                    </w:rPr>
                    <w:t>标题与页码用“……”联接。</w:t>
                  </w:r>
                </w:p>
              </w:txbxContent>
            </v:textbox>
          </v:shape>
        </w:pict>
      </w:r>
    </w:p>
    <w:p w14:paraId="7B7C2F61">
      <w:pPr>
        <w:spacing w:line="360" w:lineRule="auto"/>
        <w:ind w:right="-380"/>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9" o:spid="_x0000_s1069" o:spt="61" type="#_x0000_t61" style="position:absolute;left:0pt;margin-left:183.3pt;margin-top:105.65pt;height:25.45pt;width:154.95pt;z-index:251666432;mso-width-relative:page;mso-height-relative:page;" fillcolor="#FFFFFF" filled="t" stroked="t" coordsize="21600,21600" adj="-10837,76428">
            <v:path/>
            <v:fill on="t" focussize="0,0"/>
            <v:stroke/>
            <v:imagedata o:title=""/>
            <o:lock v:ext="edit" aspectratio="f"/>
            <v:textbox>
              <w:txbxContent>
                <w:p w14:paraId="74D9C12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4BA36A66">
      <w:pPr>
        <w:pStyle w:val="3"/>
      </w:pPr>
      <w:bookmarkStart w:id="8" w:name="_Toc12796"/>
      <w:r>
        <w:t>——StockSignal 平台的设计与实现</w:t>
      </w:r>
      <w:bookmarkEnd w:id="8"/>
    </w:p>
    <w:p w14:paraId="4285F251">
      <w:pPr>
        <w:pStyle w:val="7"/>
        <w:spacing w:line="300" w:lineRule="auto"/>
        <w:ind w:firstLine="420"/>
      </w:pPr>
      <w:r>
        <w:t xml:space="preserve">&gt; </w:t>
      </w:r>
      <w:r>
        <w:rPr>
          <w:b/>
        </w:rPr>
        <w:t>论文类型</w:t>
      </w:r>
      <w:r>
        <w:t>：学位论文（本科 / 硕士，定稿时确认）</w:t>
      </w:r>
    </w:p>
    <w:p w14:paraId="35A3577F">
      <w:pPr>
        <w:pStyle w:val="7"/>
        <w:spacing w:line="300" w:lineRule="auto"/>
        <w:ind w:firstLine="420"/>
      </w:pPr>
      <w:r>
        <w:t xml:space="preserve">&gt; </w:t>
      </w:r>
      <w:r>
        <w:rPr>
          <w:b/>
        </w:rPr>
        <w:t>作者</w:t>
      </w:r>
      <w:r>
        <w:t>：黄子洲</w:t>
      </w:r>
    </w:p>
    <w:p w14:paraId="30B1674F">
      <w:pPr>
        <w:pStyle w:val="7"/>
        <w:spacing w:line="300" w:lineRule="auto"/>
        <w:ind w:firstLine="420"/>
      </w:pPr>
      <w:r>
        <w:t xml:space="preserve">&gt; </w:t>
      </w:r>
      <w:r>
        <w:rPr>
          <w:b/>
        </w:rPr>
        <w:t>指导教师</w:t>
      </w:r>
      <w:r>
        <w:t>：陈丽琼</w:t>
      </w:r>
    </w:p>
    <w:p w14:paraId="218FBD55">
      <w:pPr>
        <w:pStyle w:val="7"/>
        <w:spacing w:line="300" w:lineRule="auto"/>
        <w:ind w:firstLine="420"/>
      </w:pPr>
      <w:r>
        <w:t xml:space="preserve">&gt; </w:t>
      </w:r>
      <w:r>
        <w:rPr>
          <w:b/>
        </w:rPr>
        <w:t>培养单位</w:t>
      </w:r>
      <w:r>
        <w:t>：「学校 · 学院 · 专业」</w:t>
      </w:r>
    </w:p>
    <w:p w14:paraId="17031201">
      <w:pPr>
        <w:pStyle w:val="7"/>
        <w:spacing w:line="300" w:lineRule="auto"/>
        <w:ind w:firstLine="420"/>
      </w:pPr>
      <w:r>
        <w:t xml:space="preserve">&gt; </w:t>
      </w:r>
      <w:r>
        <w:rPr>
          <w:b/>
        </w:rPr>
        <w:t>完成日期</w:t>
      </w:r>
      <w:r>
        <w:t>：2026 年　月</w:t>
      </w:r>
    </w:p>
    <w:p w14:paraId="02E67441">
      <w:pPr>
        <w:pStyle w:val="7"/>
        <w:spacing w:line="300" w:lineRule="auto"/>
        <w:ind w:firstLine="420"/>
      </w:pPr>
      <w:r>
        <w:t>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p>
    <w:p w14:paraId="7127BEDD">
      <w:pPr>
        <w:pStyle w:val="7"/>
        <w:spacing w:line="300" w:lineRule="auto"/>
        <w:ind w:firstLine="420"/>
      </w:pP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p>
    <w:p w14:paraId="053FEE21">
      <w:pPr>
        <w:pStyle w:val="7"/>
        <w:spacing w:line="300" w:lineRule="auto"/>
        <w:ind w:firstLine="420"/>
      </w:pPr>
      <w:r>
        <w:t>本文表明：在日频方向不可预测的现实下，把有限的可预测性配置在"仓位刻度"这一更稳健的维度、并以数据驱动方式持续校准，是事件驱动情绪类策略更诚实、更可持续的工程化路径。</w:t>
      </w:r>
    </w:p>
    <w:p w14:paraId="1B479EFC">
      <w:pPr>
        <w:pStyle w:val="7"/>
        <w:spacing w:line="300" w:lineRule="auto"/>
        <w:ind w:firstLine="420"/>
      </w:pPr>
      <w:r>
        <w:rPr>
          <w:b/>
        </w:rPr>
        <w:t>关键词</w:t>
      </w:r>
      <w:r>
        <w:t>：A 股；市场广度；情绪周期；决策闭环；刻度校准；回测；StockSignal</w:t>
      </w:r>
    </w:p>
    <w:p w14:paraId="4790CB1C">
      <w:pPr>
        <w:pStyle w:val="7"/>
        <w:spacing w:line="300" w:lineRule="auto"/>
        <w:ind w:firstLine="420"/>
      </w:pPr>
      <w:r>
        <w:t>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p>
    <w:p w14:paraId="501FB8E7">
      <w:pPr>
        <w:pStyle w:val="7"/>
        <w:spacing w:line="300" w:lineRule="auto"/>
        <w:ind w:firstLine="420"/>
      </w:pP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p>
    <w:p w14:paraId="171B7B53">
      <w:pPr>
        <w:pStyle w:val="7"/>
        <w:spacing w:line="300" w:lineRule="auto"/>
        <w:ind w:firstLine="420"/>
      </w:pP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2481192A">
      <w:pPr>
        <w:pStyle w:val="7"/>
        <w:spacing w:line="300" w:lineRule="auto"/>
        <w:ind w:firstLine="420"/>
      </w:pPr>
      <w:r>
        <w:rPr>
          <w:b/>
        </w:rPr>
        <w:t>Keywords</w:t>
      </w:r>
      <w:r>
        <w:t>: A-share; market breadth; sentiment cycle; decision closed-loop; scale calibration; backtest; StockSignal</w:t>
      </w:r>
    </w:p>
    <w:p w14:paraId="1C7DA7C2">
      <w:pPr>
        <w:pStyle w:val="2"/>
      </w:pPr>
      <w:bookmarkStart w:id="9" w:name="_Toc6410"/>
      <w:r>
        <w:t>1 绪论</w:t>
      </w:r>
      <w:bookmarkEnd w:id="9"/>
    </w:p>
    <w:p w14:paraId="75BA5C70">
      <w:pPr>
        <w:pStyle w:val="3"/>
      </w:pPr>
      <w:bookmarkStart w:id="10" w:name="_Toc30719"/>
      <w:r>
        <w:t>1.1 研究背景与意义</w:t>
      </w:r>
      <w:bookmarkEnd w:id="10"/>
    </w:p>
    <w:p w14:paraId="507CC57B">
      <w:pPr>
        <w:pStyle w:val="7"/>
        <w:spacing w:line="300" w:lineRule="auto"/>
        <w:ind w:firstLine="420"/>
      </w:pPr>
      <w:r>
        <w:t>A 股市场个人投资者占比高、信息来源庞杂，行情、公告、板块异动、连板梯队等信号在日内高频涌现。投资者普遍面临两类困境：一是"信息过载、决策凭感"，缺乏把多源信号收敛为明确仓位的工程化方法；二是"决策不可复盘"，即便做对做错，也说不清当时的决策依据。与此同时，机器学习在金融决策中的黑箱问题使其结论难以被个人投资者信任与采纳。</w:t>
      </w:r>
    </w:p>
    <w:p w14:paraId="09E69CCC">
      <w:pPr>
        <w:pStyle w:val="7"/>
        <w:spacing w:line="300" w:lineRule="auto"/>
        <w:ind w:firstLine="420"/>
      </w:pPr>
      <w:r>
        <w:t>本研究的意义在于：构建一个</w:t>
      </w:r>
      <w:r>
        <w:rPr>
          <w:b/>
        </w:rPr>
        <w:t>事件驱动的 A 股投研平台</w:t>
      </w:r>
      <w:r>
        <w:t>，把行情、事件、回测、持仓、决策整合为一条可操作的链路；并在其上实现</w:t>
      </w:r>
      <w:r>
        <w:rPr>
          <w:b/>
        </w:rPr>
        <w:t>可解释、可自纠偏、可验证</w:t>
      </w:r>
      <w:r>
        <w:t>的仓位推导方法，使普通投资者既能获得决策建议，又能理解、复盘、信任该建议。平台本身的工程实现遵循软件工程的分层与解耦原则，使上述能力可被持续维护与回归验证，而非依赖一次性脚本。</w:t>
      </w:r>
    </w:p>
    <w:p w14:paraId="58C95AC9">
      <w:pPr>
        <w:pStyle w:val="3"/>
      </w:pPr>
      <w:bookmarkStart w:id="11" w:name="_Toc1199"/>
      <w:r>
        <w:t>1.2 国内外研究现状</w:t>
      </w:r>
      <w:bookmarkEnd w:id="11"/>
    </w:p>
    <w:p w14:paraId="352977E2">
      <w:pPr>
        <w:pStyle w:val="7"/>
        <w:spacing w:line="300" w:lineRule="auto"/>
        <w:ind w:firstLine="420"/>
      </w:pPr>
      <w:r>
        <w:t>围绕本研究的四个理论支点，分别梳理事件研究法、仓位决策方法、可解释人工智能与模型校准、以及现有投研/量化平台四方面的研究进展。</w:t>
      </w:r>
    </w:p>
    <w:p w14:paraId="7DC74BF4">
      <w:pPr>
        <w:pStyle w:val="7"/>
        <w:spacing w:line="300" w:lineRule="auto"/>
        <w:ind w:firstLine="420"/>
      </w:pPr>
      <w:r>
        <w:t xml:space="preserve">- </w:t>
      </w:r>
      <w:r>
        <w:rPr>
          <w:b/>
        </w:rPr>
        <w:t>1.2.1 事件驱动与事件研究法（Event Study）</w:t>
      </w:r>
      <w:r>
        <w:t>：事件研究法由 MacKinlay[1] 系统化为衡量金融事件对资产价格短期影响的经典范式，Brown 与 Warner[2] 进一步论证了基于日收益率的事件研究在统计功效与实操性上的可行性与稳健性；在国内，赵宇龙[3] 以会计盈余披露为事件，实证了会计信息在上海股市的信息含量。上述工作奠定了"把离散事件映射为可量化市场反应"的方法论基础，也是本系统事件驱动架构（公告/板块异动/连板晋升 → 信号 → 决策）的直接理论来源。</w:t>
      </w:r>
    </w:p>
    <w:p w14:paraId="169E953B">
      <w:pPr>
        <w:pStyle w:val="7"/>
        <w:spacing w:line="300" w:lineRule="auto"/>
        <w:ind w:firstLine="420"/>
      </w:pPr>
      <w:r>
        <w:t xml:space="preserve">- </w:t>
      </w:r>
      <w:r>
        <w:rPr>
          <w:b/>
        </w:rPr>
        <w:t>1.2.2 仓位决策与组合权重方法</w:t>
      </w:r>
      <w:r>
        <w:t>：仓位与权重的核心思想可追溯至 Kelly[4] 的资本增长准则、Markowitz[5] 的均值-方差组合理论，以及 Black 与 Jones[6] 的组合保险（CPPI 类）、Choueifaty 与 Coignard[7] 的最大分散化组合。既有方法多为最优化黑箱或依赖强分布假设；本系统定位为"规则化、可解释"，以显性规则（温度/方向/周期/晋级率）推导仓位而非求解最优权重，天然可被投资者读懂与复盘。</w:t>
      </w:r>
    </w:p>
    <w:p w14:paraId="4A056A9F">
      <w:pPr>
        <w:pStyle w:val="7"/>
        <w:spacing w:line="300" w:lineRule="auto"/>
        <w:ind w:firstLine="420"/>
      </w:pPr>
      <w:r>
        <w:t xml:space="preserve">- </w:t>
      </w:r>
      <w:r>
        <w:rPr>
          <w:b/>
        </w:rPr>
        <w:t>1.2.3 可解释人工智能（XAI）与模型校准</w:t>
      </w:r>
      <w:r>
        <w:t>：为使模型可信，Ribeiro 等[8] 提出 LIME、Lundberg 与 Lee[9] 提出 SHAP，以事后近似解释任意分类器的预测；Niculescu-Mizil 与 Caruana[10]、Guo 等[11] 则关注"概率校准"——使模型输出概率与真实频率一致。这些工作揭示了"黑箱预测 → 人类可理解"的必要性，也启发本系统放弃事后近似解释，转而让</w:t>
      </w:r>
      <w:r>
        <w:rPr>
          <w:b/>
        </w:rPr>
        <w:t>决策规则本身可读</w:t>
      </w:r>
      <w:r>
        <w:t>（</w:t>
      </w:r>
      <w:r>
        <w:rPr>
          <w:rFonts w:ascii="Courier New" w:hAnsi="Courier New"/>
        </w:rPr>
        <w:t>reasons</w:t>
      </w:r>
      <w:r>
        <w:t xml:space="preserve"> 逐条留痕），并将"校准"思想改造为对仓位刻度参数 </w:t>
      </w:r>
      <w:r>
        <w:rPr>
          <w:rFonts w:ascii="Courier New" w:hAnsi="Courier New"/>
        </w:rPr>
        <w:t>CYCLE_ADJ</w:t>
      </w:r>
      <w:r>
        <w:t xml:space="preserve"> 的回测反推修正。</w:t>
      </w:r>
    </w:p>
    <w:p w14:paraId="2F7CC5D9">
      <w:pPr>
        <w:pStyle w:val="7"/>
        <w:spacing w:line="300" w:lineRule="auto"/>
        <w:ind w:firstLine="420"/>
      </w:pPr>
      <w:r>
        <w:t xml:space="preserve">- </w:t>
      </w:r>
      <w:r>
        <w:rPr>
          <w:b/>
        </w:rPr>
        <w:t>1.2.4 现有投研/量化平台综述</w:t>
      </w:r>
      <w:r>
        <w:t>：同花顺、东方财富以行情与资讯展示为主，聚宽[14]、米筐[15]、Backtrader[13] 等提供了回测与策略框架，但普遍在"决策闭环 + 可解释性"上存在缺口——或只展示不决策，或决策黑箱不可复盘。本系统在回测与展示之上补上"可解释、可自纠偏、可验证"的仓位推导闭环，正是针对上述不足。</w:t>
      </w:r>
    </w:p>
    <w:p w14:paraId="0034B0FE">
      <w:pPr>
        <w:pStyle w:val="3"/>
      </w:pPr>
      <w:bookmarkStart w:id="12" w:name="_Toc28709"/>
      <w:r>
        <w:t>1.3 研究内容与创新点</w:t>
      </w:r>
      <w:bookmarkEnd w:id="12"/>
    </w:p>
    <w:p w14:paraId="5E93B6EC">
      <w:pPr>
        <w:pStyle w:val="7"/>
        <w:spacing w:line="300" w:lineRule="auto"/>
        <w:ind w:firstLine="420"/>
      </w:pPr>
      <w:r>
        <w:t>- 研究内容：① 事件驱动投研平台（行情/事件/回测/持仓/决策全链路，按软件工程分层实现）；② 决策闭环（</w:t>
      </w:r>
      <w:r>
        <w:rPr>
          <w:rFonts w:ascii="Courier New" w:hAnsi="Courier New"/>
        </w:rPr>
        <w:t>derive_position</w:t>
      </w:r>
      <w:r>
        <w:t xml:space="preserve"> 四维→仓位，逐条 </w:t>
      </w:r>
      <w:r>
        <w:rPr>
          <w:rFonts w:ascii="Courier New" w:hAnsi="Courier New"/>
        </w:rPr>
        <w:t>reasons</w:t>
      </w:r>
      <w:r>
        <w:t xml:space="preserve"> 可解释）；③ 刻度校准（</w:t>
      </w:r>
      <w:r>
        <w:rPr>
          <w:rFonts w:ascii="Courier New" w:hAnsi="Courier New"/>
        </w:rPr>
        <w:t>calibration.py</w:t>
      </w:r>
      <w:r>
        <w:t xml:space="preserve"> 回测反推、有界、小样本不表态）；④ 预测 vs 实际回测（</w:t>
      </w:r>
      <w:r>
        <w:rPr>
          <w:rFonts w:ascii="Courier New" w:hAnsi="Courier New"/>
        </w:rPr>
        <w:t>decision_track</w:t>
      </w:r>
      <w:r>
        <w:t>）。</w:t>
      </w:r>
    </w:p>
    <w:p w14:paraId="57B54155">
      <w:pPr>
        <w:pStyle w:val="7"/>
        <w:spacing w:line="300" w:lineRule="auto"/>
        <w:ind w:firstLine="420"/>
      </w:pPr>
      <w:r>
        <w:t>- 创新点（单一、可讲清）：</w:t>
      </w:r>
      <w:r>
        <w:rPr>
          <w:b/>
        </w:rPr>
        <w:t>"决策闭环 + 刻度校准"的可解释仓位推导</w:t>
      </w:r>
      <w:r>
        <w:t>——相对"只展示型平台"提供决策，相对"黑箱决策型系统"提供可解释与可自纠偏。</w:t>
      </w:r>
    </w:p>
    <w:p w14:paraId="6A9F70C5">
      <w:pPr>
        <w:pStyle w:val="3"/>
      </w:pPr>
      <w:bookmarkStart w:id="13" w:name="_Toc3743"/>
      <w:r>
        <w:t>1.4 论文组织结构</w:t>
      </w:r>
      <w:bookmarkEnd w:id="13"/>
    </w:p>
    <w:p w14:paraId="7FAA992A">
      <w:pPr>
        <w:pStyle w:val="7"/>
        <w:spacing w:line="300" w:lineRule="auto"/>
        <w:ind w:firstLine="420"/>
      </w:pPr>
      <w:r>
        <w:t>第 1 章绪论；第 2 章相关技术；第 3 章需求与总体设计；第 4 章平台核心模块实现（含分层架构、并发工程与安全基线）；第 5 章创新点（决策闭环与刻度校准）；第 6 章系统测试与评估；第 7 章总结与展望；第 8 章参考文献/致谢/附录。</w:t>
      </w:r>
    </w:p>
    <w:p w14:paraId="303D8705">
      <w:pPr>
        <w:pStyle w:val="2"/>
      </w:pPr>
      <w:bookmarkStart w:id="14" w:name="_Toc4174"/>
      <w:r>
        <w:t>2 相关技术与理论基础</w:t>
      </w:r>
      <w:bookmarkEnd w:id="14"/>
    </w:p>
    <w:p w14:paraId="062F88F2">
      <w:pPr>
        <w:pStyle w:val="3"/>
      </w:pPr>
      <w:bookmarkStart w:id="15" w:name="_Toc13533"/>
      <w:r>
        <w:t>2.1 技术栈</w:t>
      </w:r>
      <w:bookmarkEnd w:id="15"/>
    </w:p>
    <w:p w14:paraId="363FCE65">
      <w:pPr>
        <w:pStyle w:val="7"/>
        <w:spacing w:line="300" w:lineRule="auto"/>
        <w:ind w:firstLine="420"/>
      </w:pPr>
      <w:r>
        <w:t>- Python 3.13：主语言（</w:t>
      </w:r>
      <w:r>
        <w:rPr>
          <w:rFonts w:ascii="Courier New" w:hAnsi="Courier New"/>
        </w:rPr>
        <w:t>pyproject.toml</w:t>
      </w:r>
      <w:r>
        <w:t xml:space="preserve"> 与 CI 均锁定 3.13）。</w:t>
      </w:r>
    </w:p>
    <w:p w14:paraId="7253F123">
      <w:pPr>
        <w:pStyle w:val="7"/>
        <w:spacing w:line="300" w:lineRule="auto"/>
        <w:ind w:firstLine="420"/>
      </w:pPr>
      <w:r>
        <w:t xml:space="preserve">- </w:t>
      </w:r>
      <w:r>
        <w:rPr>
          <w:b/>
        </w:rPr>
        <w:t>Streamlit</w:t>
      </w:r>
      <w:r>
        <w:t>：构建多页分析前端（</w:t>
      </w:r>
      <w:r>
        <w:rPr>
          <w:rFonts w:ascii="Courier New" w:hAnsi="Courier New"/>
        </w:rPr>
        <w:t>app.py</w:t>
      </w:r>
      <w:r>
        <w:t xml:space="preserve"> + </w:t>
      </w:r>
      <w:r>
        <w:rPr>
          <w:rFonts w:ascii="Courier New" w:hAnsi="Courier New"/>
        </w:rPr>
        <w:t>pages/</w:t>
      </w:r>
      <w:r>
        <w:t>，共 41 个页面文件）。</w:t>
      </w:r>
    </w:p>
    <w:p w14:paraId="0EC0EAED">
      <w:pPr>
        <w:pStyle w:val="7"/>
        <w:spacing w:line="300" w:lineRule="auto"/>
        <w:ind w:firstLine="420"/>
      </w:pPr>
      <w:r>
        <w:t xml:space="preserve">- </w:t>
      </w:r>
      <w:r>
        <w:rPr>
          <w:b/>
        </w:rPr>
        <w:t>Flask + SQLAlchemy + PyJWT</w:t>
      </w:r>
      <w:r>
        <w:t>：5050 端口统一 JSON 后端与鉴权，采用工厂模式构造应用。</w:t>
      </w:r>
    </w:p>
    <w:p w14:paraId="1A5A4C44">
      <w:pPr>
        <w:pStyle w:val="7"/>
        <w:spacing w:line="300" w:lineRule="auto"/>
        <w:ind w:firstLine="420"/>
      </w:pPr>
      <w:r>
        <w:t xml:space="preserve">- </w:t>
      </w:r>
      <w:r>
        <w:rPr>
          <w:b/>
        </w:rPr>
        <w:t>SQLite</w:t>
      </w:r>
      <w:r>
        <w:t>：轻量本地落盘（决策快照、预测记录、梯队/情绪表），不引入独立数据库服务。</w:t>
      </w:r>
    </w:p>
    <w:p w14:paraId="7C736895">
      <w:pPr>
        <w:pStyle w:val="7"/>
        <w:spacing w:line="300" w:lineRule="auto"/>
        <w:ind w:firstLine="420"/>
      </w:pPr>
      <w:r>
        <w:t xml:space="preserve">- </w:t>
      </w:r>
      <w:r>
        <w:rPr>
          <w:b/>
        </w:rPr>
        <w:t>AKShare / Tushare / BaoStock / 新浪 / 东方财富</w:t>
      </w:r>
      <w:r>
        <w:t>：多源行情与基本面数据，带五级降级链（akshare→BaoStock→新浪→东财→本地缓存）；各库官方文档（见第 8 章 [13][14][15] 等）为本系统数据接入提供了 API 依据。</w:t>
      </w:r>
    </w:p>
    <w:p w14:paraId="58DC55DD">
      <w:pPr>
        <w:pStyle w:val="3"/>
      </w:pPr>
      <w:bookmarkStart w:id="16" w:name="_Toc18314"/>
      <w:r>
        <w:t>2.2 事件驱动架构（EDA）概念</w:t>
      </w:r>
      <w:bookmarkEnd w:id="16"/>
    </w:p>
    <w:p w14:paraId="0FDD9A0C">
      <w:pPr>
        <w:pStyle w:val="7"/>
        <w:spacing w:line="300" w:lineRule="auto"/>
        <w:ind w:firstLine="420"/>
      </w:pPr>
      <w:r>
        <w:t>事件驱动架构以"事件产生—事件分发—事件处理—信号/动作"为主线。映射到本系统：公告/板块异动/连板梯队晋升作为</w:t>
      </w:r>
      <w:r>
        <w:rPr>
          <w:b/>
        </w:rPr>
        <w:t>事件源</w:t>
      </w:r>
      <w:r>
        <w:t xml:space="preserve">，经 </w:t>
      </w:r>
      <w:r>
        <w:rPr>
          <w:rFonts w:ascii="Courier New" w:hAnsi="Courier New"/>
        </w:rPr>
        <w:t>event_factor</w:t>
      </w:r>
      <w:r>
        <w:t>、梯队递推生成</w:t>
      </w:r>
      <w:r>
        <w:rPr>
          <w:b/>
        </w:rPr>
        <w:t>信号</w:t>
      </w:r>
      <w:r>
        <w:t xml:space="preserve">，再汇入 </w:t>
      </w:r>
      <w:r>
        <w:rPr>
          <w:rFonts w:ascii="Courier New" w:hAnsi="Courier New"/>
        </w:rPr>
        <w:t>decision</w:t>
      </w:r>
      <w:r>
        <w:t xml:space="preserve"> 模块形成</w:t>
      </w:r>
      <w:r>
        <w:rPr>
          <w:b/>
        </w:rPr>
        <w:t>决策</w:t>
      </w:r>
      <w:r>
        <w:t>。相比请求—响应式，EDA 更适配"多源异步信号汇聚为统一决策"的场景，也便于把"决策"显式建模为事件处理的结果而非散落在各页面的临时判断。</w:t>
      </w:r>
    </w:p>
    <w:p w14:paraId="007DCC3F">
      <w:pPr>
        <w:pStyle w:val="3"/>
      </w:pPr>
      <w:bookmarkStart w:id="17" w:name="_Toc22252"/>
      <w:r>
        <w:t>2.3 回测与成本模型</w:t>
      </w:r>
      <w:bookmarkEnd w:id="17"/>
    </w:p>
    <w:p w14:paraId="7F0A2E57">
      <w:pPr>
        <w:pStyle w:val="7"/>
        <w:spacing w:line="300" w:lineRule="auto"/>
        <w:ind w:firstLine="420"/>
      </w:pPr>
      <w:r>
        <w:t>本系统回测引擎（</w:t>
      </w:r>
      <w:r>
        <w:rPr>
          <w:rFonts w:ascii="Courier New" w:hAnsi="Courier New"/>
        </w:rPr>
        <w:t>modules/backtest.py</w:t>
      </w:r>
      <w:r>
        <w:t>，约 1532 行）内置真实交易成本模型，是评估策略与验证决策可信度的基石：</w:t>
      </w:r>
    </w:p>
    <w:p w14:paraId="6CF9CDE4">
      <w:pPr>
        <w:pStyle w:val="7"/>
        <w:spacing w:line="300" w:lineRule="auto"/>
        <w:ind w:firstLine="420"/>
      </w:pPr>
      <w:r>
        <w:t xml:space="preserve">- 单边佣金 </w:t>
      </w:r>
      <w:r>
        <w:rPr>
          <w:rFonts w:ascii="Courier New" w:hAnsi="Courier New"/>
        </w:rPr>
        <w:t>commission = 0.001</w:t>
      </w:r>
      <w:r>
        <w:t>（万三）；</w:t>
      </w:r>
    </w:p>
    <w:p w14:paraId="66486784">
      <w:pPr>
        <w:pStyle w:val="7"/>
        <w:spacing w:line="300" w:lineRule="auto"/>
        <w:ind w:firstLine="420"/>
      </w:pPr>
      <w:r>
        <w:t xml:space="preserve">- 滑点 </w:t>
      </w:r>
      <w:r>
        <w:rPr>
          <w:rFonts w:ascii="Courier New" w:hAnsi="Courier New"/>
        </w:rPr>
        <w:t>slippage_pct = 0.001</w:t>
      </w:r>
      <w:r>
        <w:t>（0.1%）；</w:t>
      </w:r>
    </w:p>
    <w:p w14:paraId="6CBC3B54">
      <w:pPr>
        <w:pStyle w:val="7"/>
        <w:spacing w:line="300" w:lineRule="auto"/>
        <w:ind w:firstLine="420"/>
      </w:pPr>
      <w:r>
        <w:t xml:space="preserve">- 印花税 </w:t>
      </w:r>
      <w:r>
        <w:rPr>
          <w:rFonts w:ascii="Courier New" w:hAnsi="Courier New"/>
        </w:rPr>
        <w:t>stamp_tax_pct = 0.001</w:t>
      </w:r>
      <w:r>
        <w:t>（千一），</w:t>
      </w:r>
      <w:r>
        <w:rPr>
          <w:b/>
        </w:rPr>
        <w:t>仅卖出侧扣除</w:t>
      </w:r>
      <w:r>
        <w:t>。</w:t>
      </w:r>
    </w:p>
    <w:p w14:paraId="65FF8570">
      <w:pPr>
        <w:pStyle w:val="7"/>
        <w:spacing w:line="300" w:lineRule="auto"/>
        <w:ind w:firstLine="420"/>
      </w:pPr>
      <w:r>
        <w:t xml:space="preserve">- 买入成本 ≈ </w:t>
      </w:r>
      <w:r>
        <w:rPr>
          <w:rFonts w:ascii="Courier New" w:hAnsi="Courier New"/>
        </w:rPr>
        <w:t>price × (1 + slippage + commission)</w:t>
      </w:r>
      <w:r>
        <w:t xml:space="preserve">；卖出收入 ≈ </w:t>
      </w:r>
      <w:r>
        <w:rPr>
          <w:rFonts w:ascii="Courier New" w:hAnsi="Courier New"/>
        </w:rPr>
        <w:t>position × price × (1 − slippage) × (1 − commission − stamp_tax)</w:t>
      </w:r>
      <w:r>
        <w:t>。</w:t>
      </w:r>
    </w:p>
    <w:p w14:paraId="64E2F4C4">
      <w:pPr>
        <w:pStyle w:val="7"/>
        <w:spacing w:line="300" w:lineRule="auto"/>
        <w:ind w:firstLine="420"/>
      </w:pPr>
      <w:r>
        <w:t>- 支持策略：</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；指标含 RSI / ATR / MACD / Bollinger / ADX。</w:t>
      </w:r>
    </w:p>
    <w:p w14:paraId="44D5B627">
      <w:pPr>
        <w:pStyle w:val="7"/>
        <w:spacing w:line="300" w:lineRule="auto"/>
        <w:ind w:firstLine="420"/>
      </w:pPr>
      <w:r>
        <w:t>成本模型真实扣除是回测可信的前提，也是第 6 章验证的对象。回测对真实交易成本的建模直接影响策略评价结论，Perold[12] 关于"实现缺口"（implementation shortfall）的讨论正说明了成本假设的重要性——省略滑点与印花税的回测往往高估策略收益，使评价结论失真。</w:t>
      </w:r>
    </w:p>
    <w:p w14:paraId="300B8549">
      <w:pPr>
        <w:pStyle w:val="3"/>
      </w:pPr>
      <w:bookmarkStart w:id="18" w:name="_Toc14647"/>
      <w:r>
        <w:t>2.4 仓位决策与评价方法</w:t>
      </w:r>
      <w:bookmarkEnd w:id="18"/>
    </w:p>
    <w:p w14:paraId="1F9D9303">
      <w:pPr>
        <w:pStyle w:val="7"/>
        <w:spacing w:line="300" w:lineRule="auto"/>
        <w:ind w:firstLine="420"/>
      </w:pPr>
      <w:r>
        <w:t xml:space="preserve">- </w:t>
      </w:r>
      <w:r>
        <w:rPr>
          <w:b/>
        </w:rPr>
        <w:t>可解释性</w:t>
      </w:r>
      <w:r>
        <w:t xml:space="preserve">：指决策依据对人类可读、可回溯。本系统以规则显式化 + </w:t>
      </w:r>
      <w:r>
        <w:rPr>
          <w:rFonts w:ascii="Courier New" w:hAnsi="Courier New"/>
        </w:rPr>
        <w:t>reasons</w:t>
      </w:r>
      <w:r>
        <w:t xml:space="preserve"> 逐条留痕实现（区别于 SHAP[9]、LIME[8] 等事后近似解释），其理论脉络见 1.2.3。</w:t>
      </w:r>
    </w:p>
    <w:p w14:paraId="1383763A">
      <w:pPr>
        <w:pStyle w:val="7"/>
        <w:spacing w:line="300" w:lineRule="auto"/>
        <w:ind w:firstLine="420"/>
      </w:pPr>
      <w:r>
        <w:t xml:space="preserve">- </w:t>
      </w:r>
      <w:r>
        <w:rPr>
          <w:b/>
        </w:rPr>
        <w:t>回测命中率</w:t>
      </w:r>
      <w:r>
        <w:t>：以"预测方向 vs 次日实际方向"衡量决策可信度，分周期/分组统计。</w:t>
      </w:r>
    </w:p>
    <w:p w14:paraId="2E40706C">
      <w:pPr>
        <w:pStyle w:val="7"/>
        <w:spacing w:line="300" w:lineRule="auto"/>
        <w:ind w:firstLine="420"/>
      </w:pPr>
      <w:r>
        <w:t xml:space="preserve">- </w:t>
      </w:r>
      <w:r>
        <w:rPr>
          <w:b/>
        </w:rPr>
        <w:t>校准（calibration）</w:t>
      </w:r>
      <w:r>
        <w:t>：本系统中指"按历史回测反推并修正各周期仓位刻度"（</w:t>
      </w:r>
      <w:r>
        <w:rPr>
          <w:rFonts w:ascii="Courier New" w:hAnsi="Courier New"/>
        </w:rPr>
        <w:t>CYCLE_ADJ</w:t>
      </w:r>
      <w:r>
        <w:t>），与统计学的"概率校准"[10][11] 概念相关但对象不同——前者修正规则参数、后者修正预测概率。写作时需明确区分二者，避免术语混用被答辩质疑。</w:t>
      </w:r>
    </w:p>
    <w:p w14:paraId="1D0D81FF">
      <w:pPr>
        <w:pStyle w:val="3"/>
      </w:pPr>
      <w:bookmarkStart w:id="19" w:name="_Toc27889"/>
      <w:r>
        <w:t>2.5 本章小结</w:t>
      </w:r>
      <w:bookmarkEnd w:id="19"/>
    </w:p>
    <w:p w14:paraId="51167B1A">
      <w:pPr>
        <w:pStyle w:val="7"/>
        <w:spacing w:line="300" w:lineRule="auto"/>
        <w:ind w:firstLine="420"/>
      </w:pPr>
      <w:r>
        <w:t>本章梳理了支撑平台实现的技术栈与理论基础：事件驱动架构为系统主线提供范式，真实成本模型为回测可信度提供保障，可解释性与校准的相关研究为第 5 章创新点提供对照坐标。下一章转入需求分析与总体设计。</w:t>
      </w:r>
    </w:p>
    <w:p w14:paraId="550968C5">
      <w:pPr>
        <w:pStyle w:val="2"/>
      </w:pPr>
      <w:bookmarkStart w:id="20" w:name="_Toc24102"/>
      <w:r>
        <w:t>3 系统需求分析与总体设计</w:t>
      </w:r>
      <w:bookmarkEnd w:id="20"/>
    </w:p>
    <w:p w14:paraId="58C7AA27">
      <w:pPr>
        <w:pStyle w:val="3"/>
      </w:pPr>
      <w:bookmarkStart w:id="21" w:name="_Toc20681"/>
      <w:r>
        <w:t>3.1 功能需求</w:t>
      </w:r>
      <w:bookmarkEnd w:id="21"/>
    </w:p>
    <w:p w14:paraId="177B2754"/>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76C9F94">
        <w:tblPrEx>
          <w:tblCellMar>
            <w:top w:w="0" w:type="dxa"/>
            <w:left w:w="108" w:type="dxa"/>
            <w:bottom w:w="0" w:type="dxa"/>
            <w:right w:w="108" w:type="dxa"/>
          </w:tblCellMar>
        </w:tblPrEx>
        <w:tc>
          <w:tcPr>
            <w:tcW w:w="3080" w:type="dxa"/>
          </w:tcPr>
          <w:p w14:paraId="77708AC7">
            <w:r>
              <w:rPr>
                <w:rFonts w:ascii="Times New Roman" w:hAnsi="Times New Roman" w:eastAsia="宋体"/>
                <w:sz w:val="21"/>
              </w:rPr>
              <w:t>功能</w:t>
            </w:r>
          </w:p>
        </w:tc>
        <w:tc>
          <w:tcPr>
            <w:tcW w:w="3080" w:type="dxa"/>
          </w:tcPr>
          <w:p w14:paraId="04706D2C">
            <w:r>
              <w:rPr>
                <w:rFonts w:ascii="Times New Roman" w:hAnsi="Times New Roman" w:eastAsia="宋体"/>
                <w:sz w:val="21"/>
              </w:rPr>
              <w:t>对应模块</w:t>
            </w:r>
          </w:p>
        </w:tc>
        <w:tc>
          <w:tcPr>
            <w:tcW w:w="3080" w:type="dxa"/>
          </w:tcPr>
          <w:p w14:paraId="6D70E969">
            <w:r>
              <w:rPr>
                <w:rFonts w:ascii="Times New Roman" w:hAnsi="Times New Roman" w:eastAsia="宋体"/>
                <w:sz w:val="21"/>
              </w:rPr>
              <w:t>优先级</w:t>
            </w:r>
          </w:p>
        </w:tc>
      </w:tr>
      <w:tr w14:paraId="2145BF58">
        <w:tblPrEx>
          <w:tblCellMar>
            <w:top w:w="0" w:type="dxa"/>
            <w:left w:w="108" w:type="dxa"/>
            <w:bottom w:w="0" w:type="dxa"/>
            <w:right w:w="108" w:type="dxa"/>
          </w:tblCellMar>
        </w:tblPrEx>
        <w:tc>
          <w:tcPr>
            <w:tcW w:w="3080" w:type="dxa"/>
          </w:tcPr>
          <w:p w14:paraId="6604EF4B">
            <w:r>
              <w:rPr>
                <w:rFonts w:ascii="Times New Roman" w:hAnsi="Times New Roman" w:eastAsia="宋体"/>
                <w:sz w:val="21"/>
              </w:rPr>
              <w:t>行情看板（K线/技术面/均线/动量/量能/形态）</w:t>
            </w:r>
          </w:p>
        </w:tc>
        <w:tc>
          <w:tcPr>
            <w:tcW w:w="3080" w:type="dxa"/>
          </w:tcPr>
          <w:p w14:paraId="5FD85AE1">
            <w:r>
              <w:rPr>
                <w:rFonts w:ascii="Times New Roman" w:hAnsi="Times New Roman" w:eastAsia="宋体"/>
                <w:sz w:val="21"/>
              </w:rPr>
              <w:t>`modules/` 行情页、`colors.py`（A股红涨绿跌）</w:t>
            </w:r>
          </w:p>
        </w:tc>
        <w:tc>
          <w:tcPr>
            <w:tcW w:w="3080" w:type="dxa"/>
          </w:tcPr>
          <w:p w14:paraId="6BEA4C2B">
            <w:r>
              <w:rPr>
                <w:rFonts w:ascii="Times New Roman" w:hAnsi="Times New Roman" w:eastAsia="宋体"/>
                <w:sz w:val="21"/>
              </w:rPr>
              <w:t>高</w:t>
            </w:r>
          </w:p>
        </w:tc>
      </w:tr>
      <w:tr w14:paraId="450638AE">
        <w:tblPrEx>
          <w:tblCellMar>
            <w:top w:w="0" w:type="dxa"/>
            <w:left w:w="108" w:type="dxa"/>
            <w:bottom w:w="0" w:type="dxa"/>
            <w:right w:w="108" w:type="dxa"/>
          </w:tblCellMar>
        </w:tblPrEx>
        <w:tc>
          <w:tcPr>
            <w:tcW w:w="3080" w:type="dxa"/>
          </w:tcPr>
          <w:p w14:paraId="0C7A356B">
            <w:r>
              <w:rPr>
                <w:rFonts w:ascii="Times New Roman" w:hAnsi="Times New Roman" w:eastAsia="宋体"/>
                <w:sz w:val="21"/>
              </w:rPr>
              <w:t>事件追踪与板块详情</w:t>
            </w:r>
          </w:p>
        </w:tc>
        <w:tc>
          <w:tcPr>
            <w:tcW w:w="3080" w:type="dxa"/>
          </w:tcPr>
          <w:p w14:paraId="5D433497">
            <w:r>
              <w:rPr>
                <w:rFonts w:ascii="Times New Roman" w:hAnsi="Times New Roman" w:eastAsia="宋体"/>
                <w:sz w:val="21"/>
              </w:rPr>
              <w:t>事件/板块页、`event_factor`</w:t>
            </w:r>
          </w:p>
        </w:tc>
        <w:tc>
          <w:tcPr>
            <w:tcW w:w="3080" w:type="dxa"/>
          </w:tcPr>
          <w:p w14:paraId="4E9123F0">
            <w:r>
              <w:rPr>
                <w:rFonts w:ascii="Times New Roman" w:hAnsi="Times New Roman" w:eastAsia="宋体"/>
                <w:sz w:val="21"/>
              </w:rPr>
              <w:t>高</w:t>
            </w:r>
          </w:p>
        </w:tc>
      </w:tr>
      <w:tr w14:paraId="79EE792E">
        <w:tblPrEx>
          <w:tblCellMar>
            <w:top w:w="0" w:type="dxa"/>
            <w:left w:w="108" w:type="dxa"/>
            <w:bottom w:w="0" w:type="dxa"/>
            <w:right w:w="108" w:type="dxa"/>
          </w:tblCellMar>
        </w:tblPrEx>
        <w:tc>
          <w:tcPr>
            <w:tcW w:w="3080" w:type="dxa"/>
          </w:tcPr>
          <w:p w14:paraId="7B28D16E">
            <w:r>
              <w:rPr>
                <w:rFonts w:ascii="Times New Roman" w:hAnsi="Times New Roman" w:eastAsia="宋体"/>
                <w:sz w:val="21"/>
              </w:rPr>
              <w:t>策略回测</w:t>
            </w:r>
          </w:p>
        </w:tc>
        <w:tc>
          <w:tcPr>
            <w:tcW w:w="3080" w:type="dxa"/>
          </w:tcPr>
          <w:p w14:paraId="66F93BE3">
            <w:r>
              <w:rPr>
                <w:rFonts w:ascii="Times New Roman" w:hAnsi="Times New Roman" w:eastAsia="宋体"/>
                <w:sz w:val="21"/>
              </w:rPr>
              <w:t>`backtest.py`（含成本模型、批量回测并行）</w:t>
            </w:r>
          </w:p>
        </w:tc>
        <w:tc>
          <w:tcPr>
            <w:tcW w:w="3080" w:type="dxa"/>
          </w:tcPr>
          <w:p w14:paraId="308F6972">
            <w:r>
              <w:rPr>
                <w:rFonts w:ascii="Times New Roman" w:hAnsi="Times New Roman" w:eastAsia="宋体"/>
                <w:sz w:val="21"/>
              </w:rPr>
              <w:t>高</w:t>
            </w:r>
          </w:p>
        </w:tc>
      </w:tr>
      <w:tr w14:paraId="134598BD">
        <w:tblPrEx>
          <w:tblCellMar>
            <w:top w:w="0" w:type="dxa"/>
            <w:left w:w="108" w:type="dxa"/>
            <w:bottom w:w="0" w:type="dxa"/>
            <w:right w:w="108" w:type="dxa"/>
          </w:tblCellMar>
        </w:tblPrEx>
        <w:tc>
          <w:tcPr>
            <w:tcW w:w="3080" w:type="dxa"/>
          </w:tcPr>
          <w:p w14:paraId="69EDF7C3">
            <w:r>
              <w:rPr>
                <w:rFonts w:ascii="Times New Roman" w:hAnsi="Times New Roman" w:eastAsia="宋体"/>
                <w:sz w:val="21"/>
              </w:rPr>
              <w:t>持仓管理与多源治理</w:t>
            </w:r>
          </w:p>
        </w:tc>
        <w:tc>
          <w:tcPr>
            <w:tcW w:w="3080" w:type="dxa"/>
          </w:tcPr>
          <w:p w14:paraId="5214413F">
            <w:r>
              <w:rPr>
                <w:rFonts w:ascii="Times New Roman" w:hAnsi="Times New Roman" w:eastAsia="宋体"/>
                <w:sz w:val="21"/>
              </w:rPr>
              <w:t>`fetcher.py` 降级链、`mark_suspect`</w:t>
            </w:r>
          </w:p>
        </w:tc>
        <w:tc>
          <w:tcPr>
            <w:tcW w:w="3080" w:type="dxa"/>
          </w:tcPr>
          <w:p w14:paraId="255DE35D">
            <w:r>
              <w:rPr>
                <w:rFonts w:ascii="Times New Roman" w:hAnsi="Times New Roman" w:eastAsia="宋体"/>
                <w:sz w:val="21"/>
              </w:rPr>
              <w:t>中</w:t>
            </w:r>
          </w:p>
        </w:tc>
      </w:tr>
      <w:tr w14:paraId="5FF34F2E">
        <w:tblPrEx>
          <w:tblCellMar>
            <w:top w:w="0" w:type="dxa"/>
            <w:left w:w="108" w:type="dxa"/>
            <w:bottom w:w="0" w:type="dxa"/>
            <w:right w:w="108" w:type="dxa"/>
          </w:tblCellMar>
        </w:tblPrEx>
        <w:tc>
          <w:tcPr>
            <w:tcW w:w="3080" w:type="dxa"/>
          </w:tcPr>
          <w:p w14:paraId="4BC29A54">
            <w:r>
              <w:rPr>
                <w:rFonts w:ascii="Times New Roman" w:hAnsi="Times New Roman" w:eastAsia="宋体"/>
                <w:sz w:val="21"/>
              </w:rPr>
              <w:t>个股分析与多股对比（≥5 只）</w:t>
            </w:r>
          </w:p>
        </w:tc>
        <w:tc>
          <w:tcPr>
            <w:tcW w:w="3080" w:type="dxa"/>
          </w:tcPr>
          <w:p w14:paraId="417B821D">
            <w:r>
              <w:rPr>
                <w:rFonts w:ascii="Times New Roman" w:hAnsi="Times New Roman" w:eastAsia="宋体"/>
                <w:sz w:val="21"/>
              </w:rPr>
              <w:t>`2_个股分析.py`、`compare.py`</w:t>
            </w:r>
          </w:p>
        </w:tc>
        <w:tc>
          <w:tcPr>
            <w:tcW w:w="3080" w:type="dxa"/>
          </w:tcPr>
          <w:p w14:paraId="4A4BC360">
            <w:r>
              <w:rPr>
                <w:rFonts w:ascii="Times New Roman" w:hAnsi="Times New Roman" w:eastAsia="宋体"/>
                <w:sz w:val="21"/>
              </w:rPr>
              <w:t>中</w:t>
            </w:r>
          </w:p>
        </w:tc>
      </w:tr>
      <w:tr w14:paraId="1524EE23">
        <w:tblPrEx>
          <w:tblCellMar>
            <w:top w:w="0" w:type="dxa"/>
            <w:left w:w="108" w:type="dxa"/>
            <w:bottom w:w="0" w:type="dxa"/>
            <w:right w:w="108" w:type="dxa"/>
          </w:tblCellMar>
        </w:tblPrEx>
        <w:tc>
          <w:tcPr>
            <w:tcW w:w="3080" w:type="dxa"/>
          </w:tcPr>
          <w:p w14:paraId="58C7094E">
            <w:r>
              <w:rPr>
                <w:rFonts w:ascii="Times New Roman" w:hAnsi="Times New Roman" w:eastAsia="宋体"/>
                <w:sz w:val="21"/>
              </w:rPr>
              <w:t>决策面板（创新点载体）</w:t>
            </w:r>
          </w:p>
        </w:tc>
        <w:tc>
          <w:tcPr>
            <w:tcW w:w="3080" w:type="dxa"/>
          </w:tcPr>
          <w:p w14:paraId="492519A7">
            <w:r>
              <w:rPr>
                <w:rFonts w:ascii="Times New Roman" w:hAnsi="Times New Roman" w:eastAsia="宋体"/>
                <w:sz w:val="21"/>
              </w:rPr>
              <w:t>`decision.py` / `calibration.py` / `decision_track.py`</w:t>
            </w:r>
          </w:p>
        </w:tc>
        <w:tc>
          <w:tcPr>
            <w:tcW w:w="3080" w:type="dxa"/>
          </w:tcPr>
          <w:p w14:paraId="16D230BE">
            <w:r>
              <w:rPr>
                <w:rFonts w:ascii="Times New Roman" w:hAnsi="Times New Roman" w:eastAsia="宋体"/>
                <w:sz w:val="21"/>
              </w:rPr>
              <w:t>高</w:t>
            </w:r>
          </w:p>
        </w:tc>
      </w:tr>
      <w:tr w14:paraId="64678876">
        <w:tblPrEx>
          <w:tblCellMar>
            <w:top w:w="0" w:type="dxa"/>
            <w:left w:w="108" w:type="dxa"/>
            <w:bottom w:w="0" w:type="dxa"/>
            <w:right w:w="108" w:type="dxa"/>
          </w:tblCellMar>
        </w:tblPrEx>
        <w:tc>
          <w:tcPr>
            <w:tcW w:w="3080" w:type="dxa"/>
          </w:tcPr>
          <w:p w14:paraId="5CD7A24C">
            <w:r>
              <w:rPr>
                <w:rFonts w:ascii="Times New Roman" w:hAnsi="Times New Roman" w:eastAsia="宋体"/>
                <w:sz w:val="21"/>
              </w:rPr>
              <w:t>市场情绪与连板梯队</w:t>
            </w:r>
          </w:p>
        </w:tc>
        <w:tc>
          <w:tcPr>
            <w:tcW w:w="3080" w:type="dxa"/>
          </w:tcPr>
          <w:p w14:paraId="0077F6A8">
            <w:r>
              <w:rPr>
                <w:rFonts w:ascii="Times New Roman" w:hAnsi="Times New Roman" w:eastAsia="宋体"/>
                <w:sz w:val="21"/>
              </w:rPr>
              <w:t>牧羊人 8 项指标、`shepherd_ladder`</w:t>
            </w:r>
          </w:p>
        </w:tc>
        <w:tc>
          <w:tcPr>
            <w:tcW w:w="3080" w:type="dxa"/>
          </w:tcPr>
          <w:p w14:paraId="6B0E2816">
            <w:r>
              <w:rPr>
                <w:rFonts w:ascii="Times New Roman" w:hAnsi="Times New Roman" w:eastAsia="宋体"/>
                <w:sz w:val="21"/>
              </w:rPr>
              <w:t>中</w:t>
            </w:r>
          </w:p>
        </w:tc>
      </w:tr>
    </w:tbl>
    <w:p w14:paraId="0E63641B">
      <w:pPr>
        <w:pStyle w:val="3"/>
      </w:pPr>
      <w:bookmarkStart w:id="22" w:name="_Toc9157"/>
      <w:r>
        <w:t>3.2 非功能需求</w:t>
      </w:r>
      <w:bookmarkEnd w:id="22"/>
    </w:p>
    <w:p w14:paraId="27452605">
      <w:pPr>
        <w:pStyle w:val="7"/>
        <w:spacing w:line="300" w:lineRule="auto"/>
        <w:ind w:firstLine="420"/>
      </w:pPr>
      <w:r>
        <w:t>- 实时性：多源 fallback + 有界线程池（</w:t>
      </w:r>
      <w:r>
        <w:rPr>
          <w:rFonts w:ascii="Courier New" w:hAnsi="Courier New"/>
        </w:rPr>
        <w:t>timeout_exec._POOL</w:t>
      </w:r>
      <w:r>
        <w:t>，16  worker）避免线程泄漏与单源卡死拖垮整页；</w:t>
      </w:r>
    </w:p>
    <w:p w14:paraId="0469A355">
      <w:pPr>
        <w:pStyle w:val="7"/>
        <w:spacing w:line="300" w:lineRule="auto"/>
        <w:ind w:firstLine="420"/>
      </w:pPr>
      <w:r>
        <w:t>- 可维护性：单源配置（</w:t>
      </w:r>
      <w:r>
        <w:rPr>
          <w:rFonts w:ascii="Courier New" w:hAnsi="Courier New"/>
        </w:rPr>
        <w:t>site_config</w:t>
      </w:r>
      <w:r>
        <w:t>）、统一渲染（</w:t>
      </w:r>
      <w:r>
        <w:rPr>
          <w:rFonts w:ascii="Courier New" w:hAnsi="Courier New"/>
        </w:rPr>
        <w:t>page_utils.render_standard_page</w:t>
      </w:r>
      <w:r>
        <w:t>）、首帧主题注入（</w:t>
      </w:r>
      <w:r>
        <w:rPr>
          <w:rFonts w:ascii="Courier New" w:hAnsi="Courier New"/>
        </w:rPr>
        <w:t>apply_page_config</w:t>
      </w:r>
      <w:r>
        <w:t>）使页面改造可复用、样式行为一致；</w:t>
      </w:r>
    </w:p>
    <w:p w14:paraId="0CC3CE8F">
      <w:pPr>
        <w:pStyle w:val="7"/>
        <w:spacing w:line="300" w:lineRule="auto"/>
        <w:ind w:firstLine="420"/>
      </w:pPr>
      <w:r>
        <w:t>- 安全性：统一 JSON 信封、异常脱敏、HS256 鉴权、抗枚举与防注入构成可被测试锁死的基线；</w:t>
      </w:r>
    </w:p>
    <w:p w14:paraId="1193EB28">
      <w:pPr>
        <w:pStyle w:val="7"/>
        <w:spacing w:line="300" w:lineRule="auto"/>
        <w:ind w:firstLine="420"/>
      </w:pPr>
      <w:r>
        <w:t>- 可观测：决策落盘（</w:t>
      </w:r>
      <w:r>
        <w:rPr>
          <w:rFonts w:ascii="Courier New" w:hAnsi="Courier New"/>
        </w:rPr>
        <w:t>daily_snapshot</w:t>
      </w:r>
      <w:r>
        <w:t>）+ 预测追踪（</w:t>
      </w:r>
      <w:r>
        <w:rPr>
          <w:rFonts w:ascii="Courier New" w:hAnsi="Courier New"/>
        </w:rPr>
        <w:t>prediction_log</w:t>
      </w:r>
      <w:r>
        <w:t>）使系统行为可追溯、可复盘。</w:t>
      </w:r>
    </w:p>
    <w:p w14:paraId="179EFDA3">
      <w:pPr>
        <w:pStyle w:val="3"/>
      </w:pPr>
      <w:bookmarkStart w:id="23" w:name="_Toc28947"/>
      <w:r>
        <w:t>3.3 总体架构</w:t>
      </w:r>
      <w:bookmarkEnd w:id="23"/>
    </w:p>
    <w:p w14:paraId="7CA49DAD">
      <w:pPr>
        <w:pStyle w:val="7"/>
        <w:spacing w:line="300" w:lineRule="auto"/>
        <w:ind w:firstLine="420"/>
      </w:pPr>
      <w:r>
        <w:t>系统采用</w:t>
      </w:r>
      <w:r>
        <w:rPr>
          <w:b/>
        </w:rPr>
        <w:t>前后端分离 + 轻量数据层</w:t>
      </w:r>
      <w:r>
        <w:t>的结构，自上而下分为四层，层间只通过约定的数据契约通信：</w:t>
      </w:r>
    </w:p>
    <w:p w14:paraId="081AFE34">
      <w:pPr>
        <w:pStyle w:val="7"/>
        <w:spacing w:line="300" w:lineRule="auto"/>
        <w:ind w:firstLine="420"/>
      </w:pPr>
      <w:r>
        <w:t xml:space="preserve">- </w:t>
      </w:r>
      <w:r>
        <w:rPr>
          <w:b/>
        </w:rPr>
        <w:t>前端层</w:t>
      </w:r>
      <w:r>
        <w:t>：Streamlit 多页应用（</w:t>
      </w:r>
      <w:r>
        <w:rPr>
          <w:rFonts w:ascii="Courier New" w:hAnsi="Courier New"/>
        </w:rPr>
        <w:t>app.py</w:t>
      </w:r>
      <w:r>
        <w:t xml:space="preserve"> + </w:t>
      </w:r>
      <w:r>
        <w:rPr>
          <w:rFonts w:ascii="Courier New" w:hAnsi="Courier New"/>
        </w:rPr>
        <w:t>pages/</w:t>
      </w:r>
      <w:r>
        <w:t xml:space="preserve">，41 个页面），所有页面经 </w:t>
      </w:r>
      <w:r>
        <w:rPr>
          <w:rFonts w:ascii="Courier New" w:hAnsi="Courier New"/>
        </w:rPr>
        <w:t>render_standard_page</w:t>
      </w:r>
      <w:r>
        <w:t xml:space="preserve"> 统一渲染，首帧主题由 </w:t>
      </w:r>
      <w:r>
        <w:rPr>
          <w:rFonts w:ascii="Courier New" w:hAnsi="Courier New"/>
        </w:rPr>
        <w:t>apply_page_config</w:t>
      </w:r>
      <w:r>
        <w:t xml:space="preserve"> 注入，避免首屏无样式。</w:t>
      </w:r>
    </w:p>
    <w:p w14:paraId="7F03CED6">
      <w:pPr>
        <w:pStyle w:val="7"/>
        <w:spacing w:line="300" w:lineRule="auto"/>
        <w:ind w:firstLine="420"/>
      </w:pPr>
      <w:r>
        <w:t xml:space="preserve">- </w:t>
      </w:r>
      <w:r>
        <w:rPr>
          <w:b/>
        </w:rPr>
        <w:t>后端层</w:t>
      </w:r>
      <w:r>
        <w:t>：Flask 工厂应用（</w:t>
      </w:r>
      <w:r>
        <w:rPr>
          <w:rFonts w:ascii="Courier New" w:hAnsi="Courier New"/>
        </w:rPr>
        <w:t>create_app</w:t>
      </w:r>
      <w:r>
        <w:t>，监听 5050），注册 13 个业务蓝图，以三个全局 errorhandler 把任意异常收敛为统一 JSON 信封。</w:t>
      </w:r>
    </w:p>
    <w:p w14:paraId="56C620B0">
      <w:pPr>
        <w:pStyle w:val="7"/>
        <w:spacing w:line="300" w:lineRule="auto"/>
        <w:ind w:firstLine="420"/>
      </w:pPr>
      <w:r>
        <w:t xml:space="preserve">- </w:t>
      </w:r>
      <w:r>
        <w:rPr>
          <w:b/>
        </w:rPr>
        <w:t>逻辑层</w:t>
      </w:r>
      <w:r>
        <w:t>：</w:t>
      </w:r>
      <w:r>
        <w:rPr>
          <w:rFonts w:ascii="Courier New" w:hAnsi="Courier New"/>
        </w:rPr>
        <w:t>modules/</w:t>
      </w:r>
      <w:r>
        <w:t xml:space="preserve"> 下 56 个不依赖 </w:t>
      </w:r>
      <w:r>
        <w:rPr>
          <w:rFonts w:ascii="Courier New" w:hAnsi="Courier New"/>
        </w:rPr>
        <w:t>streamlit</w:t>
      </w:r>
      <w:r>
        <w:t xml:space="preserve"> 的纯逻辑模块（决策/回测/取数/校准/梯队等），不感知 UI 框架，可独立编译与单测。</w:t>
      </w:r>
    </w:p>
    <w:p w14:paraId="7451DD15">
      <w:pPr>
        <w:pStyle w:val="7"/>
        <w:spacing w:line="300" w:lineRule="auto"/>
        <w:ind w:firstLine="420"/>
      </w:pPr>
      <w:r>
        <w:t xml:space="preserve">- </w:t>
      </w:r>
      <w:r>
        <w:rPr>
          <w:b/>
        </w:rPr>
        <w:t>数据层</w:t>
      </w:r>
      <w:r>
        <w:t xml:space="preserve">：SQLite 存于 </w:t>
      </w:r>
      <w:r>
        <w:rPr>
          <w:rFonts w:ascii="Courier New" w:hAnsi="Courier New"/>
        </w:rPr>
        <w:t>data/</w:t>
      </w:r>
      <w:r>
        <w:t>，承载决策快照、预测记录、梯队与情绪表；外部行情经 akshare / Tushare / BaoStock / 新浪 / 腾讯自选股（westock-mcp）多源取数并降级。</w:t>
      </w:r>
    </w:p>
    <w:p w14:paraId="4C5F7AB0">
      <w:pPr>
        <w:pStyle w:val="7"/>
        <w:spacing w:line="300" w:lineRule="auto"/>
        <w:ind w:firstLine="420"/>
      </w:pPr>
      <w:r>
        <w:t xml:space="preserve">前后端之间的契约是固定结构的 JSON 信封 </w:t>
      </w:r>
      <w:r>
        <w:rPr>
          <w:rFonts w:ascii="Courier New" w:hAnsi="Courier New"/>
        </w:rPr>
        <w:t>{"status","code","message","data"}</w:t>
      </w:r>
      <w:r>
        <w:t>：前端只消费该信封，后端只产出该信封，逻辑层完全置于契约之外。这一约束把"界面变更"与"算法变更"解耦——新增页面不必改动决策算法，替换数据源也不必改动前端，从而把维护成本限制在单一层内。</w:t>
      </w:r>
    </w:p>
    <w:p w14:paraId="0178C0F5">
      <w:pPr>
        <w:pStyle w:val="7"/>
        <w:spacing w:line="300" w:lineRule="auto"/>
        <w:ind w:firstLine="420"/>
      </w:pPr>
      <w:r>
        <w:t>图 3-1 给出四层结构与层间契约，箭头上标注的是各层唯一的通信方式：前端与后端之间只有 JSON 信封，逻辑层与数据层之间只有落盘读写，逻辑层到外部源之间只有取数与降级。</w:t>
      </w:r>
    </w:p>
    <w:p w14:paraId="0629C852">
      <w:pPr>
        <w:pStyle w:val="7"/>
        <w:jc w:val="center"/>
      </w:pPr>
      <w:r>
        <w:rPr>
          <w:rFonts w:ascii="Times New Roman" w:hAnsi="Times New Roman" w:eastAsia="宋体"/>
          <w:sz w:val="21"/>
        </w:rPr>
        <w:pict>
          <v:shape id="_x0000_i1026" o:spt="75" alt="fig_architecture" type="#_x0000_t75" style="height:273pt;width:462pt;" filled="f" o:preferrelative="t" stroked="f" coordsize="21600,21600">
            <v:path/>
            <v:fill on="f" focussize="0,0"/>
            <v:stroke on="f"/>
            <v:imagedata r:id="rId17" o:title=""/>
            <o:lock v:ext="edit" aspectratio="t"/>
            <w10:wrap type="none"/>
            <w10:anchorlock/>
          </v:shape>
        </w:pict>
      </w:r>
      <w:r>
        <w:rPr>
          <w:rFonts w:ascii="Times New Roman" w:hAnsi="Times New Roman" w:eastAsia="宋体"/>
          <w:sz w:val="21"/>
        </w:rPr>
        <w:t>图 3-1　StockSignal 系统总体架构图</w:t>
      </w:r>
    </w:p>
    <w:p w14:paraId="3EE47B07">
      <w:pPr>
        <w:pStyle w:val="3"/>
      </w:pPr>
      <w:bookmarkStart w:id="24" w:name="_Toc8598"/>
      <w:r>
        <w:t>3.4 数据库设计</w:t>
      </w:r>
      <w:bookmarkEnd w:id="24"/>
    </w:p>
    <w:p w14:paraId="018CA49C">
      <w:pPr>
        <w:pStyle w:val="7"/>
        <w:spacing w:line="300" w:lineRule="auto"/>
        <w:ind w:firstLine="420"/>
      </w:pPr>
      <w:r>
        <w:t>关键表/文件：</w:t>
      </w:r>
    </w:p>
    <w:p w14:paraId="0C492A1A">
      <w:pPr>
        <w:pStyle w:val="7"/>
        <w:spacing w:line="300" w:lineRule="auto"/>
        <w:ind w:firstLine="420"/>
      </w:pPr>
      <w:r>
        <w:t xml:space="preserve">- </w:t>
      </w:r>
      <w:r>
        <w:rPr>
          <w:rFonts w:ascii="Courier New" w:hAnsi="Courier New"/>
        </w:rPr>
        <w:t>daily_snapshot.json</w:t>
      </w:r>
      <w:r>
        <w:t>（最新决策，首页直读）：</w:t>
      </w:r>
      <w:r>
        <w:rPr>
          <w:rFonts w:ascii="Courier New" w:hAnsi="Courier New"/>
        </w:rPr>
        <w:t>date, temperature, cycle, score, bias, confidence, promo_overall, ladder, position{pct,band,color,reasons}, event_factor, indicators, signals, scenario</w:t>
      </w:r>
      <w:r>
        <w:t>；</w:t>
      </w:r>
    </w:p>
    <w:p w14:paraId="68EA3AC8">
      <w:pPr>
        <w:pStyle w:val="7"/>
        <w:spacing w:line="300" w:lineRule="auto"/>
        <w:ind w:firstLine="420"/>
      </w:pPr>
      <w:r>
        <w:t xml:space="preserve">- </w:t>
      </w:r>
      <w:r>
        <w:rPr>
          <w:rFonts w:ascii="Courier New" w:hAnsi="Courier New"/>
        </w:rPr>
        <w:t>snapshots/YYYY-MM-DD.json</w:t>
      </w:r>
      <w:r>
        <w:t>：每日归档（复盘/回测源）；</w:t>
      </w:r>
    </w:p>
    <w:p w14:paraId="3E7ADAE8">
      <w:pPr>
        <w:pStyle w:val="7"/>
        <w:spacing w:line="300" w:lineRule="auto"/>
        <w:ind w:firstLine="420"/>
      </w:pPr>
      <w:r>
        <w:t xml:space="preserve">- </w:t>
      </w:r>
      <w:r>
        <w:rPr>
          <w:rFonts w:ascii="Courier New" w:hAnsi="Courier New"/>
        </w:rPr>
        <w:t>prediction_log.json</w:t>
      </w:r>
      <w:r>
        <w:t>：预测 vs 实际对账记录（</w:t>
      </w:r>
      <w:r>
        <w:rPr>
          <w:rFonts w:ascii="Courier New" w:hAnsi="Courier New"/>
        </w:rPr>
        <w:t>date, temp, cycle, bias, pct, realized, hit</w:t>
      </w:r>
      <w:r>
        <w:t>）；</w:t>
      </w:r>
    </w:p>
    <w:p w14:paraId="13BF240C">
      <w:pPr>
        <w:pStyle w:val="7"/>
        <w:spacing w:line="300" w:lineRule="auto"/>
        <w:ind w:firstLine="420"/>
      </w:pPr>
      <w:r>
        <w:t>- 梯队/情绪/事件表：支撑 3.1 中对应功能。</w:t>
      </w:r>
    </w:p>
    <w:p w14:paraId="68CE6646">
      <w:pPr>
        <w:pStyle w:val="7"/>
        <w:spacing w:line="300" w:lineRule="auto"/>
        <w:ind w:firstLine="420"/>
      </w:pPr>
      <w:r>
        <w:t>三份产物按"最新 / 归档 / 对账"分工，彼此以日期为主键关联：</w:t>
      </w:r>
      <w:r>
        <w:rPr>
          <w:rFonts w:ascii="Courier New" w:hAnsi="Courier New"/>
        </w:rPr>
        <w:t>daily_snapshot.json</w:t>
      </w:r>
      <w:r>
        <w:t xml:space="preserve"> 是 </w:t>
      </w:r>
      <w:r>
        <w:rPr>
          <w:rFonts w:ascii="Courier New" w:hAnsi="Courier New"/>
        </w:rPr>
        <w:t>snapshots/</w:t>
      </w:r>
      <w:r>
        <w:t xml:space="preserve"> 中最后一份的副本，供首页零成本直读；</w:t>
      </w:r>
      <w:r>
        <w:rPr>
          <w:rFonts w:ascii="Courier New" w:hAnsi="Courier New"/>
        </w:rPr>
        <w:t>snapshots/YYYY-MM-DD.json</w:t>
      </w:r>
      <w:r>
        <w:t xml:space="preserve"> 是按天归档的不可变事实源，决策复盘与回测只认它；</w:t>
      </w:r>
      <w:r>
        <w:rPr>
          <w:rFonts w:ascii="Courier New" w:hAnsi="Courier New"/>
        </w:rPr>
        <w:t>prediction_log.json</w:t>
      </w:r>
      <w:r>
        <w:t xml:space="preserve"> 只存预测侧必要字段与次日回填的 </w:t>
      </w:r>
      <w:r>
        <w:rPr>
          <w:rFonts w:ascii="Courier New" w:hAnsi="Courier New"/>
        </w:rPr>
        <w:t>realized</w:t>
      </w:r>
      <w:r>
        <w:t>、</w:t>
      </w:r>
      <w:r>
        <w:rPr>
          <w:rFonts w:ascii="Courier New" w:hAnsi="Courier New"/>
        </w:rPr>
        <w:t>hit</w:t>
      </w:r>
      <w:r>
        <w:t>，不复制快照全集。这样拆分使"当天看什么"、"事后查什么"、"长期统什么"三条访问路径互不干扰，也避免单文件随样本增长而膨胀。图 3-2 给出三者及核心字段的关系。</w:t>
      </w:r>
    </w:p>
    <w:p w14:paraId="12B648F6">
      <w:pPr>
        <w:pStyle w:val="7"/>
        <w:jc w:val="center"/>
      </w:pPr>
      <w:r>
        <w:rPr>
          <w:rFonts w:ascii="Times New Roman" w:hAnsi="Times New Roman" w:eastAsia="宋体"/>
          <w:sz w:val="21"/>
        </w:rPr>
        <w:pict>
          <v:shape id="_x0000_i1027" o:spt="75" alt="fig_er" type="#_x0000_t75" style="height:252pt;width:462pt;" filled="f" o:preferrelative="t" stroked="f" coordsize="21600,21600">
            <v:path/>
            <v:fill on="f" focussize="0,0"/>
            <v:stroke on="f"/>
            <v:imagedata r:id="rId18" o:title=""/>
            <o:lock v:ext="edit" aspectratio="t"/>
            <w10:wrap type="none"/>
            <w10:anchorlock/>
          </v:shape>
        </w:pict>
      </w:r>
      <w:r>
        <w:rPr>
          <w:rFonts w:ascii="Times New Roman" w:hAnsi="Times New Roman" w:eastAsia="宋体"/>
          <w:sz w:val="21"/>
        </w:rPr>
        <w:t>图 3-2　决策数据核心实体关系图</w:t>
      </w:r>
    </w:p>
    <w:p w14:paraId="0D2EB35D">
      <w:pPr>
        <w:pStyle w:val="3"/>
      </w:pPr>
      <w:bookmarkStart w:id="25" w:name="_Toc17720"/>
      <w:r>
        <w:t>3.5 设计模式与关键质量属性</w:t>
      </w:r>
      <w:bookmarkEnd w:id="25"/>
    </w:p>
    <w:p w14:paraId="6BE4229E">
      <w:pPr>
        <w:pStyle w:val="7"/>
        <w:spacing w:line="300" w:lineRule="auto"/>
        <w:ind w:firstLine="420"/>
      </w:pPr>
      <w:r>
        <w:t>总体设计在多处借用了成熟的软件设计模式，使系统在不引入微服务复杂度的前提下保持低耦合并可演进：</w:t>
      </w:r>
    </w:p>
    <w:p w14:paraId="0A239AF5">
      <w:pPr>
        <w:pStyle w:val="7"/>
        <w:spacing w:line="300" w:lineRule="auto"/>
        <w:ind w:firstLine="420"/>
      </w:pPr>
      <w:r>
        <w:t xml:space="preserve">- </w:t>
      </w:r>
      <w:r>
        <w:rPr>
          <w:b/>
        </w:rPr>
        <w:t>工厂模式</w:t>
      </w:r>
      <w:r>
        <w:t>：</w:t>
      </w:r>
      <w:r>
        <w:rPr>
          <w:rFonts w:ascii="Courier New" w:hAnsi="Courier New"/>
        </w:rPr>
        <w:t>create_app</w:t>
      </w:r>
      <w:r>
        <w:t xml:space="preserve"> 集中构造 Flask 应用、注册蓝图与错误处理器，配置对象可注入，便于测试时切换。</w:t>
      </w:r>
    </w:p>
    <w:p w14:paraId="61F578DF">
      <w:pPr>
        <w:pStyle w:val="7"/>
        <w:spacing w:line="300" w:lineRule="auto"/>
        <w:ind w:firstLine="420"/>
      </w:pPr>
      <w:r>
        <w:t xml:space="preserve">- </w:t>
      </w:r>
      <w:r>
        <w:rPr>
          <w:b/>
        </w:rPr>
        <w:t>单例</w:t>
      </w:r>
      <w:r>
        <w:t xml:space="preserve">：共享线程池 </w:t>
      </w:r>
      <w:r>
        <w:rPr>
          <w:rFonts w:ascii="Courier New" w:hAnsi="Courier New"/>
        </w:rPr>
        <w:t>_POOL</w:t>
      </w:r>
      <w:r>
        <w:t xml:space="preserve"> 与策略注册表 </w:t>
      </w:r>
      <w:r>
        <w:rPr>
          <w:rFonts w:ascii="Courier New" w:hAnsi="Courier New"/>
        </w:rPr>
        <w:t>STRATEGY_REGISTRY</w:t>
      </w:r>
      <w:r>
        <w:t xml:space="preserve"> 均为进程内单例，前者避免线程泄漏，后者避免策略重复注册。</w:t>
      </w:r>
    </w:p>
    <w:p w14:paraId="10B1F46A">
      <w:pPr>
        <w:pStyle w:val="7"/>
        <w:spacing w:line="300" w:lineRule="auto"/>
        <w:ind w:firstLine="420"/>
      </w:pPr>
      <w:r>
        <w:t xml:space="preserve">- </w:t>
      </w:r>
      <w:r>
        <w:rPr>
          <w:b/>
        </w:rPr>
        <w:t>策略模式 / 注册表</w:t>
      </w:r>
      <w:r>
        <w:t>：</w:t>
      </w:r>
      <w:r>
        <w:rPr>
          <w:rFonts w:ascii="Courier New" w:hAnsi="Courier New"/>
        </w:rPr>
        <w:t>BaseStrategy</w:t>
      </w:r>
      <w:r>
        <w:t xml:space="preserve"> 定义统一接口，</w:t>
      </w:r>
      <w:r>
        <w:rPr>
          <w:rFonts w:ascii="Courier New" w:hAnsi="Courier New"/>
        </w:rPr>
        <w:t>STRATEGY_REGISTRY</w:t>
      </w:r>
      <w:r>
        <w:t xml:space="preserve"> 以名字索引具体策略，回测引擎按名取策略，扩展新策略只需登记、不改引擎主流程。</w:t>
      </w:r>
    </w:p>
    <w:p w14:paraId="2E290E39">
      <w:pPr>
        <w:pStyle w:val="7"/>
        <w:spacing w:line="300" w:lineRule="auto"/>
        <w:ind w:firstLine="420"/>
      </w:pPr>
      <w:r>
        <w:t xml:space="preserve">- </w:t>
      </w:r>
      <w:r>
        <w:rPr>
          <w:b/>
        </w:rPr>
        <w:t>装饰器</w:t>
      </w:r>
      <w:r>
        <w:t>：</w:t>
      </w:r>
      <w:r>
        <w:rPr>
          <w:rFonts w:ascii="Courier New" w:hAnsi="Courier New"/>
        </w:rPr>
        <w:t>jwt_required</w:t>
      </w:r>
      <w:r>
        <w:t xml:space="preserve"> 把鉴权横切逻辑从业务路由中抽离，路由只声明"需要登录"而不必重复校验代码。</w:t>
      </w:r>
    </w:p>
    <w:p w14:paraId="33FB5E89">
      <w:pPr>
        <w:pStyle w:val="7"/>
        <w:spacing w:line="300" w:lineRule="auto"/>
        <w:ind w:firstLine="420"/>
      </w:pPr>
      <w:r>
        <w:t xml:space="preserve">- </w:t>
      </w:r>
      <w:r>
        <w:rPr>
          <w:b/>
        </w:rPr>
        <w:t>降级链（责任链变体）</w:t>
      </w:r>
      <w:r>
        <w:t>：</w:t>
      </w:r>
      <w:r>
        <w:rPr>
          <w:rFonts w:ascii="Courier New" w:hAnsi="Courier New"/>
        </w:rPr>
        <w:t>fetcher.py</w:t>
      </w:r>
      <w:r>
        <w:t xml:space="preserve"> 的五级数据源依次尝试，失败自动下沉到下一源，调用方无感知。</w:t>
      </w:r>
    </w:p>
    <w:p w14:paraId="4D30AFAF">
      <w:pPr>
        <w:pStyle w:val="7"/>
        <w:spacing w:line="300" w:lineRule="auto"/>
        <w:ind w:firstLine="420"/>
      </w:pPr>
      <w:r>
        <w:t xml:space="preserve">- </w:t>
      </w:r>
      <w:r>
        <w:rPr>
          <w:b/>
        </w:rPr>
        <w:t>统一信封（外观/适配器）</w:t>
      </w:r>
      <w:r>
        <w:t>：</w:t>
      </w:r>
      <w:r>
        <w:rPr>
          <w:rFonts w:ascii="Courier New" w:hAnsi="Courier New"/>
        </w:rPr>
        <w:t>response.ok/fail</w:t>
      </w:r>
      <w:r>
        <w:t xml:space="preserve"> 把异构业务结果适配为固定 JSON 结构，调用方与前端都只需理解一种响应形态。</w:t>
      </w:r>
    </w:p>
    <w:p w14:paraId="57CDA5CA">
      <w:pPr>
        <w:pStyle w:val="7"/>
        <w:spacing w:line="300" w:lineRule="auto"/>
        <w:ind w:firstLine="420"/>
      </w:pPr>
      <w:r>
        <w:t>这些模式共同支撑了四项质量属性：</w:t>
      </w:r>
      <w:r>
        <w:rPr>
          <w:b/>
        </w:rPr>
        <w:t>可维护性</w:t>
      </w:r>
      <w:r>
        <w:t>（分层与单例使改动局部化、2117 个单元测试可独立运行）、</w:t>
      </w:r>
      <w:r>
        <w:rPr>
          <w:b/>
        </w:rPr>
        <w:t>韧性</w:t>
      </w:r>
      <w:r>
        <w:t>（降级链与有界池使单点故障不扩散）、</w:t>
      </w:r>
      <w:r>
        <w:rPr>
          <w:b/>
        </w:rPr>
        <w:t>安全性</w:t>
      </w:r>
      <w:r>
        <w:t>（鉴权与信封作为横切关注点被集中固化）、</w:t>
      </w:r>
      <w:r>
        <w:rPr>
          <w:b/>
        </w:rPr>
        <w:t>可观测性</w:t>
      </w:r>
      <w:r>
        <w:t>（决策与预测落盘使行为可回溯）。第 4 章给出各模式的具体落点，第 6 章以测试与门禁验证这些属性确实成立。</w:t>
      </w:r>
    </w:p>
    <w:p w14:paraId="7AA4DBB1">
      <w:pPr>
        <w:pStyle w:val="3"/>
      </w:pPr>
      <w:bookmarkStart w:id="26" w:name="_Toc32646"/>
      <w:r>
        <w:t>3.6 本章小结</w:t>
      </w:r>
      <w:bookmarkEnd w:id="26"/>
    </w:p>
    <w:p w14:paraId="794C9E84">
      <w:pPr>
        <w:pStyle w:val="7"/>
        <w:spacing w:line="300" w:lineRule="auto"/>
        <w:ind w:firstLine="420"/>
      </w:pPr>
      <w:r>
        <w:t>本章从功能与非功能需求出发，确定了前后端分离、逻辑层独立于 UI 框架的总体架构，并定义了以 JSON 信封为契约的层间通信方式。数据库设计以决策快照、预测对账与梯队/情绪表为核心，支撑决策闭环的落盘与回溯。3.5 节进一步把设计选择抽象为工厂、单例、策略、装饰器、降级链与统一信封等模式，并映射到可维护性、韧性、安全、可观测四项质量属性，为后续实现与验证提供了评价维度。</w:t>
      </w:r>
    </w:p>
    <w:p w14:paraId="2320EAD6">
      <w:pPr>
        <w:pStyle w:val="7"/>
        <w:spacing w:line="300" w:lineRule="auto"/>
        <w:ind w:firstLine="420"/>
      </w:pPr>
      <w:r>
        <w:t xml:space="preserve">&gt; 参考文献（[1]–[15]）已正式并入 </w:t>
      </w:r>
      <w:r>
        <w:rPr>
          <w:b/>
        </w:rPr>
        <w:t>第 8 章</w:t>
      </w:r>
      <w:r>
        <w:t xml:space="preserve">（见 </w:t>
      </w:r>
      <w:r>
        <w:rPr>
          <w:rFonts w:ascii="Courier New" w:hAnsi="Courier New"/>
        </w:rPr>
        <w:t>第8章_参考文献_草稿.md</w:t>
      </w:r>
      <w:r>
        <w:t xml:space="preserve">），为避免重复此处不再罗列；正文中的 </w:t>
      </w:r>
      <w:r>
        <w:rPr>
          <w:rFonts w:ascii="Courier New" w:hAnsi="Courier New"/>
        </w:rPr>
        <w:t>[n]</w:t>
      </w:r>
      <w:r>
        <w:t xml:space="preserve"> 上标均指向该章。</w:t>
      </w:r>
    </w:p>
    <w:p w14:paraId="299B93AB">
      <w:pPr>
        <w:pStyle w:val="2"/>
      </w:pPr>
      <w:bookmarkStart w:id="27" w:name="_Toc21232"/>
      <w:r>
        <w:t>4 平台核心模块设计与实现</w:t>
      </w:r>
      <w:bookmarkEnd w:id="27"/>
    </w:p>
    <w:p w14:paraId="4626D0C0">
      <w:pPr>
        <w:pStyle w:val="7"/>
        <w:spacing w:line="300" w:lineRule="auto"/>
        <w:ind w:firstLine="420"/>
      </w:pPr>
      <w:r>
        <w:t>本章承接第 3 章的总体设计，逐模块说明 StockSignal 的实现方案。与常见"只罗列功能"的实现章不同，本章把笔墨放在两类工程事实上：一是</w:t>
      </w:r>
      <w:r>
        <w:rPr>
          <w:b/>
        </w:rPr>
        <w:t>分层与解耦</w:t>
      </w:r>
      <w:r>
        <w:t>如何支撑可维护性与可测试性（4.1、4.7、4.8），二是</w:t>
      </w:r>
      <w:r>
        <w:rPr>
          <w:b/>
        </w:rPr>
        <w:t>关键工程约束</w:t>
      </w:r>
      <w:r>
        <w:t>（成本真实扣除、并发有界、降级不中断、安全基线）如何被代码落实。每一节都给出对应的真实模块与关键函数，便于答辩时对照源码。</w:t>
      </w:r>
    </w:p>
    <w:p w14:paraId="25E3781E">
      <w:pPr>
        <w:pStyle w:val="3"/>
      </w:pPr>
      <w:bookmarkStart w:id="28" w:name="_Toc15330"/>
      <w:r>
        <w:t>4.1 系统分层架构与模块解耦</w:t>
      </w:r>
      <w:bookmarkEnd w:id="28"/>
    </w:p>
    <w:p w14:paraId="7F2DCB7C">
      <w:pPr>
        <w:pStyle w:val="7"/>
        <w:spacing w:line="300" w:lineRule="auto"/>
        <w:ind w:firstLine="420"/>
      </w:pPr>
      <w:r>
        <w:t>StockSignal 采用"前端多页应用 + 后端 JSON 服务 + 轻量本地数据层"的三段式结构，三段之间只通过约定好的数据契约通信，互不感知对方框架细节。</w:t>
      </w:r>
    </w:p>
    <w:p w14:paraId="539F5C1A">
      <w:pPr>
        <w:pStyle w:val="7"/>
        <w:spacing w:line="300" w:lineRule="auto"/>
        <w:ind w:firstLine="420"/>
      </w:pPr>
      <w:r>
        <w:rPr>
          <w:b/>
        </w:rPr>
        <w:t>前端层</w:t>
      </w:r>
      <w:r>
        <w:t>由 Streamlit 多页应用构成（</w:t>
      </w:r>
      <w:r>
        <w:rPr>
          <w:rFonts w:ascii="Courier New" w:hAnsi="Courier New"/>
        </w:rPr>
        <w:t>app.py</w:t>
      </w:r>
      <w:r>
        <w:t xml:space="preserve"> + </w:t>
      </w:r>
      <w:r>
        <w:rPr>
          <w:rFonts w:ascii="Courier New" w:hAnsi="Courier New"/>
        </w:rPr>
        <w:t>pages/</w:t>
      </w:r>
      <w:r>
        <w:t xml:space="preserve"> 下 41 个页面文件）。所有页面经由 </w:t>
      </w:r>
      <w:r>
        <w:rPr>
          <w:rFonts w:ascii="Courier New" w:hAnsi="Courier New"/>
        </w:rPr>
        <w:t>modules/page_utils.py</w:t>
      </w:r>
      <w:r>
        <w:t xml:space="preserve"> 的 </w:t>
      </w:r>
      <w:r>
        <w:rPr>
          <w:rFonts w:ascii="Courier New" w:hAnsi="Courier New"/>
        </w:rPr>
        <w:t>render_standard_page</w:t>
      </w:r>
      <w:r>
        <w:t xml:space="preserve"> 统一渲染，避免每页重复样板；页面首帧的主题样式由 </w:t>
      </w:r>
      <w:r>
        <w:rPr>
          <w:rFonts w:ascii="Courier New" w:hAnsi="Courier New"/>
        </w:rPr>
        <w:t>modules/ui_theme.py::apply_page_config</w:t>
      </w:r>
      <w:r>
        <w:t>（backend/app.py 调用链路中的统一入口）一次性注入，依次加载组件样式、Plotly 深色模板、字号、按钮配色与暗色文本修正，从而消除"首屏无样式白屏"这一 Streamlit 多页应用的常见缺陷。</w:t>
      </w:r>
    </w:p>
    <w:p w14:paraId="713B3E35">
      <w:pPr>
        <w:pStyle w:val="7"/>
        <w:spacing w:line="300" w:lineRule="auto"/>
        <w:ind w:firstLine="420"/>
      </w:pPr>
      <w:r>
        <w:rPr>
          <w:b/>
        </w:rPr>
        <w:t>后端层</w:t>
      </w:r>
      <w:r>
        <w:t>是基于工厂模式的 Flask 应用。</w:t>
      </w:r>
      <w:r>
        <w:rPr>
          <w:rFonts w:ascii="Courier New" w:hAnsi="Courier New"/>
        </w:rPr>
        <w:t>backend/app.py::create_app</w:t>
      </w:r>
      <w:r>
        <w:t xml:space="preserve">（第 69 行）构造 </w:t>
      </w:r>
      <w:r>
        <w:rPr>
          <w:rFonts w:ascii="Courier New" w:hAnsi="Courier New"/>
        </w:rPr>
        <w:t>Flask</w:t>
      </w:r>
      <w:r>
        <w:t xml:space="preserve"> 实例后，注册了 13 个业务蓝图（Blueprint）：</w:t>
      </w:r>
      <w:r>
        <w:rPr>
          <w:rFonts w:ascii="Courier New" w:hAnsi="Courier New"/>
        </w:rPr>
        <w:t>auth</w:t>
      </w:r>
      <w:r>
        <w:t>、</w:t>
      </w:r>
      <w:r>
        <w:rPr>
          <w:rFonts w:ascii="Courier New" w:hAnsi="Courier New"/>
        </w:rPr>
        <w:t>dashboard</w:t>
      </w:r>
      <w:r>
        <w:t>、</w:t>
      </w:r>
      <w:r>
        <w:rPr>
          <w:rFonts w:ascii="Courier New" w:hAnsi="Courier New"/>
        </w:rPr>
        <w:t>admin</w:t>
      </w:r>
      <w:r>
        <w:t>、</w:t>
      </w:r>
      <w:r>
        <w:rPr>
          <w:rFonts w:ascii="Courier New" w:hAnsi="Courier New"/>
        </w:rPr>
        <w:t>stock</w:t>
      </w:r>
      <w:r>
        <w:t>、</w:t>
      </w:r>
      <w:r>
        <w:rPr>
          <w:rFonts w:ascii="Courier New" w:hAnsi="Courier New"/>
        </w:rPr>
        <w:t>config</w:t>
      </w:r>
      <w:r>
        <w:t>、</w:t>
      </w:r>
      <w:r>
        <w:rPr>
          <w:rFonts w:ascii="Courier New" w:hAnsi="Courier New"/>
        </w:rPr>
        <w:t>market</w:t>
      </w:r>
      <w:r>
        <w:t>、</w:t>
      </w:r>
      <w:r>
        <w:rPr>
          <w:rFonts w:ascii="Courier New" w:hAnsi="Courier New"/>
        </w:rPr>
        <w:t>task</w:t>
      </w:r>
      <w:r>
        <w:t>、</w:t>
      </w:r>
      <w:r>
        <w:rPr>
          <w:rFonts w:ascii="Courier New" w:hAnsi="Courier New"/>
        </w:rPr>
        <w:t>chat</w:t>
      </w:r>
      <w:r>
        <w:t>、</w:t>
      </w:r>
      <w:r>
        <w:rPr>
          <w:rFonts w:ascii="Courier New" w:hAnsi="Courier New"/>
        </w:rPr>
        <w:t>alert</w:t>
      </w:r>
      <w:r>
        <w:t>、</w:t>
      </w:r>
      <w:r>
        <w:rPr>
          <w:rFonts w:ascii="Courier New" w:hAnsi="Courier New"/>
        </w:rPr>
        <w:t>stock_tag</w:t>
      </w:r>
      <w:r>
        <w:t>、</w:t>
      </w:r>
      <w:r>
        <w:rPr>
          <w:rFonts w:ascii="Courier New" w:hAnsi="Courier New"/>
        </w:rPr>
        <w:t>forum</w:t>
      </w:r>
      <w:r>
        <w:t>、</w:t>
      </w:r>
      <w:r>
        <w:rPr>
          <w:rFonts w:ascii="Courier New" w:hAnsi="Courier New"/>
        </w:rPr>
        <w:t>market_alert</w:t>
      </w:r>
      <w:r>
        <w:t>、</w:t>
      </w:r>
      <w:r>
        <w:rPr>
          <w:rFonts w:ascii="Courier New" w:hAnsi="Courier New"/>
        </w:rPr>
        <w:t>order</w:t>
      </w:r>
      <w:r>
        <w:t xml:space="preserve">。错误响应集中由 </w:t>
      </w:r>
      <w:r>
        <w:rPr>
          <w:rFonts w:ascii="Courier New" w:hAnsi="Courier New"/>
        </w:rPr>
        <w:t>_register_error_handlers</w:t>
      </w:r>
      <w:r>
        <w:t xml:space="preserve">（第 209 行）以三个全局处理器覆盖 </w:t>
      </w:r>
      <w:r>
        <w:rPr>
          <w:rFonts w:ascii="Courier New" w:hAnsi="Courier New"/>
        </w:rPr>
        <w:t>ApiError</w:t>
      </w:r>
      <w:r>
        <w:t>、</w:t>
      </w:r>
      <w:r>
        <w:rPr>
          <w:rFonts w:ascii="Courier New" w:hAnsi="Courier New"/>
        </w:rPr>
        <w:t>HTTPException</w:t>
      </w:r>
      <w:r>
        <w:t xml:space="preserve"> 与兜底 </w:t>
      </w:r>
      <w:r>
        <w:rPr>
          <w:rFonts w:ascii="Courier New" w:hAnsi="Courier New"/>
        </w:rPr>
        <w:t>Exception</w:t>
      </w:r>
      <w:r>
        <w:t>，保证任意异常都回落到统一的 JSON 信封，而非 Flask 默认的 HTML 错误页。</w:t>
      </w:r>
    </w:p>
    <w:p w14:paraId="0D335077">
      <w:pPr>
        <w:pStyle w:val="7"/>
        <w:spacing w:line="300" w:lineRule="auto"/>
        <w:ind w:firstLine="420"/>
      </w:pPr>
      <w:r>
        <w:rPr>
          <w:b/>
        </w:rPr>
        <w:t>逻辑层</w:t>
      </w:r>
      <w:r>
        <w:t>是系统的核心。</w:t>
      </w:r>
      <w:r>
        <w:rPr>
          <w:rFonts w:ascii="Courier New" w:hAnsi="Courier New"/>
        </w:rPr>
        <w:t>modules/</w:t>
      </w:r>
      <w:r>
        <w:t xml:space="preserve"> 目录包含 77 个 Python 文件，其中 56 个不引入 </w:t>
      </w:r>
      <w:r>
        <w:rPr>
          <w:rFonts w:ascii="Courier New" w:hAnsi="Courier New"/>
        </w:rPr>
        <w:t>streamlit</w:t>
      </w:r>
      <w:r>
        <w:t xml:space="preserve">，构成与 UI 框架无关的纯逻辑层——决策推导、回测、取数、校准、梯队递推等算法都在此层，因此可以不依赖前端独立编译与单测。UI 组件层 </w:t>
      </w:r>
      <w:r>
        <w:rPr>
          <w:rFonts w:ascii="Courier New" w:hAnsi="Courier New"/>
        </w:rPr>
        <w:t>modules/ui_kit.py</w:t>
      </w:r>
      <w:r>
        <w:t xml:space="preserve"> 提供 </w:t>
      </w:r>
      <w:r>
        <w:rPr>
          <w:rFonts w:ascii="Courier New" w:hAnsi="Courier New"/>
        </w:rPr>
        <w:t>page_hero</w:t>
      </w:r>
      <w:r>
        <w:t>、</w:t>
      </w:r>
      <w:r>
        <w:rPr>
          <w:rFonts w:ascii="Courier New" w:hAnsi="Courier New"/>
        </w:rPr>
        <w:t>info_banner</w:t>
      </w:r>
      <w:r>
        <w:t>、</w:t>
      </w:r>
      <w:r>
        <w:rPr>
          <w:rFonts w:ascii="Courier New" w:hAnsi="Courier New"/>
        </w:rPr>
        <w:t>stat_tile</w:t>
      </w:r>
      <w:r>
        <w:t>、</w:t>
      </w:r>
      <w:r>
        <w:rPr>
          <w:rFonts w:ascii="Courier New" w:hAnsi="Courier New"/>
        </w:rPr>
        <w:t>chart_card</w:t>
      </w:r>
      <w:r>
        <w:t>、</w:t>
      </w:r>
      <w:r>
        <w:rPr>
          <w:rFonts w:ascii="Courier New" w:hAnsi="Courier New"/>
        </w:rPr>
        <w:t>table_wrap</w:t>
      </w:r>
      <w:r>
        <w:t xml:space="preserve"> 等纯函数式 HTML 构建器，所有由数据派生的文本统一经 </w:t>
      </w:r>
      <w:r>
        <w:rPr>
          <w:rFonts w:ascii="Courier New" w:hAnsi="Courier New"/>
        </w:rPr>
        <w:t>html.escape</w:t>
      </w:r>
      <w:r>
        <w:t xml:space="preserve"> 转义，与系统既有的 XSS 防护契约对齐，杜绝存储型脚本注入。</w:t>
      </w:r>
    </w:p>
    <w:p w14:paraId="0293C0FA">
      <w:pPr>
        <w:pStyle w:val="7"/>
        <w:spacing w:line="300" w:lineRule="auto"/>
        <w:ind w:firstLine="420"/>
      </w:pPr>
      <w:r>
        <w:t>这种分层带来的直接收益是关注点分离：前端只消费后端返回的 JSON 信封，逻辑层不感知展示框架，后端不持有领域算法。第 6 章的 2117 个单元测试函数能脱离界面独立运行，正是这一解耦结构的产物。</w:t>
      </w:r>
    </w:p>
    <w:p w14:paraId="0ACD74F6">
      <w:pPr>
        <w:pStyle w:val="7"/>
        <w:spacing w:line="300" w:lineRule="auto"/>
        <w:ind w:firstLine="420"/>
      </w:pPr>
      <w:r>
        <w:t xml:space="preserve">&gt; 架构分层图建议取自 </w:t>
      </w:r>
      <w:r>
        <w:rPr>
          <w:rFonts w:ascii="Courier New" w:hAnsi="Courier New"/>
        </w:rPr>
        <w:t>thesis/素材/ch6_eval/</w:t>
      </w:r>
      <w:r>
        <w:t xml:space="preserve"> 下的架构 SVG，或按"前端 / 后端 / 逻辑层 / 数据层 / 外部源"五层自绘，标注各层之间的 JSON 契约与降级链路。</w:t>
      </w:r>
    </w:p>
    <w:p w14:paraId="5668E28F">
      <w:pPr>
        <w:pStyle w:val="3"/>
      </w:pPr>
      <w:bookmarkStart w:id="29" w:name="_Toc22759"/>
      <w:r>
        <w:t>4.2 行情看板</w:t>
      </w:r>
      <w:bookmarkEnd w:id="29"/>
    </w:p>
    <w:p w14:paraId="65F16915">
      <w:pPr>
        <w:pStyle w:val="7"/>
        <w:spacing w:line="300" w:lineRule="auto"/>
        <w:ind w:firstLine="420"/>
      </w:pPr>
      <w:r>
        <w:t xml:space="preserve">行情看板对应 </w:t>
      </w:r>
      <w:r>
        <w:rPr>
          <w:rFonts w:ascii="Courier New" w:hAnsi="Courier New"/>
        </w:rPr>
        <w:t>modules/</w:t>
      </w:r>
      <w:r>
        <w:t xml:space="preserve"> 下各行情页面与 </w:t>
      </w:r>
      <w:r>
        <w:rPr>
          <w:rFonts w:ascii="Courier New" w:hAnsi="Courier New"/>
        </w:rPr>
        <w:t>colors.py</w:t>
      </w:r>
      <w:r>
        <w:t>。后者定义 A 股"红涨绿跌"的全局配色（</w:t>
      </w:r>
      <w:r>
        <w:rPr>
          <w:rFonts w:ascii="Courier New" w:hAnsi="Courier New"/>
        </w:rPr>
        <w:t>#ff4d4f</w:t>
      </w:r>
      <w:r>
        <w:t xml:space="preserve"> 涨 / </w:t>
      </w:r>
      <w:r>
        <w:rPr>
          <w:rFonts w:ascii="Courier New" w:hAnsi="Courier New"/>
        </w:rPr>
        <w:t>#00d486</w:t>
      </w:r>
      <w:r>
        <w:t xml:space="preserve"> 跌），在全站 K 线、表格、指标中保持一致语义，避免涨跌色在不同页面错乱。</w:t>
      </w:r>
    </w:p>
    <w:p w14:paraId="5B8CF340">
      <w:pPr>
        <w:pStyle w:val="7"/>
        <w:spacing w:line="300" w:lineRule="auto"/>
        <w:ind w:firstLine="420"/>
      </w:pPr>
      <w:r>
        <w:t xml:space="preserve">功能上提供 K 线、技术面、均线、动量、量能、形态六类视图；页面以"显示位置"与"显示 K 线数量"两个滑块控制视图粒度，使长周期与短周期研判可在同一界面切换。架构形态上，每个行情页都通过 </w:t>
      </w:r>
      <w:r>
        <w:rPr>
          <w:rFonts w:ascii="Courier New" w:hAnsi="Courier New"/>
        </w:rPr>
        <w:t>render_standard_page</w:t>
      </w:r>
      <w:r>
        <w:t xml:space="preserve"> 接入统一渲染与首帧主题注入，因此新页面无需重复处理样式与布局样板。</w:t>
      </w:r>
    </w:p>
    <w:p w14:paraId="19E6A498">
      <w:pPr>
        <w:pStyle w:val="7"/>
        <w:spacing w:line="300" w:lineRule="auto"/>
        <w:ind w:firstLine="420"/>
      </w:pPr>
      <w:r>
        <w:t xml:space="preserve">六类视图的指标计算统一由 </w:t>
      </w:r>
      <w:r>
        <w:rPr>
          <w:rFonts w:ascii="Courier New" w:hAnsi="Courier New"/>
        </w:rPr>
        <w:t>modules/technical.py</w:t>
      </w:r>
      <w:r>
        <w:t xml:space="preserve"> 的 </w:t>
      </w:r>
      <w:r>
        <w:rPr>
          <w:rFonts w:ascii="Courier New" w:hAnsi="Courier New"/>
        </w:rPr>
        <w:t>full_analysis</w:t>
      </w:r>
      <w:r>
        <w:t xml:space="preserve"> 产出。它把趋势、动量、量能、形态四维打包成一个结构化字典供页面直接消费，并在任一子分析抛异常时把故障隔离在该维度内，而不是让整个技术面板崩掉——这一"故障隔离"写法对看板类页面尤为关键，因为任一指标的历史数据缺口都不应影响其余指标的展示：</w:t>
      </w:r>
    </w:p>
    <w:p w14:paraId="7D77E023">
      <w:pPr>
        <w:pStyle w:val="7"/>
      </w:pPr>
      <w:r>
        <w:rPr>
          <w:rFonts w:ascii="Courier New" w:hAnsi="Courier New" w:eastAsia="宋体"/>
          <w:sz w:val="18"/>
        </w:rPr>
        <w:t>def full_analysis(df) -&gt; Dict[str, Any]:</w:t>
      </w:r>
      <w:r>
        <w:rPr>
          <w:rFonts w:ascii="Courier New" w:hAnsi="Courier New" w:eastAsia="宋体"/>
          <w:sz w:val="18"/>
        </w:rPr>
        <w:br w:type="textWrapping"/>
      </w:r>
      <w:r>
        <w:rPr>
          <w:rFonts w:ascii="Courier New" w:hAnsi="Courier New" w:eastAsia="宋体"/>
          <w:sz w:val="18"/>
        </w:rPr>
        <w:t xml:space="preserve">    """一键执行所有技术面分析，返回结构化字典，供 Streamlit 直接展示。</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防御性设计：任一子分析（趋势/动量/量能/形态）抛异常时隔离为 {"error": ...}，</w:t>
      </w:r>
      <w:r>
        <w:rPr>
          <w:rFonts w:ascii="Courier New" w:hAnsi="Courier New" w:eastAsia="宋体"/>
          <w:sz w:val="18"/>
        </w:rPr>
        <w:br w:type="textWrapping"/>
      </w:r>
      <w:r>
        <w:rPr>
          <w:rFonts w:ascii="Courier New" w:hAnsi="Courier New" w:eastAsia="宋体"/>
          <w:sz w:val="18"/>
        </w:rPr>
        <w:t xml:space="preserve">    不再因单点崩溃拖垮整个技术面板块。"""</w:t>
      </w:r>
      <w:r>
        <w:rPr>
          <w:rFonts w:ascii="Courier New" w:hAnsi="Courier New" w:eastAsia="宋体"/>
          <w:sz w:val="18"/>
        </w:rPr>
        <w:br w:type="textWrapping"/>
      </w:r>
      <w:r>
        <w:rPr>
          <w:rFonts w:ascii="Courier New" w:hAnsi="Courier New" w:eastAsia="宋体"/>
          <w:sz w:val="18"/>
        </w:rPr>
        <w:t xml:space="preserve">    def _safe(fn) -&gt; Dict[str, Any]:</w:t>
      </w:r>
      <w:r>
        <w:rPr>
          <w:rFonts w:ascii="Courier New" w:hAnsi="Courier New" w:eastAsia="宋体"/>
          <w:sz w:val="18"/>
        </w:rPr>
        <w:br w:type="textWrapping"/>
      </w:r>
      <w:r>
        <w:rPr>
          <w:rFonts w:ascii="Courier New" w:hAnsi="Courier New" w:eastAsia="宋体"/>
          <w:sz w:val="18"/>
        </w:rPr>
        <w:t xml:space="preserve">        try:</w:t>
      </w:r>
      <w:r>
        <w:rPr>
          <w:rFonts w:ascii="Courier New" w:hAnsi="Courier New" w:eastAsia="宋体"/>
          <w:sz w:val="18"/>
        </w:rPr>
        <w:br w:type="textWrapping"/>
      </w:r>
      <w:r>
        <w:rPr>
          <w:rFonts w:ascii="Courier New" w:hAnsi="Courier New" w:eastAsia="宋体"/>
          <w:sz w:val="18"/>
        </w:rPr>
        <w:t xml:space="preserve">            return fn(df)</w:t>
      </w:r>
      <w:r>
        <w:rPr>
          <w:rFonts w:ascii="Courier New" w:hAnsi="Courier New" w:eastAsia="宋体"/>
          <w:sz w:val="18"/>
        </w:rPr>
        <w:br w:type="textWrapping"/>
      </w:r>
      <w:r>
        <w:rPr>
          <w:rFonts w:ascii="Courier New" w:hAnsi="Courier New" w:eastAsia="宋体"/>
          <w:sz w:val="18"/>
        </w:rPr>
        <w:t xml:space="preserve">        except Exception as e:</w:t>
      </w:r>
      <w:r>
        <w:rPr>
          <w:rFonts w:ascii="Courier New" w:hAnsi="Courier New" w:eastAsia="宋体"/>
          <w:sz w:val="18"/>
        </w:rPr>
        <w:br w:type="textWrapping"/>
      </w:r>
      <w:r>
        <w:rPr>
          <w:rFonts w:ascii="Courier New" w:hAnsi="Courier New" w:eastAsia="宋体"/>
          <w:sz w:val="18"/>
        </w:rPr>
        <w:t xml:space="preserve">            logger.warning(f"[technical] 处理异常: {e}")</w:t>
      </w:r>
      <w:r>
        <w:rPr>
          <w:rFonts w:ascii="Courier New" w:hAnsi="Courier New" w:eastAsia="宋体"/>
          <w:sz w:val="18"/>
        </w:rPr>
        <w:br w:type="textWrapping"/>
      </w:r>
      <w:r>
        <w:rPr>
          <w:rFonts w:ascii="Courier New" w:hAnsi="Courier New" w:eastAsia="宋体"/>
          <w:sz w:val="18"/>
        </w:rPr>
        <w:t xml:space="preserve">            return {"error": f"{fn.__name__} 分析失败: {type(e).__name__}"}</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return {"trend": _safe(analyze_trend),</w:t>
      </w:r>
      <w:r>
        <w:rPr>
          <w:rFonts w:ascii="Courier New" w:hAnsi="Courier New" w:eastAsia="宋体"/>
          <w:sz w:val="18"/>
        </w:rPr>
        <w:br w:type="textWrapping"/>
      </w:r>
      <w:r>
        <w:rPr>
          <w:rFonts w:ascii="Courier New" w:hAnsi="Courier New" w:eastAsia="宋体"/>
          <w:sz w:val="18"/>
        </w:rPr>
        <w:t xml:space="preserve">            "momentum": _safe(analyze_momentum),</w:t>
      </w:r>
      <w:r>
        <w:rPr>
          <w:rFonts w:ascii="Courier New" w:hAnsi="Courier New" w:eastAsia="宋体"/>
          <w:sz w:val="18"/>
        </w:rPr>
        <w:br w:type="textWrapping"/>
      </w:r>
      <w:r>
        <w:rPr>
          <w:rFonts w:ascii="Courier New" w:hAnsi="Courier New" w:eastAsia="宋体"/>
          <w:sz w:val="18"/>
        </w:rPr>
        <w:t xml:space="preserve">            "volume": _safe(analyze_volume), ...}</w:t>
      </w:r>
    </w:p>
    <w:p w14:paraId="64910D5A">
      <w:pPr>
        <w:pStyle w:val="7"/>
        <w:jc w:val="center"/>
      </w:pPr>
      <w:r>
        <w:drawing>
          <wp:inline distT="0" distB="0" distL="114300" distR="114300">
            <wp:extent cx="5029200" cy="16104235"/>
            <wp:effectExtent l="0" t="0" r="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029200" cy="16104447"/>
                    </a:xfrm>
                    <a:prstGeom prst="rect">
                      <a:avLst/>
                    </a:prstGeom>
                  </pic:spPr>
                </pic:pic>
              </a:graphicData>
            </a:graphic>
          </wp:inline>
        </w:drawing>
      </w:r>
    </w:p>
    <w:p w14:paraId="5A8FCF9C">
      <w:pPr>
        <w:pStyle w:val="7"/>
        <w:jc w:val="center"/>
      </w:pPr>
      <w:r>
        <w:rPr>
          <w:rFonts w:ascii="Times New Roman" w:hAnsi="Times New Roman" w:eastAsia="宋体"/>
          <w:sz w:val="21"/>
        </w:rPr>
        <w:t>图 4-1　行情看板页——多指数实时看板 + K 线主图 + 五日资金雷达 + 龙头股快照 + 板块涨幅面板 + 自选管理与新闻/公告推送，体现红涨绿跌全局配色（#ff4d4f 涨 / #00d486 跌）</w:t>
      </w:r>
    </w:p>
    <w:p w14:paraId="5ADD835C">
      <w:pPr>
        <w:pStyle w:val="3"/>
      </w:pPr>
      <w:bookmarkStart w:id="30" w:name="_Toc13815"/>
      <w:r>
        <w:t>4.3 事件追踪与板块详情</w:t>
      </w:r>
      <w:bookmarkEnd w:id="30"/>
    </w:p>
    <w:p w14:paraId="3116EA63">
      <w:pPr>
        <w:pStyle w:val="7"/>
        <w:spacing w:line="300" w:lineRule="auto"/>
        <w:ind w:firstLine="420"/>
      </w:pPr>
      <w:r>
        <w:t xml:space="preserve">事件侧对应 </w:t>
      </w:r>
      <w:r>
        <w:rPr>
          <w:rFonts w:ascii="Courier New" w:hAnsi="Courier New"/>
        </w:rPr>
        <w:t>event_factor</w:t>
      </w:r>
      <w:r>
        <w:t>、</w:t>
      </w:r>
      <w:r>
        <w:rPr>
          <w:rFonts w:ascii="Courier New" w:hAnsi="Courier New"/>
        </w:rPr>
        <w:t>events.csv</w:t>
      </w:r>
      <w:r>
        <w:t xml:space="preserve"> / </w:t>
      </w:r>
      <w:r>
        <w:rPr>
          <w:rFonts w:ascii="Courier New" w:hAnsi="Courier New"/>
        </w:rPr>
        <w:t>event_pool_brief.json</w:t>
      </w:r>
      <w:r>
        <w:t xml:space="preserve"> 与板块详情页。系统将公告、板块异动、题材事件聚合成"事件因子"，板块详情则呈现领涨/领跌、资金流向与成分股结构。</w:t>
      </w:r>
    </w:p>
    <w:p w14:paraId="5D71094C">
      <w:pPr>
        <w:pStyle w:val="7"/>
        <w:spacing w:line="300" w:lineRule="auto"/>
        <w:ind w:firstLine="420"/>
      </w:pPr>
      <w:r>
        <w:t xml:space="preserve">事件因子在决策链路中承担"事件催化"输入：经 </w:t>
      </w:r>
      <w:r>
        <w:rPr>
          <w:rFonts w:ascii="Courier New" w:hAnsi="Courier New"/>
        </w:rPr>
        <w:t>_event_position_adj</w:t>
      </w:r>
      <w:r>
        <w:t xml:space="preserve"> 映射为 </w:t>
      </w:r>
      <w:r>
        <w:rPr>
          <w:rFonts w:ascii="Courier New" w:hAnsi="Courier New"/>
        </w:rPr>
        <w:t>derive_position</w:t>
      </w:r>
      <w:r>
        <w:t xml:space="preserve"> 的 </w:t>
      </w:r>
      <w:r>
        <w:rPr>
          <w:rFonts w:ascii="Courier New" w:hAnsi="Courier New"/>
        </w:rPr>
        <w:t>event_adj</w:t>
      </w:r>
      <w:r>
        <w:t xml:space="preserve"> 参数（详见 5.2.1）。当某日事件信号取不到时，该调节项整段跳过而非臆造，这一"缺数据不加不减"的语义是决策诚实性的前提。</w:t>
      </w:r>
    </w:p>
    <w:p w14:paraId="788C7D6C">
      <w:pPr>
        <w:pStyle w:val="7"/>
        <w:spacing w:line="300" w:lineRule="auto"/>
        <w:ind w:firstLine="420"/>
      </w:pPr>
      <w:r>
        <w:t xml:space="preserve">事件侧到仓位调节的映射由 </w:t>
      </w:r>
      <w:r>
        <w:rPr>
          <w:rFonts w:ascii="Courier New" w:hAnsi="Courier New"/>
        </w:rPr>
        <w:t>_compute_event_adj</w:t>
      </w:r>
      <w:r>
        <w:t>（</w:t>
      </w:r>
      <w:r>
        <w:rPr>
          <w:rFonts w:ascii="Courier New" w:hAnsi="Courier New"/>
        </w:rPr>
        <w:t>modules/decision.py</w:t>
      </w:r>
      <w:r>
        <w:t xml:space="preserve"> L305）完成，规则刻意做得简单透明：事件驱动多头池每满 10 只高置信标的，仓位 +1 pt，封顶 +5。取不到真实信号时返回 </w:t>
      </w:r>
      <w:r>
        <w:rPr>
          <w:rFonts w:ascii="Courier New" w:hAnsi="Courier New"/>
        </w:rPr>
        <w:t>None</w:t>
      </w:r>
      <w:r>
        <w:t>，由调用方整段跳过。</w:t>
      </w:r>
    </w:p>
    <w:p w14:paraId="0129DB67">
      <w:pPr>
        <w:pStyle w:val="7"/>
        <w:spacing w:line="300" w:lineRule="auto"/>
        <w:ind w:firstLine="420"/>
      </w:pPr>
      <w:r>
        <w:t>该函数还有一条容易被忽略的护栏：即便当下多头池很宽、</w:t>
      </w:r>
      <w:r>
        <w:rPr>
          <w:rFonts w:ascii="Courier New" w:hAnsi="Courier New"/>
        </w:rPr>
        <w:t>adj</w:t>
      </w:r>
      <w:r>
        <w:t xml:space="preserve"> 算得出来，只要历史回测证明"事件开"的命中率并不优于"事件关"，就判定该催化只是噪声并返回 </w:t>
      </w:r>
      <w:r>
        <w:rPr>
          <w:rFonts w:ascii="Courier New" w:hAnsi="Courier New"/>
        </w:rPr>
        <w:t>None</w:t>
      </w:r>
      <w:r>
        <w:t>：</w:t>
      </w:r>
    </w:p>
    <w:p w14:paraId="797BEAE6">
      <w:pPr>
        <w:pStyle w:val="7"/>
      </w:pPr>
      <w:r>
        <w:rPr>
          <w:rFonts w:ascii="Courier New" w:hAnsi="Courier New" w:eastAsia="宋体"/>
          <w:sz w:val="18"/>
        </w:rPr>
        <w:t># 广度规则（透明、可解释）：事件驱动多头池每满 10 只高置信标的 → 仓位 +1pt，封顶 +5</w:t>
      </w:r>
      <w:r>
        <w:rPr>
          <w:rFonts w:ascii="Courier New" w:hAnsi="Courier New" w:eastAsia="宋体"/>
          <w:sz w:val="18"/>
        </w:rPr>
        <w:br w:type="textWrapping"/>
      </w:r>
      <w:r>
        <w:rPr>
          <w:rFonts w:ascii="Courier New" w:hAnsi="Courier New" w:eastAsia="宋体"/>
          <w:sz w:val="18"/>
        </w:rPr>
        <w:t>_edge = event_edge()</w:t>
      </w:r>
      <w:r>
        <w:rPr>
          <w:rFonts w:ascii="Courier New" w:hAnsi="Courier New" w:eastAsia="宋体"/>
          <w:sz w:val="18"/>
        </w:rPr>
        <w:br w:type="textWrapping"/>
      </w:r>
      <w:r>
        <w:rPr>
          <w:rFonts w:ascii="Courier New" w:hAnsi="Courier New" w:eastAsia="宋体"/>
          <w:sz w:val="18"/>
        </w:rPr>
        <w:t>if _edge.get("known") and not _edge.get("edge"):</w:t>
      </w:r>
      <w:r>
        <w:rPr>
          <w:rFonts w:ascii="Courier New" w:hAnsi="Courier New" w:eastAsia="宋体"/>
          <w:sz w:val="18"/>
        </w:rPr>
        <w:br w:type="textWrapping"/>
      </w:r>
      <w:r>
        <w:rPr>
          <w:rFonts w:ascii="Courier New" w:hAnsi="Courier New" w:eastAsia="宋体"/>
          <w:sz w:val="18"/>
        </w:rPr>
        <w:t xml:space="preserve">    return None                      # 诚实护栏：无统计优势则不加</w:t>
      </w:r>
      <w:r>
        <w:rPr>
          <w:rFonts w:ascii="Courier New" w:hAnsi="Courier New" w:eastAsia="宋体"/>
          <w:sz w:val="18"/>
        </w:rPr>
        <w:br w:type="textWrapping"/>
      </w:r>
      <w:r>
        <w:rPr>
          <w:rFonts w:ascii="Courier New" w:hAnsi="Courier New" w:eastAsia="宋体"/>
          <w:sz w:val="18"/>
        </w:rPr>
        <w:t>n = len(longs)</w:t>
      </w:r>
      <w:r>
        <w:rPr>
          <w:rFonts w:ascii="Courier New" w:hAnsi="Courier New" w:eastAsia="宋体"/>
          <w:sz w:val="18"/>
        </w:rPr>
        <w:br w:type="textWrapping"/>
      </w:r>
      <w:r>
        <w:rPr>
          <w:rFonts w:ascii="Courier New" w:hAnsi="Courier New" w:eastAsia="宋体"/>
          <w:sz w:val="18"/>
        </w:rPr>
        <w:t>return {"adj": min(5, n // 10), "long_count": n, "as_of": as_of}</w:t>
      </w:r>
    </w:p>
    <w:p w14:paraId="02994DBF">
      <w:pPr>
        <w:pStyle w:val="7"/>
        <w:spacing w:line="300" w:lineRule="auto"/>
        <w:ind w:firstLine="420"/>
      </w:pPr>
      <w:r>
        <w:t>这条护栏的意义在于：它使"事件驱动"成为可证伪的主张，而不是装饰性标签。若回测显示事件催化无优势，系统宁可不加，也不用它来装点模型的复杂度。</w:t>
      </w:r>
    </w:p>
    <w:p w14:paraId="023D49F7">
      <w:pPr>
        <w:pStyle w:val="7"/>
        <w:jc w:val="center"/>
      </w:pPr>
      <w:r>
        <w:drawing>
          <wp:inline distT="0" distB="0" distL="114300" distR="114300">
            <wp:extent cx="5029200" cy="120294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029200" cy="12029953"/>
                    </a:xfrm>
                    <a:prstGeom prst="rect">
                      <a:avLst/>
                    </a:prstGeom>
                  </pic:spPr>
                </pic:pic>
              </a:graphicData>
            </a:graphic>
          </wp:inline>
        </w:drawing>
      </w:r>
    </w:p>
    <w:p w14:paraId="7503CC63">
      <w:pPr>
        <w:pStyle w:val="7"/>
        <w:jc w:val="center"/>
      </w:pPr>
      <w:r>
        <w:rPr>
          <w:rFonts w:ascii="Times New Roman" w:hAnsi="Times New Roman" w:eastAsia="宋体"/>
          <w:sz w:val="21"/>
        </w:rPr>
        <w:t>图 4-2　事件追踪 / 板块详情页——事件追踪导读 + 信号评分 + 实时大盘异动监控 + 事件时间轴 + 事件管理表单 + 现有事件库与按时间/事件名检索</w:t>
      </w:r>
    </w:p>
    <w:p w14:paraId="0A999AAD">
      <w:pPr>
        <w:pStyle w:val="3"/>
      </w:pPr>
      <w:bookmarkStart w:id="31" w:name="_Toc3934"/>
      <w:r>
        <w:t>4.4 策略回测引擎与多进程隔离</w:t>
      </w:r>
      <w:bookmarkEnd w:id="31"/>
    </w:p>
    <w:p w14:paraId="07A85935">
      <w:pPr>
        <w:pStyle w:val="7"/>
        <w:spacing w:line="300" w:lineRule="auto"/>
        <w:ind w:firstLine="420"/>
      </w:pPr>
      <w:r>
        <w:t xml:space="preserve">回测引擎位于 </w:t>
      </w:r>
      <w:r>
        <w:rPr>
          <w:rFonts w:ascii="Courier New" w:hAnsi="Courier New"/>
        </w:rPr>
        <w:t>modules/backtest.py</w:t>
      </w:r>
      <w:r>
        <w:t xml:space="preserve">（1532 行），引擎类为 </w:t>
      </w:r>
      <w:r>
        <w:rPr>
          <w:rFonts w:ascii="Courier New" w:hAnsi="Courier New"/>
        </w:rPr>
        <w:t>Backtester</w:t>
      </w:r>
      <w:r>
        <w:t xml:space="preserve">，对外暴露 </w:t>
      </w:r>
      <w:r>
        <w:rPr>
          <w:rFonts w:ascii="Courier New" w:hAnsi="Courier New"/>
        </w:rPr>
        <w:t>run</w:t>
      </w:r>
      <w:r>
        <w:t>、</w:t>
      </w:r>
      <w:r>
        <w:rPr>
          <w:rFonts w:ascii="Courier New" w:hAnsi="Courier New"/>
        </w:rPr>
        <w:t>run_param_scan</w:t>
      </w:r>
      <w:r>
        <w:t>、</w:t>
      </w:r>
      <w:r>
        <w:rPr>
          <w:rFonts w:ascii="Courier New" w:hAnsi="Courier New"/>
        </w:rPr>
        <w:t>run_batch</w:t>
      </w:r>
      <w:r>
        <w:t xml:space="preserve"> 三个入口。引擎内置真实交易成本模型（</w:t>
      </w:r>
      <w:r>
        <w:rPr>
          <w:rFonts w:ascii="Courier New" w:hAnsi="Courier New"/>
        </w:rPr>
        <w:t>_simulate</w:t>
      </w:r>
      <w:r>
        <w:t xml:space="preserve"> 方法），是评估策略与验证决策可信度的基石：</w:t>
      </w:r>
    </w:p>
    <w:p w14:paraId="2227FF45"/>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188BDD8">
        <w:tblPrEx>
          <w:tblCellMar>
            <w:top w:w="0" w:type="dxa"/>
            <w:left w:w="108" w:type="dxa"/>
            <w:bottom w:w="0" w:type="dxa"/>
            <w:right w:w="108" w:type="dxa"/>
          </w:tblCellMar>
        </w:tblPrEx>
        <w:tc>
          <w:tcPr>
            <w:tcW w:w="3080" w:type="dxa"/>
          </w:tcPr>
          <w:p w14:paraId="5D889105">
            <w:r>
              <w:rPr>
                <w:rFonts w:ascii="Times New Roman" w:hAnsi="Times New Roman" w:eastAsia="宋体"/>
                <w:sz w:val="21"/>
              </w:rPr>
              <w:t>成本项</w:t>
            </w:r>
          </w:p>
        </w:tc>
        <w:tc>
          <w:tcPr>
            <w:tcW w:w="3080" w:type="dxa"/>
          </w:tcPr>
          <w:p w14:paraId="34FDC231">
            <w:r>
              <w:rPr>
                <w:rFonts w:ascii="Times New Roman" w:hAnsi="Times New Roman" w:eastAsia="宋体"/>
                <w:sz w:val="21"/>
              </w:rPr>
              <w:t>取值</w:t>
            </w:r>
          </w:p>
        </w:tc>
        <w:tc>
          <w:tcPr>
            <w:tcW w:w="3080" w:type="dxa"/>
          </w:tcPr>
          <w:p w14:paraId="53B8601D">
            <w:r>
              <w:rPr>
                <w:rFonts w:ascii="Times New Roman" w:hAnsi="Times New Roman" w:eastAsia="宋体"/>
                <w:sz w:val="21"/>
              </w:rPr>
              <w:t>扣除侧</w:t>
            </w:r>
          </w:p>
        </w:tc>
      </w:tr>
      <w:tr w14:paraId="2BEB4BC8">
        <w:tblPrEx>
          <w:tblCellMar>
            <w:top w:w="0" w:type="dxa"/>
            <w:left w:w="108" w:type="dxa"/>
            <w:bottom w:w="0" w:type="dxa"/>
            <w:right w:w="108" w:type="dxa"/>
          </w:tblCellMar>
        </w:tblPrEx>
        <w:tc>
          <w:tcPr>
            <w:tcW w:w="3080" w:type="dxa"/>
          </w:tcPr>
          <w:p w14:paraId="18E003C7">
            <w:r>
              <w:rPr>
                <w:rFonts w:ascii="Times New Roman" w:hAnsi="Times New Roman" w:eastAsia="宋体"/>
                <w:sz w:val="21"/>
              </w:rPr>
              <w:t>佣金</w:t>
            </w:r>
          </w:p>
        </w:tc>
        <w:tc>
          <w:tcPr>
            <w:tcW w:w="3080" w:type="dxa"/>
          </w:tcPr>
          <w:p w14:paraId="04A34B21">
            <w:r>
              <w:rPr>
                <w:rFonts w:ascii="Times New Roman" w:hAnsi="Times New Roman" w:eastAsia="宋体"/>
                <w:sz w:val="21"/>
              </w:rPr>
              <w:t>`commission = 0.001`（万三）</w:t>
            </w:r>
          </w:p>
        </w:tc>
        <w:tc>
          <w:tcPr>
            <w:tcW w:w="3080" w:type="dxa"/>
          </w:tcPr>
          <w:p w14:paraId="16A3694F">
            <w:r>
              <w:rPr>
                <w:rFonts w:ascii="Times New Roman" w:hAnsi="Times New Roman" w:eastAsia="宋体"/>
                <w:sz w:val="21"/>
              </w:rPr>
              <w:t>买卖双侧</w:t>
            </w:r>
          </w:p>
        </w:tc>
      </w:tr>
      <w:tr w14:paraId="443CCA64">
        <w:tblPrEx>
          <w:tblCellMar>
            <w:top w:w="0" w:type="dxa"/>
            <w:left w:w="108" w:type="dxa"/>
            <w:bottom w:w="0" w:type="dxa"/>
            <w:right w:w="108" w:type="dxa"/>
          </w:tblCellMar>
        </w:tblPrEx>
        <w:tc>
          <w:tcPr>
            <w:tcW w:w="3080" w:type="dxa"/>
          </w:tcPr>
          <w:p w14:paraId="6823E7E5">
            <w:r>
              <w:rPr>
                <w:rFonts w:ascii="Times New Roman" w:hAnsi="Times New Roman" w:eastAsia="宋体"/>
                <w:sz w:val="21"/>
              </w:rPr>
              <w:t>滑点</w:t>
            </w:r>
          </w:p>
        </w:tc>
        <w:tc>
          <w:tcPr>
            <w:tcW w:w="3080" w:type="dxa"/>
          </w:tcPr>
          <w:p w14:paraId="4B8CC4C8">
            <w:r>
              <w:rPr>
                <w:rFonts w:ascii="Times New Roman" w:hAnsi="Times New Roman" w:eastAsia="宋体"/>
                <w:sz w:val="21"/>
              </w:rPr>
              <w:t>`slippage_pct = 0.001`（0.1%）</w:t>
            </w:r>
          </w:p>
        </w:tc>
        <w:tc>
          <w:tcPr>
            <w:tcW w:w="3080" w:type="dxa"/>
          </w:tcPr>
          <w:p w14:paraId="21A195E1">
            <w:r>
              <w:rPr>
                <w:rFonts w:ascii="Times New Roman" w:hAnsi="Times New Roman" w:eastAsia="宋体"/>
                <w:sz w:val="21"/>
              </w:rPr>
              <w:t>买卖双侧</w:t>
            </w:r>
          </w:p>
        </w:tc>
      </w:tr>
      <w:tr w14:paraId="43C07044">
        <w:tblPrEx>
          <w:tblCellMar>
            <w:top w:w="0" w:type="dxa"/>
            <w:left w:w="108" w:type="dxa"/>
            <w:bottom w:w="0" w:type="dxa"/>
            <w:right w:w="108" w:type="dxa"/>
          </w:tblCellMar>
        </w:tblPrEx>
        <w:tc>
          <w:tcPr>
            <w:tcW w:w="3080" w:type="dxa"/>
          </w:tcPr>
          <w:p w14:paraId="48B3DE3D">
            <w:r>
              <w:rPr>
                <w:rFonts w:ascii="Times New Roman" w:hAnsi="Times New Roman" w:eastAsia="宋体"/>
                <w:sz w:val="21"/>
              </w:rPr>
              <w:t>印花税</w:t>
            </w:r>
          </w:p>
        </w:tc>
        <w:tc>
          <w:tcPr>
            <w:tcW w:w="3080" w:type="dxa"/>
          </w:tcPr>
          <w:p w14:paraId="159EEFA5">
            <w:r>
              <w:rPr>
                <w:rFonts w:ascii="Times New Roman" w:hAnsi="Times New Roman" w:eastAsia="宋体"/>
                <w:sz w:val="21"/>
              </w:rPr>
              <w:t>`stamp_tax_pct = 0.001`（千一）</w:t>
            </w:r>
          </w:p>
        </w:tc>
        <w:tc>
          <w:tcPr>
            <w:tcW w:w="3080" w:type="dxa"/>
          </w:tcPr>
          <w:p w14:paraId="70EB3DE7">
            <w:r>
              <w:rPr>
                <w:rFonts w:ascii="Times New Roman" w:hAnsi="Times New Roman" w:eastAsia="宋体"/>
                <w:sz w:val="21"/>
              </w:rPr>
              <w:t>**仅卖出侧**</w:t>
            </w:r>
          </w:p>
        </w:tc>
      </w:tr>
    </w:tbl>
    <w:p w14:paraId="23A0CD78">
      <w:pPr>
        <w:pStyle w:val="7"/>
        <w:spacing w:line="300" w:lineRule="auto"/>
        <w:ind w:firstLine="420"/>
      </w:pPr>
      <w:r>
        <w:t xml:space="preserve">每股买入成本 = </w:t>
      </w:r>
      <w:r>
        <w:rPr>
          <w:rFonts w:ascii="Courier New" w:hAnsi="Courier New"/>
        </w:rPr>
        <w:t>price × (1 + slippage) × (1 + commission)</w:t>
      </w:r>
      <w:r>
        <w:t xml:space="preserve">；卖出到手金额 = </w:t>
      </w:r>
      <w:r>
        <w:rPr>
          <w:rFonts w:ascii="Courier New" w:hAnsi="Courier New"/>
        </w:rPr>
        <w:t>position × price × (1 − slippage) × (1 − commission − stamp_tax)</w:t>
      </w:r>
      <w:r>
        <w:t xml:space="preserve">。二者均为乘性叠加而非简单相加，避免把"滑点后的价差"也算进佣金基数。支持 </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 xml:space="preserve"> 四类策略，内置 RSI / ATR / MACD / Bollinger / ADX 指标。成本模型真实扣除是回测结论可信的前提，也是第 6 章的验证对象。Perold[12] 关于"实现缺口"（implementation shortfall）的讨论，正说明成本假设的微小偏差会显著改变策略评价结论。</w:t>
      </w:r>
    </w:p>
    <w:p w14:paraId="5ADF2CB6">
      <w:pPr>
        <w:pStyle w:val="7"/>
        <w:spacing w:line="300" w:lineRule="auto"/>
        <w:ind w:firstLine="420"/>
      </w:pPr>
      <w:r>
        <w:t xml:space="preserve">策略以 </w:t>
      </w:r>
      <w:r>
        <w:rPr>
          <w:rFonts w:ascii="Courier New" w:hAnsi="Courier New"/>
        </w:rPr>
        <w:t>modules/strategies/registry.py</w:t>
      </w:r>
      <w:r>
        <w:t xml:space="preserve"> 的 </w:t>
      </w:r>
      <w:r>
        <w:rPr>
          <w:rFonts w:ascii="Courier New" w:hAnsi="Courier New"/>
        </w:rPr>
        <w:t>STRATEGY_REGISTRY</w:t>
      </w:r>
      <w:r>
        <w:t xml:space="preserve"> 全局单例字典组织，</w:t>
      </w:r>
      <w:r>
        <w:rPr>
          <w:rFonts w:ascii="Courier New" w:hAnsi="Courier New"/>
        </w:rPr>
        <w:t>BaseStrategy</w:t>
      </w:r>
      <w:r>
        <w:t xml:space="preserve"> 基类被刻意设计为可被 pickle 跨进程传输——这一约束使得批量回测（</w:t>
      </w:r>
      <w:r>
        <w:rPr>
          <w:rFonts w:ascii="Courier New" w:hAnsi="Courier New"/>
        </w:rPr>
        <w:t>run_batch</w:t>
      </w:r>
      <w:r>
        <w:t xml:space="preserve">）可借 </w:t>
      </w:r>
      <w:r>
        <w:rPr>
          <w:rFonts w:ascii="Courier New" w:hAnsi="Courier New"/>
        </w:rPr>
        <w:t>ProcessPoolExecutor</w:t>
      </w:r>
      <w:r>
        <w:t xml:space="preserve"> 并行执行，而不必担心策略对象无法跨进程传递。</w:t>
      </w:r>
    </w:p>
    <w:p w14:paraId="0E542AE4">
      <w:pPr>
        <w:pStyle w:val="7"/>
        <w:spacing w:line="300" w:lineRule="auto"/>
        <w:ind w:firstLine="420"/>
      </w:pPr>
      <w:r>
        <w:t xml:space="preserve">需要隔离原生扩展崩溃的场景则由 </w:t>
      </w:r>
      <w:r>
        <w:rPr>
          <w:rFonts w:ascii="Courier New" w:hAnsi="Courier New"/>
        </w:rPr>
        <w:t>modules/shepherd_reconstruct.py</w:t>
      </w:r>
      <w:r>
        <w:t xml:space="preserve"> 承担：该模块对牧羊人市场情绪指标做 2007 年至今的历史回溯重构，明确使用 </w:t>
      </w:r>
      <w:r>
        <w:rPr>
          <w:rFonts w:ascii="Courier New" w:hAnsi="Courier New"/>
        </w:rPr>
        <w:t>ProcessPoolExecutor</w:t>
      </w:r>
      <w:r>
        <w:t xml:space="preserve">（第 348 行）配合 </w:t>
      </w:r>
      <w:r>
        <w:rPr>
          <w:rFonts w:ascii="Courier New" w:hAnsi="Courier New"/>
        </w:rPr>
        <w:t>if __name__ == "__main__":</w:t>
      </w:r>
      <w:r>
        <w:t xml:space="preserve"> 守卫（第 650 行），让每个 worker 进程持有独立的 V8 实例，从而把 </w:t>
      </w:r>
      <w:r>
        <w:rPr>
          <w:rFonts w:ascii="Courier New" w:hAnsi="Courier New"/>
        </w:rPr>
        <w:t>py_mini_racer</w:t>
      </w:r>
      <w:r>
        <w:t xml:space="preserve"> 在 Windows 下的偶发崩溃隔离在单个子进程内，不拖垮主进程。这一"以进程边界换取稳定性"的取舍，是数据处理型模块应对不可控原生依赖的务实做法。</w:t>
      </w:r>
    </w:p>
    <w:p w14:paraId="31CB9185">
      <w:pPr>
        <w:pStyle w:val="7"/>
        <w:spacing w:line="300" w:lineRule="auto"/>
        <w:ind w:firstLine="420"/>
      </w:pPr>
      <w:r>
        <w:t>图 4-3 把上述流程串成一条可复核的链路：配置与数据是输入，信号生成与撮合彼此解耦（信号由策略预生成、撮合只消费信号序列），成本扣除集中在撮合环节，绩效统计与产物输出位于末端。并行的部分被刻意画成独立分支——只有批量与历史回溯走多进程，单标的回测仍是同步执行，避免为少量任务付出进程创建与序列化开销。</w:t>
      </w:r>
    </w:p>
    <w:p w14:paraId="76DAA21E">
      <w:pPr>
        <w:pStyle w:val="7"/>
        <w:jc w:val="center"/>
      </w:pPr>
      <w:r>
        <w:rPr>
          <w:rFonts w:ascii="Times New Roman" w:hAnsi="Times New Roman" w:eastAsia="宋体"/>
          <w:sz w:val="21"/>
        </w:rPr>
        <w:pict>
          <v:shape id="_x0000_i1028" o:spt="75" alt="fig_backtest" type="#_x0000_t75" style="height:304.5pt;width:462pt;" filled="f" o:preferrelative="t" stroked="f" coordsize="21600,21600">
            <v:path/>
            <v:fill on="f" focussize="0,0"/>
            <v:stroke on="f"/>
            <v:imagedata r:id="rId21" o:title=""/>
            <o:lock v:ext="edit" aspectratio="t"/>
            <w10:wrap type="none"/>
            <w10:anchorlock/>
          </v:shape>
        </w:pict>
      </w:r>
      <w:r>
        <w:rPr>
          <w:rFonts w:ascii="Times New Roman" w:hAnsi="Times New Roman" w:eastAsia="宋体"/>
          <w:sz w:val="21"/>
        </w:rPr>
        <w:t>图 4-3　策略回测引擎执行流程</w:t>
      </w:r>
    </w:p>
    <w:p w14:paraId="54CE53DD">
      <w:pPr>
        <w:pStyle w:val="7"/>
        <w:spacing w:line="300" w:lineRule="auto"/>
        <w:ind w:firstLine="420"/>
      </w:pPr>
      <w:r>
        <w:t xml:space="preserve">&gt; </w:t>
      </w:r>
      <w:r>
        <w:rPr>
          <w:b/>
        </w:rPr>
        <w:t>【待补截图 6】</w:t>
      </w:r>
      <w:r>
        <w:t xml:space="preserve"> 回测结果页：含净值曲线 + 逐笔交易明细 + 绩效指标（总收益/最大回撤/胜率/盈亏比），与正文图 4-3、图 6-5 对应。</w:t>
      </w:r>
    </w:p>
    <w:p w14:paraId="0C054EAD">
      <w:pPr>
        <w:pStyle w:val="3"/>
      </w:pPr>
      <w:bookmarkStart w:id="32" w:name="_Toc19099"/>
      <w:r>
        <w:t>4.5 个股分析与多股对比</w:t>
      </w:r>
      <w:bookmarkEnd w:id="32"/>
    </w:p>
    <w:p w14:paraId="04B39908">
      <w:pPr>
        <w:pStyle w:val="7"/>
        <w:spacing w:line="300" w:lineRule="auto"/>
        <w:ind w:firstLine="420"/>
      </w:pPr>
      <w:r>
        <w:t xml:space="preserve">个股分析对应 </w:t>
      </w:r>
      <w:r>
        <w:rPr>
          <w:rFonts w:ascii="Courier New" w:hAnsi="Courier New"/>
        </w:rPr>
        <w:t>2_个股分析.py</w:t>
      </w:r>
      <w:r>
        <w:t xml:space="preserve">，对单只标的给出基本面、技术面、资金面解读；多股对比由 </w:t>
      </w:r>
      <w:r>
        <w:rPr>
          <w:rFonts w:ascii="Courier New" w:hAnsi="Courier New"/>
        </w:rPr>
        <w:t>modules/compare.py</w:t>
      </w:r>
      <w:r>
        <w:t xml:space="preserve"> 支撑，支持 </w:t>
      </w:r>
      <w:r>
        <w:rPr>
          <w:b/>
        </w:rPr>
        <w:t>≥5 只标的</w:t>
      </w:r>
      <w:r>
        <w:t xml:space="preserve">同屏比较，复刻 </w:t>
      </w:r>
      <w:r>
        <w:rPr>
          <w:rFonts w:ascii="Courier New" w:hAnsi="Courier New"/>
        </w:rPr>
        <w:t>compare-analysis</w:t>
      </w:r>
      <w:r>
        <w:t xml:space="preserve"> 报告的 UI/UX——包含综合评分、维度雷达与相对强弱。多股对比的并行取数走 4.7 节的共享线程池与降级链，因此即便个别标的源暂时不可用，对比结果仍能在降级数据上完成。</w:t>
      </w:r>
    </w:p>
    <w:p w14:paraId="7D094380">
      <w:pPr>
        <w:pStyle w:val="7"/>
        <w:spacing w:line="300" w:lineRule="auto"/>
        <w:ind w:firstLine="420"/>
      </w:pPr>
      <w:r>
        <w:t xml:space="preserve">综合评分在 </w:t>
      </w:r>
      <w:r>
        <w:rPr>
          <w:rFonts w:ascii="Courier New" w:hAnsi="Courier New"/>
        </w:rPr>
        <w:t>modules/compare.py</w:t>
      </w:r>
      <w:r>
        <w:t xml:space="preserve"> 中由四维加权得到，权重对使用者公开（趋势 0.30、动量 0.25、量能 0.20、形态 0.25），因此"某只股票为什么排第一"是可以追问的，而不是黑箱排序：</w:t>
      </w:r>
    </w:p>
    <w:p w14:paraId="183BAE64">
      <w:pPr>
        <w:pStyle w:val="7"/>
      </w:pPr>
      <w:r>
        <w:rPr>
          <w:rFonts w:ascii="Courier New" w:hAnsi="Courier New" w:eastAsia="宋体"/>
          <w:sz w:val="18"/>
        </w:rPr>
        <w:t>composite = int(round(0.30 * trend + 0.25 * mom + 0.20 * vol + 0.25 * pat))</w:t>
      </w:r>
      <w:r>
        <w:rPr>
          <w:rFonts w:ascii="Courier New" w:hAnsi="Courier New" w:eastAsia="宋体"/>
          <w:sz w:val="18"/>
        </w:rPr>
        <w:br w:type="textWrapping"/>
      </w:r>
      <w:r>
        <w:rPr>
          <w:rFonts w:ascii="Courier New" w:hAnsi="Courier New" w:eastAsia="宋体"/>
          <w:sz w:val="18"/>
        </w:rPr>
        <w:t>row["scores"] = {"trend": trend, "momentum": mom, "volume": vol,</w:t>
      </w:r>
      <w:r>
        <w:rPr>
          <w:rFonts w:ascii="Courier New" w:hAnsi="Courier New" w:eastAsia="宋体"/>
          <w:sz w:val="18"/>
        </w:rPr>
        <w:br w:type="textWrapping"/>
      </w:r>
      <w:r>
        <w:rPr>
          <w:rFonts w:ascii="Courier New" w:hAnsi="Courier New" w:eastAsia="宋体"/>
          <w:sz w:val="18"/>
        </w:rPr>
        <w:t xml:space="preserve">                 "pattern": pat, "composite": composite}</w:t>
      </w:r>
      <w:r>
        <w:rPr>
          <w:rFonts w:ascii="Courier New" w:hAnsi="Courier New" w:eastAsia="宋体"/>
          <w:sz w:val="18"/>
        </w:rPr>
        <w:br w:type="textWrapping"/>
      </w:r>
      <w:r>
        <w:rPr>
          <w:rFonts w:ascii="Courier New" w:hAnsi="Courier New" w:eastAsia="宋体"/>
          <w:sz w:val="18"/>
        </w:rPr>
        <w:t>row["elasticity"] = float(rets.std() * np.sqrt(242) * 100)   # 年化波动率(%)</w:t>
      </w:r>
    </w:p>
    <w:p w14:paraId="50F7020A">
      <w:pPr>
        <w:pStyle w:val="7"/>
        <w:spacing w:line="300" w:lineRule="auto"/>
        <w:ind w:firstLine="420"/>
      </w:pPr>
      <w:r>
        <w:t xml:space="preserve">单只标的取数失败时的处理同样值得注意：不是把整张对比表置空，而是把该行降级为中性默认（各维度 50 分、信号"持有"）并标记 </w:t>
      </w:r>
      <w:r>
        <w:rPr>
          <w:rFonts w:ascii="Courier New" w:hAnsi="Courier New"/>
        </w:rPr>
        <w:t>error</w:t>
      </w:r>
      <w:r>
        <w:t>，让用户可以立刻看出"这一行没数据"，而不是被一个看起来正常的 50 分误导。多级降级与显式标记的配合，是对比类功能可用性的关键。</w:t>
      </w:r>
    </w:p>
    <w:p w14:paraId="4E4CA45D">
      <w:pPr>
        <w:pStyle w:val="7"/>
        <w:spacing w:line="300" w:lineRule="auto"/>
        <w:ind w:firstLine="420"/>
      </w:pPr>
      <w:r>
        <w:t xml:space="preserve">&gt; </w:t>
      </w:r>
      <w:r>
        <w:rPr>
          <w:b/>
        </w:rPr>
        <w:t>【待补截图 4】</w:t>
      </w:r>
      <w:r>
        <w:t xml:space="preserve"> 个股分析页（2_个股分析.py）：含基本面 / 技术面 / 资金面三维解读。</w:t>
      </w:r>
    </w:p>
    <w:p w14:paraId="3AB15AF1">
      <w:pPr>
        <w:pStyle w:val="7"/>
        <w:spacing w:line="300" w:lineRule="auto"/>
        <w:ind w:firstLine="420"/>
      </w:pPr>
      <w:r>
        <w:t xml:space="preserve">&gt; </w:t>
      </w:r>
      <w:r>
        <w:rPr>
          <w:b/>
        </w:rPr>
        <w:t>【待补截图 5】</w:t>
      </w:r>
      <w:r>
        <w:t xml:space="preserve"> 多股对比页：含综合评分列、维度雷达、相对强弱，至少 5 只标的同屏。</w:t>
      </w:r>
    </w:p>
    <w:p w14:paraId="57C847F1">
      <w:pPr>
        <w:pStyle w:val="3"/>
      </w:pPr>
      <w:bookmarkStart w:id="33" w:name="_Toc14077"/>
      <w:r>
        <w:t>4.6 持仓管理与数据多源治理</w:t>
      </w:r>
      <w:bookmarkEnd w:id="33"/>
    </w:p>
    <w:p w14:paraId="2A79324A">
      <w:pPr>
        <w:pStyle w:val="7"/>
        <w:spacing w:line="300" w:lineRule="auto"/>
        <w:ind w:firstLine="420"/>
      </w:pPr>
      <w:r>
        <w:t xml:space="preserve">持仓与治理对应 </w:t>
      </w:r>
      <w:r>
        <w:rPr>
          <w:rFonts w:ascii="Courier New" w:hAnsi="Courier New"/>
        </w:rPr>
        <w:t>fetcher.py</w:t>
      </w:r>
      <w:r>
        <w:t>（多源降级）、</w:t>
      </w:r>
      <w:r>
        <w:rPr>
          <w:rFonts w:ascii="Courier New" w:hAnsi="Courier New"/>
        </w:rPr>
        <w:t>mark_suspect</w:t>
      </w:r>
      <w:r>
        <w:t xml:space="preserve">（脏数据标记）与 </w:t>
      </w:r>
      <w:r>
        <w:rPr>
          <w:rFonts w:ascii="Courier New" w:hAnsi="Courier New"/>
        </w:rPr>
        <w:t>shepherd_ladder</w:t>
      </w:r>
      <w:r>
        <w:t>（</w:t>
      </w:r>
      <w:r>
        <w:rPr>
          <w:rFonts w:ascii="Courier New" w:hAnsi="Courier New"/>
        </w:rPr>
        <w:t>ladder_promotion_rates</w:t>
      </w:r>
      <w:r>
        <w:t xml:space="preserve"> 跨日递推、</w:t>
      </w:r>
      <w:r>
        <w:rPr>
          <w:rFonts w:ascii="Courier New" w:hAnsi="Courier New"/>
        </w:rPr>
        <w:t>prev_overall</w:t>
      </w:r>
      <w:r>
        <w:t xml:space="preserve"> 环比基准）。</w:t>
      </w:r>
    </w:p>
    <w:p w14:paraId="547B6205">
      <w:pPr>
        <w:pStyle w:val="7"/>
        <w:spacing w:line="300" w:lineRule="auto"/>
        <w:ind w:firstLine="420"/>
      </w:pPr>
      <w:r>
        <w:t xml:space="preserve">多源取数采用 akshare → BaoStock → 新浪财经 → 东方财富（urllib）→ 本地缓存的五级降级链：单源失败自动切换到下一源，最终仍以缓存兜底，保证取数韧性。外部源偶发的脏数据（例如涨停板晋级率异常）以 </w:t>
      </w:r>
      <w:r>
        <w:rPr>
          <w:rFonts w:ascii="Courier New" w:hAnsi="Courier New"/>
        </w:rPr>
        <w:t>mark_suspect</w:t>
      </w:r>
      <w:r>
        <w:t xml:space="preserve"> 标记，下游决策对其降权——这是第 5 章"决策可信"的前提，脏数据若直接进入 </w:t>
      </w:r>
      <w:r>
        <w:rPr>
          <w:rFonts w:ascii="Courier New" w:hAnsi="Courier New"/>
        </w:rPr>
        <w:t>derive_position</w:t>
      </w:r>
      <w:r>
        <w:t xml:space="preserve"> 会污染仓位建议。</w:t>
      </w:r>
    </w:p>
    <w:p w14:paraId="485FDCBC">
      <w:pPr>
        <w:pStyle w:val="7"/>
        <w:spacing w:line="300" w:lineRule="auto"/>
        <w:ind w:firstLine="420"/>
      </w:pPr>
      <w:r>
        <w:t>降级链的实现方式值得一说：四个在线源不是串行尝试，而是</w:t>
      </w:r>
      <w:r>
        <w:rPr>
          <w:b/>
        </w:rPr>
        <w:t>并行竞速</w:t>
      </w:r>
      <w:r>
        <w:t>——任一源先成功即被采用，慢源与挂起源随后取消，因此取数耗时由"各源之和"降为"最快单源"；四源全败才由第五级（任意过期缓存）兜底：</w:t>
      </w:r>
    </w:p>
    <w:p w14:paraId="54761DF2">
      <w:pPr>
        <w:pStyle w:val="7"/>
      </w:pPr>
      <w:r>
        <w:rPr>
          <w:rFonts w:ascii="Courier New" w:hAnsi="Courier New" w:eastAsia="宋体"/>
          <w:sz w:val="18"/>
        </w:rPr>
        <w:t>levels = ["L1", "L2", "L3", "L4"]                    # akshare / BaoStock / 新浪 / 东财</w:t>
      </w:r>
      <w:r>
        <w:rPr>
          <w:rFonts w:ascii="Courier New" w:hAnsi="Courier New" w:eastAsia="宋体"/>
          <w:sz w:val="18"/>
        </w:rPr>
        <w:br w:type="textWrapping"/>
      </w:r>
      <w:r>
        <w:rPr>
          <w:rFonts w:ascii="Courier New" w:hAnsi="Courier New" w:eastAsia="宋体"/>
          <w:sz w:val="18"/>
        </w:rPr>
        <w:t>futs = {ex.submit(self._fetch_level, lv, symbol, start, end, adjust): lv for lv in levels}</w:t>
      </w:r>
      <w:r>
        <w:rPr>
          <w:rFonts w:ascii="Courier New" w:hAnsi="Courier New" w:eastAsia="宋体"/>
          <w:sz w:val="18"/>
        </w:rPr>
        <w:br w:type="textWrapping"/>
      </w:r>
      <w:r>
        <w:rPr>
          <w:rFonts w:ascii="Courier New" w:hAnsi="Courier New" w:eastAsia="宋体"/>
          <w:sz w:val="18"/>
        </w:rPr>
        <w:t>done, not_done = _cf.wait(futs, timeout=10, return_when=_cf.FIRST_COMPLETED)</w:t>
      </w:r>
      <w:r>
        <w:rPr>
          <w:rFonts w:ascii="Courier New" w:hAnsi="Courier New" w:eastAsia="宋体"/>
          <w:sz w:val="18"/>
        </w:rPr>
        <w:br w:type="textWrapping"/>
      </w:r>
      <w:r>
        <w:rPr>
          <w:rFonts w:ascii="Courier New" w:hAnsi="Courier New" w:eastAsia="宋体"/>
          <w:sz w:val="18"/>
        </w:rPr>
        <w:t>for fut in done:                                      # 先完成者若成功立即采用，不再等慢源</w:t>
      </w:r>
      <w:r>
        <w:rPr>
          <w:rFonts w:ascii="Courier New" w:hAnsi="Courier New" w:eastAsia="宋体"/>
          <w:sz w:val="18"/>
        </w:rPr>
        <w:br w:type="textWrapping"/>
      </w:r>
      <w:r>
        <w:rPr>
          <w:rFonts w:ascii="Courier New" w:hAnsi="Courier New" w:eastAsia="宋体"/>
          <w:sz w:val="18"/>
        </w:rPr>
        <w:t xml:space="preserve">    res_df, res_err = fut.result()</w:t>
      </w:r>
      <w:r>
        <w:rPr>
          <w:rFonts w:ascii="Courier New" w:hAnsi="Courier New" w:eastAsia="宋体"/>
          <w:sz w:val="18"/>
        </w:rPr>
        <w:br w:type="textWrapping"/>
      </w:r>
      <w:r>
        <w:rPr>
          <w:rFonts w:ascii="Courier New" w:hAnsi="Courier New" w:eastAsia="宋体"/>
          <w:sz w:val="18"/>
        </w:rPr>
        <w:t xml:space="preserve">    if res_df is not None and not res_df.empty:</w:t>
      </w:r>
      <w:r>
        <w:rPr>
          <w:rFonts w:ascii="Courier New" w:hAnsi="Courier New" w:eastAsia="宋体"/>
          <w:sz w:val="18"/>
        </w:rPr>
        <w:br w:type="textWrapping"/>
      </w:r>
      <w:r>
        <w:rPr>
          <w:rFonts w:ascii="Courier New" w:hAnsi="Courier New" w:eastAsia="宋体"/>
          <w:sz w:val="18"/>
        </w:rPr>
        <w:t xml:space="preserve">        df = res_df</w:t>
      </w:r>
      <w:r>
        <w:rPr>
          <w:rFonts w:ascii="Courier New" w:hAnsi="Courier New" w:eastAsia="宋体"/>
          <w:sz w:val="18"/>
        </w:rPr>
        <w:br w:type="textWrapping"/>
      </w:r>
      <w:r>
        <w:rPr>
          <w:rFonts w:ascii="Courier New" w:hAnsi="Courier New" w:eastAsia="宋体"/>
          <w:sz w:val="18"/>
        </w:rPr>
        <w:t xml:space="preserve">        break</w:t>
      </w:r>
      <w:r>
        <w:rPr>
          <w:rFonts w:ascii="Courier New" w:hAnsi="Courier New" w:eastAsia="宋体"/>
          <w:sz w:val="18"/>
        </w:rPr>
        <w:br w:type="textWrapping"/>
      </w:r>
      <w:r>
        <w:rPr>
          <w:rFonts w:ascii="Courier New" w:hAnsi="Courier New" w:eastAsia="宋体"/>
          <w:sz w:val="18"/>
        </w:rPr>
        <w:t>...</w:t>
      </w:r>
      <w:r>
        <w:rPr>
          <w:rFonts w:ascii="Courier New" w:hAnsi="Courier New" w:eastAsia="宋体"/>
          <w:sz w:val="18"/>
        </w:rPr>
        <w:br w:type="textWrapping"/>
      </w:r>
      <w:r>
        <w:rPr>
          <w:rFonts w:ascii="Courier New" w:hAnsi="Courier New" w:eastAsia="宋体"/>
          <w:sz w:val="18"/>
        </w:rPr>
        <w:t>ex.shutdown(wait=False, cancel_futures=True)          # 取消被墙挂起的源，不阻塞等待</w:t>
      </w:r>
      <w:r>
        <w:rPr>
          <w:rFonts w:ascii="Courier New" w:hAnsi="Courier New" w:eastAsia="宋体"/>
          <w:sz w:val="18"/>
        </w:rPr>
        <w:br w:type="textWrapping"/>
      </w:r>
      <w:r>
        <w:rPr>
          <w:rFonts w:ascii="Courier New" w:hAnsi="Courier New" w:eastAsia="宋体"/>
          <w:sz w:val="18"/>
        </w:rPr>
        <w:t>if df is None or df.empty:</w:t>
      </w:r>
      <w:r>
        <w:rPr>
          <w:rFonts w:ascii="Courier New" w:hAnsi="Courier New" w:eastAsia="宋体"/>
          <w:sz w:val="18"/>
        </w:rPr>
        <w:br w:type="textWrapping"/>
      </w:r>
      <w:r>
        <w:rPr>
          <w:rFonts w:ascii="Courier New" w:hAnsi="Courier New" w:eastAsia="宋体"/>
          <w:sz w:val="18"/>
        </w:rPr>
        <w:t xml:space="preserve">    stale = self._read_stale_cache(conn, "daily_cache", f"daily_{symbol}")   # L5 缓存兜底</w:t>
      </w:r>
    </w:p>
    <w:p w14:paraId="2328294C">
      <w:pPr>
        <w:pStyle w:val="7"/>
        <w:spacing w:line="300" w:lineRule="auto"/>
        <w:ind w:firstLine="420"/>
      </w:pPr>
      <w:r>
        <w:t xml:space="preserve">脏数据处理则体现为 </w:t>
      </w:r>
      <w:r>
        <w:rPr>
          <w:rFonts w:ascii="Courier New" w:hAnsi="Courier New"/>
        </w:rPr>
        <w:t>mark_suspect</w:t>
      </w:r>
      <w:r>
        <w:t>（</w:t>
      </w:r>
      <w:r>
        <w:rPr>
          <w:rFonts w:ascii="Courier New" w:hAnsi="Courier New"/>
        </w:rPr>
        <w:t>modules/shepherd_ladder.py</w:t>
      </w:r>
      <w:r>
        <w:t xml:space="preserve"> L353）。它采用</w:t>
      </w:r>
      <w:r>
        <w:rPr>
          <w:b/>
        </w:rPr>
        <w:t>软标记</w:t>
      </w:r>
      <w:r>
        <w:t xml:space="preserve">：只给条目打 </w:t>
      </w:r>
      <w:r>
        <w:rPr>
          <w:rFonts w:ascii="Courier New" w:hAnsi="Courier New"/>
        </w:rPr>
        <w:t>suspect</w:t>
      </w:r>
      <w:r>
        <w:t xml:space="preserve"> 标记并记录原因与时间，被标记的条目在 </w:t>
      </w:r>
      <w:r>
        <w:rPr>
          <w:rFonts w:ascii="Courier New" w:hAnsi="Courier New"/>
        </w:rPr>
        <w:t>ladder_promotion_rates()</w:t>
      </w:r>
      <w:r>
        <w:t xml:space="preserve"> 中被跳过，但数据本身从不删除、可随时 </w:t>
      </w:r>
      <w:r>
        <w:rPr>
          <w:rFonts w:ascii="Courier New" w:hAnsi="Courier New"/>
        </w:rPr>
        <w:t>unmark</w:t>
      </w:r>
      <w:r>
        <w:t xml:space="preserve"> 恢复。这一取舍的理由是——脏数据往往要过一段时间才能确认是不是真的脏，直接删除会让日后的复核无从下手。</w:t>
      </w:r>
    </w:p>
    <w:p w14:paraId="5BEE4983">
      <w:pPr>
        <w:pStyle w:val="7"/>
        <w:spacing w:line="300" w:lineRule="auto"/>
        <w:ind w:firstLine="420"/>
      </w:pPr>
      <w:r>
        <w:t xml:space="preserve">&gt; </w:t>
      </w:r>
      <w:r>
        <w:rPr>
          <w:b/>
        </w:rPr>
        <w:t>【待补截图 7】</w:t>
      </w:r>
      <w:r>
        <w:t xml:space="preserve"> 持仓管理页：含持仓列表、多源取数降级状态、mark_suspect 标记示意（可选，能体现 4.6 节脏数据软标记即可）。</w:t>
      </w:r>
    </w:p>
    <w:p w14:paraId="67A12603">
      <w:pPr>
        <w:pStyle w:val="3"/>
      </w:pPr>
      <w:bookmarkStart w:id="34" w:name="_Toc31292"/>
      <w:r>
        <w:t>4.7 并发取数与降级链工程</w:t>
      </w:r>
      <w:bookmarkEnd w:id="34"/>
    </w:p>
    <w:p w14:paraId="0D65931E">
      <w:pPr>
        <w:pStyle w:val="7"/>
        <w:spacing w:line="300" w:lineRule="auto"/>
        <w:ind w:firstLine="420"/>
      </w:pPr>
      <w:r>
        <w:t>行情、事件、梯队等信号在日内高频涌现，页面往往需要在一次渲染中并发拉取十余个数据源。若对每个请求都新建线程池，高峰时段会积累大量短命线程直至资源耗尽；若单源卡死，又会拖垮整页。StockSignal 用三个相互配合的机制解决这个问题。</w:t>
      </w:r>
    </w:p>
    <w:p w14:paraId="68597E64">
      <w:pPr>
        <w:pStyle w:val="7"/>
        <w:spacing w:line="300" w:lineRule="auto"/>
        <w:ind w:firstLine="420"/>
      </w:pPr>
      <w:r>
        <w:rPr>
          <w:b/>
        </w:rPr>
        <w:t>共享有界线程池。</w:t>
      </w:r>
      <w:r>
        <w:t xml:space="preserve"> </w:t>
      </w:r>
      <w:r>
        <w:rPr>
          <w:rFonts w:ascii="Courier New" w:hAnsi="Courier New"/>
        </w:rPr>
        <w:t>modules/timeout_exec.py</w:t>
      </w:r>
      <w:r>
        <w:t xml:space="preserve"> 在模块级维护一个单例 </w:t>
      </w:r>
      <w:r>
        <w:rPr>
          <w:rFonts w:ascii="Courier New" w:hAnsi="Courier New"/>
        </w:rPr>
        <w:t>_POOL</w:t>
      </w:r>
      <w:r>
        <w:t>（</w:t>
      </w:r>
      <w:r>
        <w:rPr>
          <w:rFonts w:ascii="Courier New" w:hAnsi="Courier New"/>
        </w:rPr>
        <w:t>_MAX_WORKERS = 16</w:t>
      </w:r>
      <w:r>
        <w:t>），以双重检查锁（</w:t>
      </w:r>
      <w:r>
        <w:rPr>
          <w:rFonts w:ascii="Courier New" w:hAnsi="Courier New"/>
        </w:rPr>
        <w:t>_POOL_LOCK</w:t>
      </w:r>
      <w:r>
        <w:t xml:space="preserve">）保证进程内只存在一个线程池实例，取代早期"每次调用都新建 </w:t>
      </w:r>
      <w:r>
        <w:rPr>
          <w:rFonts w:ascii="Courier New" w:hAnsi="Courier New"/>
        </w:rPr>
        <w:t>ThreadPoolExecutor(max_workers=1)</w:t>
      </w:r>
      <w:r>
        <w:t>"的实现。这样所有网络取数复用同一批 16 个工作线程，彻底消除线程泄漏。</w:t>
      </w:r>
    </w:p>
    <w:p w14:paraId="3A299632">
      <w:pPr>
        <w:pStyle w:val="7"/>
        <w:spacing w:line="300" w:lineRule="auto"/>
        <w:ind w:firstLine="420"/>
      </w:pPr>
      <w:r>
        <w:rPr>
          <w:b/>
        </w:rPr>
        <w:t>整批超时与并发闸门。</w:t>
      </w:r>
      <w:r>
        <w:t xml:space="preserve"> </w:t>
      </w:r>
      <w:r>
        <w:rPr>
          <w:rFonts w:ascii="Courier New" w:hAnsi="Courier New"/>
        </w:rPr>
        <w:t>modules/fetch_parallel.py::fetch_many</w:t>
      </w:r>
      <w:r>
        <w:t xml:space="preserve"> 与 </w:t>
      </w:r>
      <w:r>
        <w:rPr>
          <w:rFonts w:ascii="Courier New" w:hAnsi="Courier New"/>
        </w:rPr>
        <w:t>_POOL</w:t>
      </w:r>
      <w:r>
        <w:t xml:space="preserve"> 共用同一池，以 </w:t>
      </w:r>
      <w:r>
        <w:rPr>
          <w:rFonts w:ascii="Courier New" w:hAnsi="Courier New"/>
        </w:rPr>
        <w:t>Semaphore(max_workers)</w:t>
      </w:r>
      <w:r>
        <w:t xml:space="preserve"> 限制同时发起的请求数；循环改用 </w:t>
      </w:r>
      <w:r>
        <w:rPr>
          <w:rFonts w:ascii="Courier New" w:hAnsi="Courier New"/>
        </w:rPr>
        <w:t>as_completed</w:t>
      </w:r>
      <w:r>
        <w:t xml:space="preserve"> 并在整批上施加硬超时（默认取 </w:t>
      </w:r>
      <w:r>
        <w:rPr>
          <w:rFonts w:ascii="Courier New" w:hAnsi="Courier New"/>
        </w:rPr>
        <w:t>CALL_TIMEOUT_CAP</w:t>
      </w:r>
      <w:r>
        <w:t xml:space="preserve">）。注释中特别指出：若不用 </w:t>
      </w:r>
      <w:r>
        <w:rPr>
          <w:rFonts w:ascii="Courier New" w:hAnsi="Courier New"/>
        </w:rPr>
        <w:t>as_completed</w:t>
      </w:r>
      <w:r>
        <w:t xml:space="preserve"> 而改用顺序 </w:t>
      </w:r>
      <w:r>
        <w:rPr>
          <w:rFonts w:ascii="Courier New" w:hAnsi="Courier New"/>
        </w:rPr>
        <w:t>fut.result(timeout=...)</w:t>
      </w:r>
      <w:r>
        <w:t xml:space="preserve">，当某个任务永久阻塞时，后续 </w:t>
      </w:r>
      <w:r>
        <w:rPr>
          <w:rFonts w:ascii="Courier New" w:hAnsi="Courier New"/>
        </w:rPr>
        <w:t>result</w:t>
      </w:r>
      <w:r>
        <w:t xml:space="preserve"> 调用根本执行不到，超时保护形同虚设。因此必须让先完成的任务先被回收，再对剩余任务统一施加整批边界。</w:t>
      </w:r>
    </w:p>
    <w:p w14:paraId="27C751FA">
      <w:pPr>
        <w:pStyle w:val="7"/>
        <w:spacing w:line="300" w:lineRule="auto"/>
        <w:ind w:firstLine="420"/>
      </w:pPr>
      <w:r>
        <w:rPr>
          <w:b/>
        </w:rPr>
        <w:t>配置不变量自纠。</w:t>
      </w:r>
      <w:r>
        <w:t xml:space="preserve"> 整批超时的正确性依赖一个不变量：</w:t>
      </w:r>
      <w:r>
        <w:rPr>
          <w:rFonts w:ascii="Courier New" w:hAnsi="Courier New"/>
        </w:rPr>
        <w:t>modules/site_config.py</w:t>
      </w:r>
      <w:r>
        <w:t xml:space="preserve"> 中 </w:t>
      </w:r>
      <w:r>
        <w:rPr>
          <w:rFonts w:ascii="Courier New" w:hAnsi="Courier New"/>
        </w:rPr>
        <w:t>REQUEST_TIMEOUT</w:t>
      </w:r>
      <w:r>
        <w:t>（底层网络默认超时）= 10 秒，</w:t>
      </w:r>
      <w:r>
        <w:rPr>
          <w:b/>
        </w:rPr>
        <w:t>必须严格小于</w:t>
      </w:r>
      <w:r>
        <w:t xml:space="preserve"> </w:t>
      </w:r>
      <w:r>
        <w:rPr>
          <w:rFonts w:ascii="Courier New" w:hAnsi="Courier New"/>
        </w:rPr>
        <w:t>CALL_TIMEOUT_CAP</w:t>
      </w:r>
      <w:r>
        <w:t xml:space="preserve">（单只取数硬边界）= 12 秒。若运维误配使二者关系反转，底层网络不会先被传输层超时唤醒，共享池反而会被硬边界丢弃线程造成泄漏。该模块在检测到 </w:t>
      </w:r>
      <w:r>
        <w:rPr>
          <w:rFonts w:ascii="Courier New" w:hAnsi="Courier New"/>
        </w:rPr>
        <w:t>CALL_TIMEOUT_CAP &lt;= REQUEST_TIMEOUT</w:t>
      </w:r>
      <w:r>
        <w:t xml:space="preserve"> 时，自动纠正为 </w:t>
      </w:r>
      <w:r>
        <w:rPr>
          <w:rFonts w:ascii="Courier New" w:hAnsi="Courier New"/>
        </w:rPr>
        <w:t>REQUEST_TIMEOUT + 2</w:t>
      </w:r>
      <w:r>
        <w:t xml:space="preserve"> 并打印告警，而不是静默留下泄漏隐患。</w:t>
      </w:r>
    </w:p>
    <w:p w14:paraId="4E62FB90">
      <w:pPr>
        <w:pStyle w:val="7"/>
        <w:spacing w:line="300" w:lineRule="auto"/>
        <w:ind w:firstLine="420"/>
      </w:pPr>
      <w:r>
        <w:rPr>
          <w:b/>
        </w:rPr>
        <w:t>多源降级兜底。</w:t>
      </w:r>
      <w:r>
        <w:t xml:space="preserve"> 如 4.6 所述，</w:t>
      </w:r>
      <w:r>
        <w:rPr>
          <w:rFonts w:ascii="Courier New" w:hAnsi="Courier New"/>
        </w:rPr>
        <w:t>fetcher.py</w:t>
      </w:r>
      <w:r>
        <w:t xml:space="preserve"> 的五级降级链让并发取数在任意单源故障时不中断。共享池、整批超时、配置自纠、源级降级四者叠加，构成了"取数永远有界、单点故障不扩散"的工程底座。</w:t>
      </w:r>
    </w:p>
    <w:p w14:paraId="0120DE34">
      <w:pPr>
        <w:pStyle w:val="3"/>
      </w:pPr>
      <w:bookmarkStart w:id="35" w:name="_Toc12094"/>
      <w:r>
        <w:t>4.8 安全基线：接口契约、鉴权与防护</w:t>
      </w:r>
      <w:bookmarkEnd w:id="35"/>
    </w:p>
    <w:p w14:paraId="3265E32F">
      <w:pPr>
        <w:pStyle w:val="7"/>
        <w:spacing w:line="300" w:lineRule="auto"/>
        <w:ind w:firstLine="420"/>
      </w:pPr>
      <w:r>
        <w:t>作为面向网络的投研平台，StockSignal 在后端固化了一套安全基线，而非把安全当作可选的展示层装饰。</w:t>
      </w:r>
    </w:p>
    <w:p w14:paraId="27CCD996">
      <w:pPr>
        <w:pStyle w:val="7"/>
        <w:spacing w:line="300" w:lineRule="auto"/>
        <w:ind w:firstLine="420"/>
      </w:pPr>
      <w:r>
        <w:rPr>
          <w:b/>
        </w:rPr>
        <w:t>统一响应信封。</w:t>
      </w:r>
      <w:r>
        <w:t xml:space="preserve"> </w:t>
      </w:r>
      <w:r>
        <w:rPr>
          <w:rFonts w:ascii="Courier New" w:hAnsi="Courier New"/>
        </w:rPr>
        <w:t>backend/utils/response.py</w:t>
      </w:r>
      <w:r>
        <w:t xml:space="preserve"> 的 </w:t>
      </w:r>
      <w:r>
        <w:rPr>
          <w:rFonts w:ascii="Courier New" w:hAnsi="Courier New"/>
        </w:rPr>
        <w:t>ok()</w:t>
      </w:r>
      <w:r>
        <w:t xml:space="preserve"> / </w:t>
      </w:r>
      <w:r>
        <w:rPr>
          <w:rFonts w:ascii="Courier New" w:hAnsi="Courier New"/>
        </w:rPr>
        <w:t>fail()</w:t>
      </w:r>
      <w:r>
        <w:t xml:space="preserve"> 始终把业务结果包装为 </w:t>
      </w:r>
      <w:r>
        <w:rPr>
          <w:rFonts w:ascii="Courier New" w:hAnsi="Courier New"/>
        </w:rPr>
        <w:t>{"status", "code", "message", "data"}</w:t>
      </w:r>
      <w:r>
        <w:t xml:space="preserve"> 四字段 JSON。任意异常（含未预期异常）经三个全局 errorhandler 后仍返回同一信封，错误信息中的 </w:t>
      </w:r>
      <w:r>
        <w:rPr>
          <w:rFonts w:ascii="Courier New" w:hAnsi="Courier New"/>
        </w:rPr>
        <w:t>message</w:t>
      </w:r>
      <w:r>
        <w:t xml:space="preserve"> 经过脱敏处理，不回显堆栈或内部路径。</w:t>
      </w:r>
      <w:r>
        <w:rPr>
          <w:rFonts w:ascii="Courier New" w:hAnsi="Courier New"/>
        </w:rPr>
        <w:t>backend/tests/test_security.py</w:t>
      </w:r>
      <w:r>
        <w:t xml:space="preserve"> 用正则断言响应体不含栈帧特征，锁死"异常泄露内部实现"的回退。</w:t>
      </w:r>
    </w:p>
    <w:p w14:paraId="38EACCDA">
      <w:pPr>
        <w:pStyle w:val="7"/>
        <w:spacing w:line="300" w:lineRule="auto"/>
        <w:ind w:firstLine="420"/>
      </w:pPr>
      <w:r>
        <w:rPr>
          <w:b/>
        </w:rPr>
        <w:t>鉴权。</w:t>
      </w:r>
      <w:r>
        <w:t xml:space="preserve"> 登录签发 PyJWT 令牌，算法固定为 HS256，默认有效期 7 天（604800 秒），可通过环境变量 </w:t>
      </w:r>
      <w:r>
        <w:rPr>
          <w:rFonts w:ascii="Courier New" w:hAnsi="Courier New"/>
        </w:rPr>
        <w:t>JWT_EXPIRES_SECONDS</w:t>
      </w:r>
      <w:r>
        <w:t xml:space="preserve"> 在生产环境缩短。</w:t>
      </w:r>
      <w:r>
        <w:rPr>
          <w:rFonts w:ascii="Courier New" w:hAnsi="Courier New"/>
        </w:rPr>
        <w:t>backend/auth/service.py</w:t>
      </w:r>
      <w:r>
        <w:t xml:space="preserve"> 负责签发与校验，受 </w:t>
      </w:r>
      <w:r>
        <w:rPr>
          <w:rFonts w:ascii="Courier New" w:hAnsi="Courier New"/>
        </w:rPr>
        <w:t>jwt_required</w:t>
      </w:r>
      <w:r>
        <w:t xml:space="preserve"> 装饰器保护的关键路由（如持仓、订单、配置类接口）必须先验令牌。</w:t>
      </w:r>
    </w:p>
    <w:p w14:paraId="3A9CF46C">
      <w:pPr>
        <w:pStyle w:val="7"/>
        <w:spacing w:line="300" w:lineRule="auto"/>
        <w:ind w:firstLine="420"/>
      </w:pPr>
      <w:r>
        <w:rPr>
          <w:b/>
        </w:rPr>
        <w:t>抗枚举与注入。</w:t>
      </w:r>
      <w:r>
        <w:t xml:space="preserve"> </w:t>
      </w:r>
      <w:r>
        <w:rPr>
          <w:rFonts w:ascii="Courier New" w:hAnsi="Courier New"/>
        </w:rPr>
        <w:t>backend/tests/test_auth_timing_enumeration.py</w:t>
      </w:r>
      <w:r>
        <w:t xml:space="preserve"> 验证登录成功与失败的响应耗时一致，防止攻击者通过响应时间差枚举有效用户名。</w:t>
      </w:r>
      <w:r>
        <w:rPr>
          <w:rFonts w:ascii="Courier New" w:hAnsi="Courier New"/>
        </w:rPr>
        <w:t>ui_kit</w:t>
      </w:r>
      <w:r>
        <w:t xml:space="preserve"> 组件层对所有数据派生文本统一 </w:t>
      </w:r>
      <w:r>
        <w:rPr>
          <w:rFonts w:ascii="Courier New" w:hAnsi="Courier New"/>
        </w:rPr>
        <w:t>html.escape</w:t>
      </w:r>
      <w:r>
        <w:t>，从渲染侧封堵存储型 XSS。分页边界、JSON 体健壮性、请求体大小限制与速率限制均有对应测试（</w:t>
      </w:r>
      <w:r>
        <w:rPr>
          <w:rFonts w:ascii="Courier New" w:hAnsi="Courier New"/>
        </w:rPr>
        <w:t>test_pagination_bounds.py</w:t>
      </w:r>
      <w:r>
        <w:t>、</w:t>
      </w:r>
      <w:r>
        <w:rPr>
          <w:rFonts w:ascii="Courier New" w:hAnsi="Courier New"/>
        </w:rPr>
        <w:t>test_json_body_robustness.py</w:t>
      </w:r>
      <w:r>
        <w:t xml:space="preserve"> 等）覆盖，避免越界或超大负载触发异常。</w:t>
      </w:r>
    </w:p>
    <w:p w14:paraId="2F9BC97D">
      <w:pPr>
        <w:pStyle w:val="7"/>
        <w:spacing w:line="300" w:lineRule="auto"/>
        <w:ind w:firstLine="420"/>
      </w:pPr>
      <w:r>
        <w:t>这套基线使平台在"展示"之外具备可被回归验证的安全属性，也是第 6 章质量门禁的一部分。</w:t>
      </w:r>
    </w:p>
    <w:p w14:paraId="008B42A7">
      <w:pPr>
        <w:pStyle w:val="3"/>
      </w:pPr>
      <w:bookmarkStart w:id="36" w:name="_Toc3110"/>
      <w:r>
        <w:t>4.9 本章小结</w:t>
      </w:r>
      <w:bookmarkEnd w:id="36"/>
    </w:p>
    <w:p w14:paraId="55523B94">
      <w:pPr>
        <w:pStyle w:val="7"/>
        <w:spacing w:line="300" w:lineRule="auto"/>
        <w:ind w:firstLine="420"/>
      </w:pPr>
      <w:r>
        <w:t>本章从分层架构、核心功能到工程底座三个层面说明了平台的实现。分层与解耦（4.1）使 56 个无 UI 依赖的逻辑模块可独立单测；回测引擎以真实成本模型与可 pickle 的策略基类支撑可信评价与并行执行（4.4）；并发取数用共享有界池、整批超时、配置自纠与多级降级四重机制保证韧性（4.7）；安全基线以统一信封、HS256 鉴权、抗枚举与防注入构成可被测试锁死的防护面（4.8）。这些工程事实既是平台"跑得通"的证据，也为第 5 章决策闭环提供了高质量、可信、安全的输入。</w:t>
      </w:r>
    </w:p>
    <w:p w14:paraId="3F01AF81">
      <w:pPr>
        <w:pStyle w:val="2"/>
      </w:pPr>
      <w:bookmarkStart w:id="37" w:name="_Toc22803"/>
      <w:r>
        <w:t>5 创新点：决策闭环与刻度校准</w:t>
      </w:r>
      <w:bookmarkEnd w:id="37"/>
    </w:p>
    <w:p w14:paraId="3345E28C">
      <w:pPr>
        <w:pStyle w:val="7"/>
        <w:spacing w:line="300" w:lineRule="auto"/>
        <w:ind w:firstLine="420"/>
      </w:pPr>
      <w:r>
        <w:t>本章所有算法、函数与常量均引自 StockSignal 真实代码（</w:t>
      </w:r>
      <w:r>
        <w:rPr>
          <w:rFonts w:ascii="Courier New" w:hAnsi="Courier New"/>
        </w:rPr>
        <w:t>modules/decision.py</w:t>
      </w:r>
      <w:r>
        <w:t>、</w:t>
      </w:r>
      <w:r>
        <w:rPr>
          <w:rFonts w:ascii="Courier New" w:hAnsi="Courier New"/>
        </w:rPr>
        <w:t>modules/calibration.py</w:t>
      </w:r>
      <w:r>
        <w:t>、</w:t>
      </w:r>
      <w:r>
        <w:rPr>
          <w:rFonts w:ascii="Courier New" w:hAnsi="Courier New"/>
        </w:rPr>
        <w:t>modules/decision_track.py</w:t>
      </w:r>
      <w:r>
        <w:t>），答辩时可逐行对照源码。论述重心放在"为何这样设计"，代码仅作为设计意图的注脚。</w:t>
      </w:r>
    </w:p>
    <w:p w14:paraId="3A15E9BC">
      <w:pPr>
        <w:pStyle w:val="3"/>
      </w:pPr>
      <w:bookmarkStart w:id="38" w:name="_Toc276"/>
      <w:r>
        <w:t>5.1 问题提出：为何需要"可解释 + 可自纠偏"的仓位决策</w:t>
      </w:r>
      <w:bookmarkEnd w:id="38"/>
    </w:p>
    <w:p w14:paraId="0A987778">
      <w:pPr>
        <w:pStyle w:val="7"/>
        <w:spacing w:line="300" w:lineRule="auto"/>
        <w:ind w:firstLine="420"/>
      </w:pPr>
      <w:r>
        <w:t>现有面向个人投资者的投研工具，在"仓位决策"这一环节普遍存在三类缺陷，构成本章要解决的问题：</w:t>
      </w:r>
    </w:p>
    <w:p w14:paraId="3100E034">
      <w:pPr>
        <w:pStyle w:val="7"/>
        <w:spacing w:line="300" w:lineRule="auto"/>
        <w:ind w:firstLine="420"/>
      </w:pPr>
      <w:r>
        <w:t xml:space="preserve">1. </w:t>
      </w:r>
      <w:r>
        <w:rPr>
          <w:b/>
        </w:rPr>
        <w:t>只展示不决策</w:t>
      </w:r>
      <w:r>
        <w:t>：绝大多数行情/资讯平台止步于"把数据呈现出来"，是否买入、买多少完全交给用户凭感觉拍板，决策过程不可追溯。</w:t>
      </w:r>
    </w:p>
    <w:p w14:paraId="4E8F147E">
      <w:pPr>
        <w:pStyle w:val="7"/>
        <w:spacing w:line="300" w:lineRule="auto"/>
        <w:ind w:firstLine="420"/>
      </w:pPr>
      <w:r>
        <w:t xml:space="preserve">2. </w:t>
      </w:r>
      <w:r>
        <w:rPr>
          <w:b/>
        </w:rPr>
        <w:t>黑箱不可复盘</w:t>
      </w:r>
      <w:r>
        <w:t>：少数做决策的系统依赖机器学习模型直接输出仓位，模型给出一个数，却说不清"为什么是这个数"；一旦出错，无法定位是温度看错了、还是周期判断错了。</w:t>
      </w:r>
    </w:p>
    <w:p w14:paraId="2B6FC288">
      <w:pPr>
        <w:pStyle w:val="7"/>
        <w:spacing w:line="300" w:lineRule="auto"/>
        <w:ind w:firstLine="420"/>
      </w:pPr>
      <w:r>
        <w:t xml:space="preserve">3. </w:t>
      </w:r>
      <w:r>
        <w:rPr>
          <w:b/>
        </w:rPr>
        <w:t>静态刻度在动态市场中失真，且小样本下盲目自调会过拟合</w:t>
      </w:r>
      <w:r>
        <w:t>：同一套仓位规则在牛市高潮与熊市退潮下"刻度"应当不同；若让系统据少量历史样本自动改规则，等于用噪声拟合，反而把规则改坏。</w:t>
      </w:r>
    </w:p>
    <w:p w14:paraId="38F61508">
      <w:pPr>
        <w:pStyle w:val="7"/>
        <w:spacing w:line="300" w:lineRule="auto"/>
        <w:ind w:firstLine="420"/>
      </w:pPr>
      <w:r>
        <w:t>本章提出并实现一个</w:t>
      </w:r>
      <w:r>
        <w:rPr>
          <w:b/>
        </w:rPr>
        <w:t>决策闭环</w:t>
      </w:r>
      <w:r>
        <w:t>——把"温度/方向/周期/晋级率"四维输入，经显式规则推导为 5%~95% 的可解释仓位，并用</w:t>
      </w:r>
      <w:r>
        <w:rPr>
          <w:b/>
        </w:rPr>
        <w:t>刻度校准</w:t>
      </w:r>
      <w:r>
        <w:t>机制以历史回测反推、有界地修正各周期仓位刻度，形成"可解释（每个建议都能回溯到规则）、可自纠偏（刻度随回测修正）、可验证（预测 vs 实际每日对账）"三位一体的仓位推导方法。其贡献不在于单点技术的新颖，而在于把"可解释 + 可自纠偏 + 不靠小样本过拟合"三者组合并工程落地。</w:t>
      </w:r>
    </w:p>
    <w:p w14:paraId="60AAFD3C">
      <w:pPr>
        <w:pStyle w:val="3"/>
      </w:pPr>
      <w:bookmarkStart w:id="39" w:name="_Toc28583"/>
      <w:r>
        <w:t>5.2 决策闭环：从四维输入到可解释仓位</w:t>
      </w:r>
      <w:bookmarkEnd w:id="39"/>
    </w:p>
    <w:p w14:paraId="62B64CBA">
      <w:pPr>
        <w:pStyle w:val="7"/>
        <w:spacing w:line="300" w:lineRule="auto"/>
        <w:ind w:firstLine="420"/>
      </w:pPr>
      <w:r>
        <w:t>图 5-1 是本章的全景：上半部分是"推导"，把四类输入收口到唯一函数并输出带理由的仓位；下半部分是"回溯"，把每天的建议落盘、与次日实际对账，再把对账结果反馈给刻度校准，形成闭环。两条支路的区别在于——推导是同步的、每天必跑；回溯是异步的、依赖次日数据到位后才补。</w:t>
      </w:r>
    </w:p>
    <w:p w14:paraId="71E5DAAB">
      <w:pPr>
        <w:pStyle w:val="7"/>
        <w:jc w:val="center"/>
      </w:pPr>
      <w:r>
        <w:rPr>
          <w:rFonts w:ascii="Times New Roman" w:hAnsi="Times New Roman" w:eastAsia="宋体"/>
          <w:sz w:val="21"/>
        </w:rPr>
        <w:pict>
          <v:shape id="_x0000_i1029" o:spt="75" alt="fig_decision_loop" type="#_x0000_t75" style="height:367.5pt;width:462pt;" filled="f" o:preferrelative="t" stroked="f" coordsize="21600,21600">
            <v:path/>
            <v:fill on="f" focussize="0,0"/>
            <v:stroke on="f"/>
            <v:imagedata r:id="rId22" o:title=""/>
            <o:lock v:ext="edit" aspectratio="t"/>
            <w10:wrap type="none"/>
            <w10:anchorlock/>
          </v:shape>
        </w:pict>
      </w:r>
      <w:r>
        <w:rPr>
          <w:rFonts w:ascii="Times New Roman" w:hAnsi="Times New Roman" w:eastAsia="宋体"/>
          <w:sz w:val="21"/>
        </w:rPr>
        <w:t>图 5-1　决策闭环流程图</w:t>
      </w:r>
    </w:p>
    <w:p w14:paraId="597C0960">
      <w:pPr>
        <w:pStyle w:val="4"/>
      </w:pPr>
      <w:bookmarkStart w:id="40" w:name="_Toc30551"/>
      <w:r>
        <w:t>5.2.1 单一实现入口 `derive_position`</w:t>
      </w:r>
      <w:bookmarkEnd w:id="40"/>
    </w:p>
    <w:p w14:paraId="1D7C3323">
      <w:pPr>
        <w:pStyle w:val="7"/>
        <w:spacing w:line="300" w:lineRule="auto"/>
        <w:ind w:firstLine="420"/>
      </w:pPr>
      <w:r>
        <w:t>系统所有仓位建议都收口于一个函数（单一真理源，避免多套逻辑漂移）：</w:t>
      </w:r>
    </w:p>
    <w:p w14:paraId="35CDD65A">
      <w:pPr>
        <w:pStyle w:val="7"/>
      </w:pPr>
      <w:r>
        <w:rPr>
          <w:rFonts w:ascii="Courier New" w:hAnsi="Courier New" w:eastAsia="宋体"/>
          <w:sz w:val="18"/>
        </w:rPr>
        <w:t>def derive_position(temp, score=None, bias=None, cycle_name=None,</w:t>
      </w:r>
      <w:r>
        <w:rPr>
          <w:rFonts w:ascii="Courier New" w:hAnsi="Courier New" w:eastAsia="宋体"/>
          <w:sz w:val="18"/>
        </w:rPr>
        <w:br w:type="textWrapping"/>
      </w:r>
      <w:r>
        <w:rPr>
          <w:rFonts w:ascii="Courier New" w:hAnsi="Courier New" w:eastAsia="宋体"/>
          <w:sz w:val="18"/>
        </w:rPr>
        <w:t xml:space="preserve">                    overall_promo=None, event_adj=None,</w:t>
      </w:r>
      <w:r>
        <w:rPr>
          <w:rFonts w:ascii="Courier New" w:hAnsi="Courier New" w:eastAsia="宋体"/>
          <w:sz w:val="18"/>
        </w:rPr>
        <w:br w:type="textWrapping"/>
      </w:r>
      <w:r>
        <w:rPr>
          <w:rFonts w:ascii="Courier New" w:hAnsi="Courier New" w:eastAsia="宋体"/>
          <w:sz w:val="18"/>
        </w:rPr>
        <w:t xml:space="preserve">                    freshness_status=None) -&gt; dict:</w:t>
      </w:r>
    </w:p>
    <w:p w14:paraId="61A7FF9A">
      <w:pPr>
        <w:pStyle w:val="7"/>
        <w:spacing w:line="300" w:lineRule="auto"/>
        <w:ind w:firstLine="420"/>
      </w:pPr>
      <w:r>
        <w:t xml:space="preserve">推导链路（逐条留痕，前端直接展示 </w:t>
      </w:r>
      <w:r>
        <w:rPr>
          <w:rFonts w:ascii="Courier New" w:hAnsi="Courier New"/>
        </w:rPr>
        <w:t>reasons</w:t>
      </w:r>
      <w:r>
        <w:t>，让建议可解释而非黑箱）：</w:t>
      </w:r>
    </w:p>
    <w:p w14:paraId="5BC369F4"/>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C21A291">
        <w:tc>
          <w:tcPr>
            <w:tcW w:w="2310" w:type="dxa"/>
          </w:tcPr>
          <w:p w14:paraId="191374ED">
            <w:r>
              <w:rPr>
                <w:rFonts w:ascii="Times New Roman" w:hAnsi="Times New Roman" w:eastAsia="宋体"/>
                <w:sz w:val="21"/>
              </w:rPr>
              <w:t>调节项</w:t>
            </w:r>
          </w:p>
        </w:tc>
        <w:tc>
          <w:tcPr>
            <w:tcW w:w="2310" w:type="dxa"/>
          </w:tcPr>
          <w:p w14:paraId="2CA80E6F">
            <w:r>
              <w:rPr>
                <w:rFonts w:ascii="Times New Roman" w:hAnsi="Times New Roman" w:eastAsia="宋体"/>
                <w:sz w:val="21"/>
              </w:rPr>
              <w:t>取值</w:t>
            </w:r>
          </w:p>
        </w:tc>
        <w:tc>
          <w:tcPr>
            <w:tcW w:w="2310" w:type="dxa"/>
          </w:tcPr>
          <w:p w14:paraId="331E72AF">
            <w:r>
              <w:rPr>
                <w:rFonts w:ascii="Times New Roman" w:hAnsi="Times New Roman" w:eastAsia="宋体"/>
                <w:sz w:val="21"/>
              </w:rPr>
              <w:t>作用</w:t>
            </w:r>
          </w:p>
        </w:tc>
        <w:tc>
          <w:tcPr>
            <w:tcW w:w="2310" w:type="dxa"/>
          </w:tcPr>
          <w:p w14:paraId="406FE086">
            <w:r>
              <w:rPr>
                <w:rFonts w:ascii="Times New Roman" w:hAnsi="Times New Roman" w:eastAsia="宋体"/>
                <w:sz w:val="21"/>
              </w:rPr>
              <w:t>代码位置</w:t>
            </w:r>
          </w:p>
        </w:tc>
      </w:tr>
      <w:tr w14:paraId="43B28668">
        <w:tblPrEx>
          <w:tblCellMar>
            <w:top w:w="0" w:type="dxa"/>
            <w:left w:w="108" w:type="dxa"/>
            <w:bottom w:w="0" w:type="dxa"/>
            <w:right w:w="108" w:type="dxa"/>
          </w:tblCellMar>
        </w:tblPrEx>
        <w:tc>
          <w:tcPr>
            <w:tcW w:w="2310" w:type="dxa"/>
          </w:tcPr>
          <w:p w14:paraId="3519C6CC">
            <w:r>
              <w:rPr>
                <w:rFonts w:ascii="Times New Roman" w:hAnsi="Times New Roman" w:eastAsia="宋体"/>
                <w:sz w:val="21"/>
              </w:rPr>
              <w:t>基准仓位</w:t>
            </w:r>
          </w:p>
        </w:tc>
        <w:tc>
          <w:tcPr>
            <w:tcW w:w="2310" w:type="dxa"/>
          </w:tcPr>
          <w:p w14:paraId="45D5F987">
            <w:r>
              <w:rPr>
                <w:rFonts w:ascii="Times New Roman" w:hAnsi="Times New Roman" w:eastAsia="宋体"/>
                <w:sz w:val="21"/>
              </w:rPr>
              <w:t>市场温度 `temp`（0–100，越界先 clamp）</w:t>
            </w:r>
          </w:p>
        </w:tc>
        <w:tc>
          <w:tcPr>
            <w:tcW w:w="2310" w:type="dxa"/>
          </w:tcPr>
          <w:p w14:paraId="4CDE0873">
            <w:r>
              <w:rPr>
                <w:rFonts w:ascii="Times New Roman" w:hAnsi="Times New Roman" w:eastAsia="宋体"/>
                <w:sz w:val="21"/>
              </w:rPr>
              <w:t>`pct = temp`</w:t>
            </w:r>
          </w:p>
        </w:tc>
        <w:tc>
          <w:tcPr>
            <w:tcW w:w="2310" w:type="dxa"/>
          </w:tcPr>
          <w:p w14:paraId="30C7F1BE">
            <w:r>
              <w:rPr>
                <w:rFonts w:ascii="Times New Roman" w:hAnsi="Times New Roman" w:eastAsia="宋体"/>
                <w:sz w:val="21"/>
              </w:rPr>
              <w:t>decision.py L127–137</w:t>
            </w:r>
          </w:p>
        </w:tc>
      </w:tr>
      <w:tr w14:paraId="594D1BAD">
        <w:tblPrEx>
          <w:tblCellMar>
            <w:top w:w="0" w:type="dxa"/>
            <w:left w:w="108" w:type="dxa"/>
            <w:bottom w:w="0" w:type="dxa"/>
            <w:right w:w="108" w:type="dxa"/>
          </w:tblCellMar>
        </w:tblPrEx>
        <w:tc>
          <w:tcPr>
            <w:tcW w:w="2310" w:type="dxa"/>
          </w:tcPr>
          <w:p w14:paraId="63E179A5">
            <w:r>
              <w:rPr>
                <w:rFonts w:ascii="Times New Roman" w:hAnsi="Times New Roman" w:eastAsia="宋体"/>
                <w:sz w:val="21"/>
              </w:rPr>
              <w:t>方向调节</w:t>
            </w:r>
          </w:p>
        </w:tc>
        <w:tc>
          <w:tcPr>
            <w:tcW w:w="2310" w:type="dxa"/>
          </w:tcPr>
          <w:p w14:paraId="2B337A1F">
            <w:r>
              <w:rPr>
                <w:rFonts w:ascii="Times New Roman" w:hAnsi="Times New Roman" w:eastAsia="宋体"/>
                <w:sz w:val="21"/>
              </w:rPr>
              <w:t>偏多 +8 / 偏空 −8 / 中性 0</w:t>
            </w:r>
          </w:p>
        </w:tc>
        <w:tc>
          <w:tcPr>
            <w:tcW w:w="2310" w:type="dxa"/>
          </w:tcPr>
          <w:p w14:paraId="67B0CFA8">
            <w:r>
              <w:rPr>
                <w:rFonts w:ascii="Times New Roman" w:hAnsi="Times New Roman" w:eastAsia="宋体"/>
                <w:sz w:val="21"/>
              </w:rPr>
              <w:t>次日方向是短周期最强信号</w:t>
            </w:r>
          </w:p>
        </w:tc>
        <w:tc>
          <w:tcPr>
            <w:tcW w:w="2310" w:type="dxa"/>
          </w:tcPr>
          <w:p w14:paraId="6F96DB38">
            <w:r>
              <w:rPr>
                <w:rFonts w:ascii="Times New Roman" w:hAnsi="Times New Roman" w:eastAsia="宋体"/>
                <w:sz w:val="21"/>
              </w:rPr>
              <w:t>L139–147</w:t>
            </w:r>
          </w:p>
        </w:tc>
      </w:tr>
      <w:tr w14:paraId="4596F39A">
        <w:tblPrEx>
          <w:tblCellMar>
            <w:top w:w="0" w:type="dxa"/>
            <w:left w:w="108" w:type="dxa"/>
            <w:bottom w:w="0" w:type="dxa"/>
            <w:right w:w="108" w:type="dxa"/>
          </w:tblCellMar>
        </w:tblPrEx>
        <w:tc>
          <w:tcPr>
            <w:tcW w:w="2310" w:type="dxa"/>
          </w:tcPr>
          <w:p w14:paraId="53FBB3C9">
            <w:r>
              <w:rPr>
                <w:rFonts w:ascii="Times New Roman" w:hAnsi="Times New Roman" w:eastAsia="宋体"/>
                <w:sz w:val="21"/>
              </w:rPr>
              <w:t>**周期调节**</w:t>
            </w:r>
          </w:p>
        </w:tc>
        <w:tc>
          <w:tcPr>
            <w:tcW w:w="2310" w:type="dxa"/>
          </w:tcPr>
          <w:p w14:paraId="367D82F5">
            <w:r>
              <w:rPr>
                <w:rFonts w:ascii="Times New Roman" w:hAnsi="Times New Roman" w:eastAsia="宋体"/>
                <w:sz w:val="21"/>
              </w:rPr>
              <w:t>来自模块级 `CYCLE_ADJ` 字典（**即校准变量**）</w:t>
            </w:r>
          </w:p>
        </w:tc>
        <w:tc>
          <w:tcPr>
            <w:tcW w:w="2310" w:type="dxa"/>
          </w:tcPr>
          <w:p w14:paraId="36FE89AC">
            <w:r>
              <w:rPr>
                <w:rFonts w:ascii="Times New Roman" w:hAnsi="Times New Roman" w:eastAsia="宋体"/>
                <w:sz w:val="21"/>
              </w:rPr>
              <w:t>主升 +5 / 修复确认 +3 / 高潮分化 −5 / 退潮 −10 / 冰点 +5</w:t>
            </w:r>
          </w:p>
        </w:tc>
        <w:tc>
          <w:tcPr>
            <w:tcW w:w="2310" w:type="dxa"/>
          </w:tcPr>
          <w:p w14:paraId="742FE865">
            <w:r>
              <w:rPr>
                <w:rFonts w:ascii="Times New Roman" w:hAnsi="Times New Roman" w:eastAsia="宋体"/>
                <w:sz w:val="21"/>
              </w:rPr>
              <w:t>L149–157</w:t>
            </w:r>
          </w:p>
        </w:tc>
      </w:tr>
      <w:tr w14:paraId="4CD1153A">
        <w:tblPrEx>
          <w:tblCellMar>
            <w:top w:w="0" w:type="dxa"/>
            <w:left w:w="108" w:type="dxa"/>
            <w:bottom w:w="0" w:type="dxa"/>
            <w:right w:w="108" w:type="dxa"/>
          </w:tblCellMar>
        </w:tblPrEx>
        <w:tc>
          <w:tcPr>
            <w:tcW w:w="2310" w:type="dxa"/>
          </w:tcPr>
          <w:p w14:paraId="5264C384">
            <w:r>
              <w:rPr>
                <w:rFonts w:ascii="Times New Roman" w:hAnsi="Times New Roman" w:eastAsia="宋体"/>
                <w:sz w:val="21"/>
              </w:rPr>
              <w:t>梯队晋级率调节</w:t>
            </w:r>
          </w:p>
        </w:tc>
        <w:tc>
          <w:tcPr>
            <w:tcW w:w="2310" w:type="dxa"/>
          </w:tcPr>
          <w:p w14:paraId="5846735B">
            <w:r>
              <w:rPr>
                <w:rFonts w:ascii="Times New Roman" w:hAnsi="Times New Roman" w:eastAsia="宋体"/>
                <w:sz w:val="21"/>
              </w:rPr>
              <w:t>`overall_promo≥60:+5 / 40–60:0 / 20–40:−3 / &lt;20:−6`</w:t>
            </w:r>
          </w:p>
        </w:tc>
        <w:tc>
          <w:tcPr>
            <w:tcW w:w="2310" w:type="dxa"/>
          </w:tcPr>
          <w:p w14:paraId="1F1317D4">
            <w:r>
              <w:rPr>
                <w:rFonts w:ascii="Times New Roman" w:hAnsi="Times New Roman" w:eastAsia="宋体"/>
                <w:sz w:val="21"/>
              </w:rPr>
              <w:t>接力强度是赚钱效应能否延续的硬指标</w:t>
            </w:r>
          </w:p>
        </w:tc>
        <w:tc>
          <w:tcPr>
            <w:tcW w:w="2310" w:type="dxa"/>
          </w:tcPr>
          <w:p w14:paraId="4DFC54CC">
            <w:r>
              <w:rPr>
                <w:rFonts w:ascii="Times New Roman" w:hAnsi="Times New Roman" w:eastAsia="宋体"/>
                <w:sz w:val="21"/>
              </w:rPr>
              <w:t>L159–170</w:t>
            </w:r>
          </w:p>
        </w:tc>
      </w:tr>
      <w:tr w14:paraId="110EE739">
        <w:tblPrEx>
          <w:tblCellMar>
            <w:top w:w="0" w:type="dxa"/>
            <w:left w:w="108" w:type="dxa"/>
            <w:bottom w:w="0" w:type="dxa"/>
            <w:right w:w="108" w:type="dxa"/>
          </w:tblCellMar>
        </w:tblPrEx>
        <w:tc>
          <w:tcPr>
            <w:tcW w:w="2310" w:type="dxa"/>
          </w:tcPr>
          <w:p w14:paraId="5A58B6D6">
            <w:r>
              <w:rPr>
                <w:rFonts w:ascii="Times New Roman" w:hAnsi="Times New Roman" w:eastAsia="宋体"/>
                <w:sz w:val="21"/>
              </w:rPr>
              <w:t>事件催化调节</w:t>
            </w:r>
          </w:p>
        </w:tc>
        <w:tc>
          <w:tcPr>
            <w:tcW w:w="2310" w:type="dxa"/>
          </w:tcPr>
          <w:p w14:paraId="62F66F1C">
            <w:r>
              <w:rPr>
                <w:rFonts w:ascii="Times New Roman" w:hAnsi="Times New Roman" w:eastAsia="宋体"/>
                <w:sz w:val="21"/>
              </w:rPr>
              <w:t>真实事件因子 `event_adj`；取不到则为 `None`，**不臆造**</w:t>
            </w:r>
          </w:p>
        </w:tc>
        <w:tc>
          <w:tcPr>
            <w:tcW w:w="2310" w:type="dxa"/>
          </w:tcPr>
          <w:p w14:paraId="239F6011">
            <w:r>
              <w:rPr>
                <w:rFonts w:ascii="Times New Roman" w:hAnsi="Times New Roman" w:eastAsia="宋体"/>
                <w:sz w:val="21"/>
              </w:rPr>
              <w:t>事件侧微调</w:t>
            </w:r>
          </w:p>
        </w:tc>
        <w:tc>
          <w:tcPr>
            <w:tcW w:w="2310" w:type="dxa"/>
          </w:tcPr>
          <w:p w14:paraId="6ACA0EBB">
            <w:r>
              <w:rPr>
                <w:rFonts w:ascii="Times New Roman" w:hAnsi="Times New Roman" w:eastAsia="宋体"/>
                <w:sz w:val="21"/>
              </w:rPr>
              <w:t>L176–182</w:t>
            </w:r>
          </w:p>
        </w:tc>
      </w:tr>
      <w:tr w14:paraId="0ECEBE65">
        <w:tblPrEx>
          <w:tblCellMar>
            <w:top w:w="0" w:type="dxa"/>
            <w:left w:w="108" w:type="dxa"/>
            <w:bottom w:w="0" w:type="dxa"/>
            <w:right w:w="108" w:type="dxa"/>
          </w:tblCellMar>
        </w:tblPrEx>
        <w:tc>
          <w:tcPr>
            <w:tcW w:w="2310" w:type="dxa"/>
          </w:tcPr>
          <w:p w14:paraId="6C642816">
            <w:r>
              <w:rPr>
                <w:rFonts w:ascii="Times New Roman" w:hAnsi="Times New Roman" w:eastAsia="宋体"/>
                <w:sz w:val="21"/>
              </w:rPr>
              <w:t>硬约束</w:t>
            </w:r>
          </w:p>
        </w:tc>
        <w:tc>
          <w:tcPr>
            <w:tcW w:w="2310" w:type="dxa"/>
          </w:tcPr>
          <w:p w14:paraId="2C4E5358">
            <w:r>
              <w:rPr>
                <w:rFonts w:ascii="Times New Roman" w:hAnsi="Times New Roman" w:eastAsia="宋体"/>
                <w:sz w:val="21"/>
              </w:rPr>
              <w:t>`clamp(pct, 5, 95)`</w:t>
            </w:r>
          </w:p>
        </w:tc>
        <w:tc>
          <w:tcPr>
            <w:tcW w:w="2310" w:type="dxa"/>
          </w:tcPr>
          <w:p w14:paraId="0A9754D9">
            <w:r>
              <w:rPr>
                <w:rFonts w:ascii="Times New Roman" w:hAnsi="Times New Roman" w:eastAsia="宋体"/>
                <w:sz w:val="21"/>
              </w:rPr>
              <w:t>仓位永远落在 5%~95%</w:t>
            </w:r>
          </w:p>
        </w:tc>
        <w:tc>
          <w:tcPr>
            <w:tcW w:w="2310" w:type="dxa"/>
          </w:tcPr>
          <w:p w14:paraId="76A91CB0">
            <w:r>
              <w:rPr>
                <w:rFonts w:ascii="Times New Roman" w:hAnsi="Times New Roman" w:eastAsia="宋体"/>
                <w:sz w:val="21"/>
              </w:rPr>
              <w:t>L184</w:t>
            </w:r>
          </w:p>
        </w:tc>
      </w:tr>
    </w:tbl>
    <w:p w14:paraId="1AB1C427">
      <w:pPr>
        <w:pStyle w:val="7"/>
        <w:spacing w:line="300" w:lineRule="auto"/>
        <w:ind w:firstLine="420"/>
      </w:pPr>
      <w:r>
        <w:t xml:space="preserve">一个关键设计选择是：当 </w:t>
      </w:r>
      <w:r>
        <w:rPr>
          <w:rFonts w:ascii="Courier New" w:hAnsi="Courier New"/>
        </w:rPr>
        <w:t>overall_promo=None</w:t>
      </w:r>
      <w:r>
        <w:t xml:space="preserve">（数据缺失）时，该调节项整段跳过、不加不减——"缺数据"在语义上不等于"看空"。这一处理避免了"因为某天梯队数据没爬到就莫名减仓"的静默错误（参见第 6 章测试 </w:t>
      </w:r>
      <w:r>
        <w:rPr>
          <w:rFonts w:ascii="Courier New" w:hAnsi="Courier New"/>
        </w:rPr>
        <w:t>test_daily_snapshot_wiring</w:t>
      </w:r>
      <w:r>
        <w:t xml:space="preserve"> 对数据缺失路径的守卫）。</w:t>
      </w:r>
    </w:p>
    <w:p w14:paraId="193DE578">
      <w:pPr>
        <w:pStyle w:val="4"/>
      </w:pPr>
      <w:bookmarkStart w:id="41" w:name="_Toc4223"/>
      <w:r>
        <w:t>5.2.2 透明推导与可解释性（创新点的第一支柱）</w:t>
      </w:r>
      <w:bookmarkEnd w:id="41"/>
    </w:p>
    <w:p w14:paraId="5AB739F2">
      <w:pPr>
        <w:pStyle w:val="7"/>
        <w:spacing w:line="300" w:lineRule="auto"/>
        <w:ind w:firstLine="420"/>
      </w:pPr>
      <w:r>
        <w:rPr>
          <w:rFonts w:ascii="Courier New" w:hAnsi="Courier New"/>
        </w:rPr>
        <w:t>derive_position</w:t>
      </w:r>
      <w:r>
        <w:t xml:space="preserve"> 返回的不是一个裸数字，而是：</w:t>
      </w:r>
    </w:p>
    <w:p w14:paraId="03103427">
      <w:pPr>
        <w:pStyle w:val="7"/>
      </w:pPr>
      <w:r>
        <w:rPr>
          <w:rFonts w:ascii="Courier New" w:hAnsi="Courier New" w:eastAsia="宋体"/>
          <w:sz w:val="18"/>
        </w:rPr>
        <w:t>dict(pct=int, band=str, color=str, reasons=list[str])</w:t>
      </w:r>
    </w:p>
    <w:p w14:paraId="69A68896">
      <w:pPr>
        <w:pStyle w:val="7"/>
        <w:spacing w:line="300" w:lineRule="auto"/>
        <w:ind w:firstLine="420"/>
      </w:pPr>
      <w:r>
        <w:t xml:space="preserve">其中 </w:t>
      </w:r>
      <w:r>
        <w:rPr>
          <w:rFonts w:ascii="Courier New" w:hAnsi="Courier New"/>
        </w:rPr>
        <w:t>reasons</w:t>
      </w:r>
      <w:r>
        <w:t xml:space="preserve"> 是</w:t>
      </w:r>
      <w:r>
        <w:rPr>
          <w:b/>
        </w:rPr>
        <w:t>逐条自然语言推导依据</w:t>
      </w:r>
      <w:r>
        <w:t xml:space="preserve">。真实样本（来自 </w:t>
      </w:r>
      <w:r>
        <w:rPr>
          <w:rFonts w:ascii="Courier New" w:hAnsi="Courier New"/>
        </w:rPr>
        <w:t>data/daily_snapshot.json</w:t>
      </w:r>
      <w:r>
        <w:t>）：</w:t>
      </w:r>
    </w:p>
    <w:p w14:paraId="5FF69434">
      <w:pPr>
        <w:pStyle w:val="7"/>
      </w:pPr>
      <w:r>
        <w:rPr>
          <w:rFonts w:ascii="Courier New" w:hAnsi="Courier New" w:eastAsia="宋体"/>
          <w:sz w:val="18"/>
        </w:rPr>
        <w:t>市场温度 24 作为基准仓位</w:t>
      </w:r>
      <w:r>
        <w:rPr>
          <w:rFonts w:ascii="Courier New" w:hAnsi="Courier New" w:eastAsia="宋体"/>
          <w:sz w:val="18"/>
        </w:rPr>
        <w:br w:type="textWrapping"/>
      </w:r>
      <w:r>
        <w:rPr>
          <w:rFonts w:ascii="Courier New" w:hAnsi="Courier New" w:eastAsia="宋体"/>
          <w:sz w:val="18"/>
        </w:rPr>
        <w:t>次日方向「中性」加仓 0%</w:t>
      </w:r>
      <w:r>
        <w:rPr>
          <w:rFonts w:ascii="Courier New" w:hAnsi="Courier New" w:eastAsia="宋体"/>
          <w:sz w:val="18"/>
        </w:rPr>
        <w:br w:type="textWrapping"/>
      </w:r>
      <w:r>
        <w:rPr>
          <w:rFonts w:ascii="Courier New" w:hAnsi="Courier New" w:eastAsia="宋体"/>
          <w:sz w:val="18"/>
        </w:rPr>
        <w:t>梯队断档（晋级率&lt;20%）：减仓 6%</w:t>
      </w:r>
      <w:r>
        <w:rPr>
          <w:rFonts w:ascii="Courier New" w:hAnsi="Courier New" w:eastAsia="宋体"/>
          <w:sz w:val="18"/>
        </w:rPr>
        <w:br w:type="textWrapping"/>
      </w:r>
      <w:r>
        <w:rPr>
          <w:rFonts w:ascii="Courier New" w:hAnsi="Courier New" w:eastAsia="宋体"/>
          <w:sz w:val="18"/>
        </w:rPr>
        <w:t>事件驱动信号不可用，未施加催化（不臆造）</w:t>
      </w:r>
    </w:p>
    <w:p w14:paraId="439A5AF6">
      <w:pPr>
        <w:pStyle w:val="7"/>
        <w:spacing w:line="300" w:lineRule="auto"/>
        <w:ind w:firstLine="420"/>
      </w:pPr>
      <w:r>
        <w:t>任何一个仓位建议都能被用户与回测者逐条回溯：为什么是 20%？因为温度 24 打底、方向中性不加、梯队断档减了 6、当天没拿到事件信号所以不靠事件催化。这正是"可解释"的落地形态——不是事后用 SHAP 近似解释黑箱，而是规则本身就可读。</w:t>
      </w:r>
    </w:p>
    <w:p w14:paraId="2796DBBF">
      <w:pPr>
        <w:pStyle w:val="4"/>
      </w:pPr>
      <w:bookmarkStart w:id="42" w:name="_Toc29965"/>
      <w:r>
        <w:t>5.2.3 极端行情与数据新鲜度的"诚实守卫"</w:t>
      </w:r>
      <w:bookmarkEnd w:id="42"/>
    </w:p>
    <w:p w14:paraId="28A04A5C">
      <w:pPr>
        <w:pStyle w:val="7"/>
        <w:spacing w:line="300" w:lineRule="auto"/>
        <w:ind w:firstLine="420"/>
      </w:pPr>
      <w:r>
        <w:t>可解释之外，规则必须"诚实优先于好看"，否则基于过期或极端数据的激进位建议会误导用户：</w:t>
      </w:r>
    </w:p>
    <w:p w14:paraId="7B4590C4">
      <w:pPr>
        <w:pStyle w:val="7"/>
        <w:spacing w:line="300" w:lineRule="auto"/>
        <w:ind w:firstLine="420"/>
      </w:pPr>
      <w:r>
        <w:t xml:space="preserve">- </w:t>
      </w:r>
      <w:r>
        <w:rPr>
          <w:b/>
        </w:rPr>
        <w:t>极端风控硬约束</w:t>
      </w:r>
      <w:r>
        <w:t xml:space="preserve">（凌驾于常规推导之上）：温度 </w:t>
      </w:r>
      <w:r>
        <w:rPr>
          <w:rFonts w:ascii="Courier New" w:hAnsi="Courier New"/>
        </w:rPr>
        <w:t>&lt;20</w:t>
      </w:r>
      <w:r>
        <w:t xml:space="preserve"> 且处「退潮」→ 仓位封顶 30%（防流动性枯竭期重仓接飞刀）；温度 </w:t>
      </w:r>
      <w:r>
        <w:rPr>
          <w:rFonts w:ascii="Courier New" w:hAnsi="Courier New"/>
        </w:rPr>
        <w:t>≥80</w:t>
      </w:r>
      <w:r>
        <w:t xml:space="preserve"> 且处「高潮分化」→ 仓位兜底 40%（防过热分歧期踏空主升末端）。（decision.py L186–199）</w:t>
      </w:r>
    </w:p>
    <w:p w14:paraId="45F912D3">
      <w:pPr>
        <w:pStyle w:val="7"/>
        <w:spacing w:line="300" w:lineRule="auto"/>
        <w:ind w:firstLine="420"/>
      </w:pPr>
      <w:r>
        <w:t xml:space="preserve">- </w:t>
      </w:r>
      <w:r>
        <w:rPr>
          <w:b/>
        </w:rPr>
        <w:t>数据新鲜度诚实降级</w:t>
      </w:r>
      <w:r>
        <w:t xml:space="preserve">：输入源滞后 </w:t>
      </w:r>
      <w:r>
        <w:rPr>
          <w:rFonts w:ascii="Courier New" w:hAnsi="Courier New"/>
        </w:rPr>
        <w:t>≥8</w:t>
      </w:r>
      <w:r>
        <w:t xml:space="preserve"> 天判定 </w:t>
      </w:r>
      <w:r>
        <w:rPr>
          <w:rFonts w:ascii="Courier New" w:hAnsi="Courier New"/>
        </w:rPr>
        <w:t>stale</w:t>
      </w:r>
      <w:r>
        <w:t xml:space="preserve"> → 仓位封顶 40%；滞后 </w:t>
      </w:r>
      <w:r>
        <w:rPr>
          <w:rFonts w:ascii="Courier New" w:hAnsi="Courier New"/>
        </w:rPr>
        <w:t>≥4</w:t>
      </w:r>
      <w:r>
        <w:t xml:space="preserve"> 天 </w:t>
      </w:r>
      <w:r>
        <w:rPr>
          <w:rFonts w:ascii="Courier New" w:hAnsi="Courier New"/>
        </w:rPr>
        <w:t>warn</w:t>
      </w:r>
      <w:r>
        <w:t xml:space="preserve"> → 封顶 60%；</w:t>
      </w:r>
      <w:r>
        <w:rPr>
          <w:b/>
        </w:rPr>
        <w:t>仅封顶、不抬底</w:t>
      </w:r>
      <w:r>
        <w:t xml:space="preserve">。（L201–217，阈值 </w:t>
      </w:r>
      <w:r>
        <w:rPr>
          <w:rFonts w:ascii="Courier New" w:hAnsi="Courier New"/>
        </w:rPr>
        <w:t>FRESH_STALE_DAYS=8 / FRESH_WARN_DAYS=4</w:t>
      </w:r>
      <w:r>
        <w:t>）</w:t>
      </w:r>
    </w:p>
    <w:p w14:paraId="19E5B28D">
      <w:pPr>
        <w:pStyle w:val="7"/>
        <w:spacing w:line="300" w:lineRule="auto"/>
        <w:ind w:firstLine="420"/>
      </w:pPr>
      <w:r>
        <w:t>守卫不能只停留在 UI 提示层面——陈旧数据必须真正让仓位建议变保守，否则等于"附了句仅供参考却仍给激进仓位"，与诚实原则正面冲突。</w:t>
      </w:r>
    </w:p>
    <w:p w14:paraId="533D974B">
      <w:pPr>
        <w:pStyle w:val="4"/>
      </w:pPr>
      <w:bookmarkStart w:id="43" w:name="_Toc13633"/>
      <w:r>
        <w:t>5.2.4 落盘与归档：决策可回溯</w:t>
      </w:r>
      <w:bookmarkEnd w:id="43"/>
    </w:p>
    <w:p w14:paraId="44AD277D">
      <w:pPr>
        <w:pStyle w:val="7"/>
        <w:spacing w:line="300" w:lineRule="auto"/>
        <w:ind w:firstLine="420"/>
      </w:pPr>
      <w:r>
        <w:t xml:space="preserve">每日决策经 </w:t>
      </w:r>
      <w:r>
        <w:rPr>
          <w:rFonts w:ascii="Courier New" w:hAnsi="Courier New"/>
        </w:rPr>
        <w:t>build_snapshot</w:t>
      </w:r>
      <w:r>
        <w:t xml:space="preserve"> → </w:t>
      </w:r>
      <w:r>
        <w:rPr>
          <w:rFonts w:ascii="Courier New" w:hAnsi="Courier New"/>
        </w:rPr>
        <w:t>save_snapshot</w:t>
      </w:r>
      <w:r>
        <w:t xml:space="preserve"> 落盘两份：</w:t>
      </w:r>
    </w:p>
    <w:p w14:paraId="6124D1F6">
      <w:pPr>
        <w:pStyle w:val="7"/>
        <w:spacing w:line="300" w:lineRule="auto"/>
        <w:ind w:firstLine="420"/>
      </w:pPr>
      <w:r>
        <w:t xml:space="preserve">- </w:t>
      </w:r>
      <w:r>
        <w:rPr>
          <w:rFonts w:ascii="Courier New" w:hAnsi="Courier New"/>
        </w:rPr>
        <w:t>data/daily_snapshot.json</w:t>
      </w:r>
      <w:r>
        <w:t>：最新快照，首页直读；</w:t>
      </w:r>
    </w:p>
    <w:p w14:paraId="064CEDBC">
      <w:pPr>
        <w:pStyle w:val="7"/>
        <w:spacing w:line="300" w:lineRule="auto"/>
        <w:ind w:firstLine="420"/>
      </w:pPr>
      <w:r>
        <w:t xml:space="preserve">- </w:t>
      </w:r>
      <w:r>
        <w:rPr>
          <w:rFonts w:ascii="Courier New" w:hAnsi="Courier New"/>
        </w:rPr>
        <w:t>data/snapshots/YYYY-MM-DD.json</w:t>
      </w:r>
      <w:r>
        <w:t>：按数据日期归档，是</w:t>
      </w:r>
      <w:r>
        <w:rPr>
          <w:b/>
        </w:rPr>
        <w:t>复盘与回测的唯一事实源</w:t>
      </w:r>
      <w:r>
        <w:t xml:space="preserve">（注意用数据日期而非 </w:t>
      </w:r>
      <w:r>
        <w:rPr>
          <w:rFonts w:ascii="Courier New" w:hAnsi="Courier New"/>
        </w:rPr>
        <w:t>now()</w:t>
      </w:r>
      <w:r>
        <w:t>，避免盘前盘后错位）。</w:t>
      </w:r>
    </w:p>
    <w:p w14:paraId="293E7BDA">
      <w:pPr>
        <w:pStyle w:val="7"/>
        <w:spacing w:line="300" w:lineRule="auto"/>
        <w:ind w:firstLine="420"/>
      </w:pPr>
      <w:r>
        <w:t xml:space="preserve">配套 </w:t>
      </w:r>
      <w:r>
        <w:rPr>
          <w:rFonts w:ascii="Courier New" w:hAnsi="Courier New"/>
        </w:rPr>
        <w:t>load_snapshot</w:t>
      </w:r>
      <w:r>
        <w:t xml:space="preserve"> / </w:t>
      </w:r>
      <w:r>
        <w:rPr>
          <w:rFonts w:ascii="Courier New" w:hAnsi="Courier New"/>
        </w:rPr>
        <w:t>archive_path</w:t>
      </w:r>
      <w:r>
        <w:t xml:space="preserve"> / </w:t>
      </w:r>
      <w:r>
        <w:rPr>
          <w:rFonts w:ascii="Courier New" w:hAnsi="Courier New"/>
        </w:rPr>
        <w:t>list_archive_dates</w:t>
      </w:r>
      <w:r>
        <w:t xml:space="preserve"> / </w:t>
      </w:r>
      <w:r>
        <w:rPr>
          <w:rFonts w:ascii="Courier New" w:hAnsi="Courier New"/>
        </w:rPr>
        <w:t>is_stale</w:t>
      </w:r>
      <w:r>
        <w:t xml:space="preserve"> 构成完整的"写—读—判陈旧"闭环。</w:t>
      </w:r>
    </w:p>
    <w:p w14:paraId="6ECFC524">
      <w:pPr>
        <w:pStyle w:val="3"/>
      </w:pPr>
      <w:bookmarkStart w:id="44" w:name="_Toc28994"/>
      <w:r>
        <w:t>5.3 刻度校准：让决策"可自纠偏"而不"过小样本过拟合"</w:t>
      </w:r>
      <w:bookmarkEnd w:id="44"/>
    </w:p>
    <w:p w14:paraId="5FE54AC4">
      <w:pPr>
        <w:pStyle w:val="4"/>
      </w:pPr>
      <w:bookmarkStart w:id="45" w:name="_Toc13529"/>
      <w:r>
        <w:t>5.3.1 校准目标与校准变量</w:t>
      </w:r>
      <w:bookmarkEnd w:id="45"/>
    </w:p>
    <w:p w14:paraId="7BA8D653">
      <w:pPr>
        <w:pStyle w:val="7"/>
        <w:spacing w:line="300" w:lineRule="auto"/>
        <w:ind w:firstLine="420"/>
      </w:pPr>
      <w:r>
        <w:t>5.2.1 中的"周期调节"读取的是模块级字典（decision.py L79）：</w:t>
      </w:r>
    </w:p>
    <w:p w14:paraId="4C909A2E">
      <w:pPr>
        <w:pStyle w:val="7"/>
      </w:pPr>
      <w:r>
        <w:rPr>
          <w:rFonts w:ascii="Courier New" w:hAnsi="Courier New" w:eastAsia="宋体"/>
          <w:sz w:val="18"/>
        </w:rPr>
        <w:t>CYCLE_ADJ = {"主升高潮": 5, "修复确认": 3, "修复试探": 0,</w:t>
      </w:r>
      <w:r>
        <w:rPr>
          <w:rFonts w:ascii="Courier New" w:hAnsi="Courier New" w:eastAsia="宋体"/>
          <w:sz w:val="18"/>
        </w:rPr>
        <w:br w:type="textWrapping"/>
      </w:r>
      <w:r>
        <w:rPr>
          <w:rFonts w:ascii="Courier New" w:hAnsi="Courier New" w:eastAsia="宋体"/>
          <w:sz w:val="18"/>
        </w:rPr>
        <w:t xml:space="preserve">             "高潮分化": -5, "退潮": -10, "冰点": 5}</w:t>
      </w:r>
    </w:p>
    <w:p w14:paraId="3057CBED">
      <w:pPr>
        <w:pStyle w:val="7"/>
        <w:spacing w:line="300" w:lineRule="auto"/>
        <w:ind w:firstLine="420"/>
      </w:pPr>
      <w:r>
        <w:t>这是一个</w:t>
      </w:r>
      <w:r>
        <w:rPr>
          <w:b/>
        </w:rPr>
        <w:t>可校准旋钮</w:t>
      </w:r>
      <w:r>
        <w:t xml:space="preserve">：每个情绪周期对应一个固定的仓位加减点数。问题是如何确定这些点数"对不对"——这就是 </w:t>
      </w:r>
      <w:r>
        <w:rPr>
          <w:rFonts w:ascii="Courier New" w:hAnsi="Courier New"/>
        </w:rPr>
        <w:t>calibration.py</w:t>
      </w:r>
      <w:r>
        <w:t xml:space="preserve"> 要解决的：用历史回测反推，给出"该往哪个方向、调多少"的建议。</w:t>
      </w:r>
    </w:p>
    <w:p w14:paraId="1CA51E49">
      <w:pPr>
        <w:pStyle w:val="4"/>
      </w:pPr>
      <w:bookmarkStart w:id="46" w:name="_Toc31476"/>
      <w:r>
        <w:t>5.3.2 回测反推建议量（有界）</w:t>
      </w:r>
      <w:bookmarkEnd w:id="46"/>
    </w:p>
    <w:p w14:paraId="11CE7056">
      <w:pPr>
        <w:pStyle w:val="7"/>
        <w:spacing w:line="300" w:lineRule="auto"/>
        <w:ind w:firstLine="420"/>
      </w:pPr>
      <w:r>
        <w:t>校准以"预测 vs 实际"回测为输入（见 5.4），对每个战术分组计算"次日平均实际涨跌"，建议调节量：</w:t>
      </w:r>
    </w:p>
    <w:p w14:paraId="1B30098E">
      <w:pPr>
        <w:pStyle w:val="7"/>
      </w:pPr>
      <w:r>
        <w:rPr>
          <w:rFonts w:ascii="Courier New" w:hAnsi="Courier New" w:eastAsia="宋体"/>
          <w:sz w:val="18"/>
        </w:rPr>
        <w:t>GAIN = 2.0        # 次日平均涨跌 1% → 刻度调 2 点</w:t>
      </w:r>
      <w:r>
        <w:rPr>
          <w:rFonts w:ascii="Courier New" w:hAnsi="Courier New" w:eastAsia="宋体"/>
          <w:sz w:val="18"/>
        </w:rPr>
        <w:br w:type="textWrapping"/>
      </w:r>
      <w:r>
        <w:rPr>
          <w:rFonts w:ascii="Courier New" w:hAnsi="Courier New" w:eastAsia="宋体"/>
          <w:sz w:val="18"/>
        </w:rPr>
        <w:t>MAX_DELTA = 5     # 单次校准调节上限（防过拟合）</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raw = GAIN * float(avg_realized)                      # 经验增益，非拟合参数</w:t>
      </w:r>
      <w:r>
        <w:rPr>
          <w:rFonts w:ascii="Courier New" w:hAnsi="Courier New" w:eastAsia="宋体"/>
          <w:sz w:val="18"/>
        </w:rPr>
        <w:br w:type="textWrapping"/>
      </w:r>
      <w:r>
        <w:rPr>
          <w:rFonts w:ascii="Courier New" w:hAnsi="Courier New" w:eastAsia="宋体"/>
          <w:sz w:val="18"/>
        </w:rPr>
        <w:t>sug_delta = int(max(-MAX_DELTA, min(MAX_DELTA, round(raw))))</w:t>
      </w:r>
    </w:p>
    <w:p w14:paraId="0F36A940">
      <w:pPr>
        <w:pStyle w:val="7"/>
        <w:spacing w:line="300" w:lineRule="auto"/>
        <w:ind w:firstLine="420"/>
      </w:pPr>
      <w:r>
        <w:rPr>
          <w:rFonts w:ascii="Courier New" w:hAnsi="Courier New"/>
        </w:rPr>
        <w:t>GAIN = 2.0</w:t>
      </w:r>
      <w:r>
        <w:t xml:space="preserve"> 的取值理由写在源码注释里：仓位点数与涨跌幅本就不同量纲，这里取的是"方向正确时把刻度往收益方向推一点"的保守比例，而不是从样本里拟合出来的系数——拟合出的系数会随样本变化而摇摆，正是要避免的过拟合。</w:t>
      </w:r>
      <w:r>
        <w:rPr>
          <w:rFonts w:ascii="Courier New" w:hAnsi="Courier New"/>
        </w:rPr>
        <w:t>MAX_DELTA</w:t>
      </w:r>
      <w:r>
        <w:t xml:space="preserve"> 把单次建议</w:t>
      </w:r>
      <w:r>
        <w:rPr>
          <w:b/>
        </w:rPr>
        <w:t>有界在 ±5</w:t>
      </w:r>
      <w:r>
        <w:t xml:space="preserve"> 以内，使任何刻度修正都是"微调"而非"漂移"——这是防过拟合的第一道闸。</w:t>
      </w:r>
      <w:r>
        <w:rPr>
          <w:rFonts w:ascii="Courier New" w:hAnsi="Courier New"/>
        </w:rPr>
        <w:t>suggestions()</w:t>
      </w:r>
      <w:r>
        <w:t xml:space="preserve"> 进一步给出结构化建议（</w:t>
      </w:r>
      <w:r>
        <w:rPr>
          <w:rFonts w:ascii="Courier New" w:hAnsi="Courier New"/>
        </w:rPr>
        <w:t>actionable</w:t>
      </w:r>
      <w:r>
        <w:t xml:space="preserve"> 是否值得采纳、</w:t>
      </w:r>
      <w:r>
        <w:rPr>
          <w:rFonts w:ascii="Courier New" w:hAnsi="Courier New"/>
        </w:rPr>
        <w:t>confidence = min(n_call/strong, 1)</w:t>
      </w:r>
      <w:r>
        <w:t>、</w:t>
      </w:r>
      <w:r>
        <w:rPr>
          <w:rFonts w:ascii="Courier New" w:hAnsi="Courier New"/>
        </w:rPr>
        <w:t>verdict</w:t>
      </w:r>
      <w:r>
        <w:t xml:space="preserve"> 人话结论），例如样本不足时直接返回"样本仅 N 条（需 ≥strong），暂不构成调参依据"，而非硬凑一个数字。</w:t>
      </w:r>
    </w:p>
    <w:p w14:paraId="31090280">
      <w:pPr>
        <w:pStyle w:val="4"/>
      </w:pPr>
      <w:bookmarkStart w:id="47" w:name="_Toc20206"/>
      <w:r>
        <w:t>5.3.3 三条铁律（方法论核心）</w:t>
      </w:r>
      <w:bookmarkEnd w:id="47"/>
    </w:p>
    <w:p w14:paraId="21A343D2">
      <w:pPr>
        <w:pStyle w:val="7"/>
        <w:spacing w:line="300" w:lineRule="auto"/>
        <w:ind w:firstLine="420"/>
      </w:pPr>
      <w:r>
        <w:t xml:space="preserve">1. </w:t>
      </w:r>
      <w:r>
        <w:rPr>
          <w:b/>
        </w:rPr>
        <w:t>T1 只出建议、绝不自动改规则</w:t>
      </w:r>
      <w:r>
        <w:t>：</w:t>
      </w:r>
      <w:r>
        <w:rPr>
          <w:rFonts w:ascii="Courier New" w:hAnsi="Courier New"/>
        </w:rPr>
        <w:t>as_patch()</w:t>
      </w:r>
      <w:r>
        <w:t xml:space="preserve"> 只生成可直接抄进 </w:t>
      </w:r>
      <w:r>
        <w:rPr>
          <w:rFonts w:ascii="Courier New" w:hAnsi="Courier New"/>
        </w:rPr>
        <w:t>decision.py</w:t>
      </w:r>
      <w:r>
        <w:t xml:space="preserve"> 的 </w:t>
      </w:r>
      <w:r>
        <w:rPr>
          <w:rFonts w:ascii="Courier New" w:hAnsi="Courier New"/>
        </w:rPr>
        <w:t>CYCLE_ADJ</w:t>
      </w:r>
      <w:r>
        <w:t xml:space="preserve"> 补丁字典，</w:t>
      </w:r>
      <w:r>
        <w:rPr>
          <w:b/>
        </w:rPr>
        <w:t>永不写文件</w:t>
      </w:r>
      <w:r>
        <w:t xml:space="preserve">；且只含 </w:t>
      </w:r>
      <w:r>
        <w:rPr>
          <w:rFonts w:ascii="Courier New" w:hAnsi="Courier New"/>
        </w:rPr>
        <w:t>actionable</w:t>
      </w:r>
      <w:r>
        <w:t xml:space="preserve"> 的分组，非 actionable 的阶段不出现在返回值里（保持原值不动）。早期小样本下盲目把规则改坏，正是要规避的过拟合。</w:t>
      </w:r>
    </w:p>
    <w:p w14:paraId="7F4B24AF">
      <w:pPr>
        <w:pStyle w:val="7"/>
        <w:spacing w:line="300" w:lineRule="auto"/>
        <w:ind w:firstLine="420"/>
      </w:pPr>
      <w:r>
        <w:t xml:space="preserve">2. </w:t>
      </w:r>
      <w:r>
        <w:rPr>
          <w:b/>
        </w:rPr>
        <w:t>T2 有界 ±5（且落地再收窄）</w:t>
      </w:r>
      <w:r>
        <w:t xml:space="preserve">：建议量本身受 </w:t>
      </w:r>
      <w:r>
        <w:rPr>
          <w:rFonts w:ascii="Courier New" w:hAnsi="Courier New"/>
        </w:rPr>
        <w:t>±MAX_DELTA</w:t>
      </w:r>
      <w:r>
        <w:t xml:space="preserve"> 约束；即便走到程序化落地，</w:t>
      </w:r>
      <w:r>
        <w:rPr>
          <w:rFonts w:ascii="Courier New" w:hAnsi="Courier New"/>
        </w:rPr>
        <w:t>apply_patch</w:t>
      </w:r>
      <w:r>
        <w:t xml:space="preserve"> 也把改动 </w:t>
      </w:r>
      <w:r>
        <w:rPr>
          <w:rFonts w:ascii="Courier New" w:hAnsi="Courier New"/>
        </w:rPr>
        <w:t>clamp</w:t>
      </w:r>
      <w:r>
        <w:t xml:space="preserve"> 到 </w:t>
      </w:r>
      <w:r>
        <w:rPr>
          <w:rFonts w:ascii="Courier New" w:hAnsi="Courier New"/>
        </w:rPr>
        <w:t>[-15, +15]</w:t>
      </w:r>
      <w:r>
        <w:t>，防离谱。</w:t>
      </w:r>
    </w:p>
    <w:p w14:paraId="5081DD26">
      <w:pPr>
        <w:pStyle w:val="7"/>
        <w:spacing w:line="300" w:lineRule="auto"/>
        <w:ind w:firstLine="420"/>
      </w:pPr>
      <w:r>
        <w:t xml:space="preserve">3. </w:t>
      </w:r>
      <w:r>
        <w:rPr>
          <w:b/>
        </w:rPr>
        <w:t>T3 小样本不表态</w:t>
      </w:r>
      <w:r>
        <w:t>：</w:t>
      </w:r>
      <w:r>
        <w:rPr>
          <w:rFonts w:ascii="Courier New" w:hAnsi="Courier New"/>
        </w:rPr>
        <w:t>actionable = (n_call ≥ strong_samples) 且 (|delta| ≥ NOISE_DELTA)</w:t>
      </w:r>
      <w:r>
        <w:t>——样本不够、或调节量未超过噪音阈值时，系统</w:t>
      </w:r>
      <w:r>
        <w:rPr>
          <w:b/>
        </w:rPr>
        <w:t>如实沉默</w:t>
      </w:r>
      <w:r>
        <w:t>，绝不输出假阳性"建议调参"。</w:t>
      </w:r>
    </w:p>
    <w:p w14:paraId="5FD1701A">
      <w:pPr>
        <w:pStyle w:val="4"/>
      </w:pPr>
      <w:bookmarkStart w:id="48" w:name="_Toc5453"/>
      <w:r>
        <w:t>5.3.4 闭环落地的护栏（必要时才接通，人仍在回路）</w:t>
      </w:r>
      <w:bookmarkEnd w:id="48"/>
    </w:p>
    <w:p w14:paraId="120C4CE9">
      <w:pPr>
        <w:pStyle w:val="7"/>
        <w:spacing w:line="300" w:lineRule="auto"/>
        <w:ind w:firstLine="420"/>
      </w:pPr>
      <w:r>
        <w:t xml:space="preserve">为消除"只展示不闭环"导致补丁永远靠人肉 copy、易与测试期望值漂移，系统提供 </w:t>
      </w:r>
      <w:r>
        <w:rPr>
          <w:rFonts w:ascii="Courier New" w:hAnsi="Courier New"/>
        </w:rPr>
        <w:t>apply_patch(dry_run=True, max_abs=15)</w:t>
      </w:r>
      <w:r>
        <w:t>：</w:t>
      </w:r>
    </w:p>
    <w:p w14:paraId="716E7858">
      <w:pPr>
        <w:pStyle w:val="7"/>
        <w:spacing w:line="300" w:lineRule="auto"/>
        <w:ind w:firstLine="420"/>
      </w:pPr>
      <w:r>
        <w:t xml:space="preserve">- 必须 </w:t>
      </w:r>
      <w:r>
        <w:rPr>
          <w:rFonts w:ascii="Courier New" w:hAnsi="Courier New"/>
        </w:rPr>
        <w:t>verdict.ready</w:t>
      </w:r>
      <w:r>
        <w:t xml:space="preserve"> 才允许写，否则拒绝；</w:t>
      </w:r>
    </w:p>
    <w:p w14:paraId="1C557752">
      <w:pPr>
        <w:pStyle w:val="7"/>
        <w:spacing w:line="300" w:lineRule="auto"/>
        <w:ind w:firstLine="420"/>
      </w:pPr>
      <w:r>
        <w:t xml:space="preserve">- </w:t>
      </w:r>
      <w:r>
        <w:rPr>
          <w:b/>
        </w:rPr>
        <w:t>`dry_run=True`（默认）只回显将要改什么，绝不写文件</w:t>
      </w:r>
      <w:r>
        <w:t xml:space="preserve">；真正落地需显式 </w:t>
      </w:r>
      <w:r>
        <w:rPr>
          <w:rFonts w:ascii="Courier New" w:hAnsi="Courier New"/>
        </w:rPr>
        <w:t>dry_run=False</w:t>
      </w:r>
      <w:r>
        <w:t>；</w:t>
      </w:r>
    </w:p>
    <w:p w14:paraId="35D3CCDE">
      <w:pPr>
        <w:pStyle w:val="7"/>
        <w:spacing w:line="300" w:lineRule="auto"/>
        <w:ind w:firstLine="420"/>
      </w:pPr>
      <w:r>
        <w:t xml:space="preserve">- 写前备份 </w:t>
      </w:r>
      <w:r>
        <w:rPr>
          <w:rFonts w:ascii="Courier New" w:hAnsi="Courier New"/>
        </w:rPr>
        <w:t>decision.py.bak</w:t>
      </w:r>
      <w:r>
        <w:t xml:space="preserve">，写后追加审计日志 </w:t>
      </w:r>
      <w:r>
        <w:rPr>
          <w:rFonts w:ascii="Courier New" w:hAnsi="Courier New"/>
        </w:rPr>
        <w:t>calibration_apply.log</w:t>
      </w:r>
      <w:r>
        <w:t>；</w:t>
      </w:r>
    </w:p>
    <w:p w14:paraId="5CE88254">
      <w:pPr>
        <w:pStyle w:val="7"/>
        <w:spacing w:line="300" w:lineRule="auto"/>
        <w:ind w:firstLine="420"/>
      </w:pPr>
      <w:r>
        <w:t>- 若打分证据陈旧（</w:t>
      </w:r>
      <w:r>
        <w:rPr>
          <w:rFonts w:ascii="Courier New" w:hAnsi="Courier New"/>
        </w:rPr>
        <w:t>last_scored</w:t>
      </w:r>
      <w:r>
        <w:t xml:space="preserve"> 过期），</w:t>
      </w:r>
      <w:r>
        <w:rPr>
          <w:b/>
        </w:rPr>
        <w:t>拒绝落地</w:t>
      </w:r>
      <w:r>
        <w:t>——"banner 说别采纳、命令却照写"会自相矛盾，陈旧刻度不许悄悄污染决策闭环。</w:t>
      </w:r>
    </w:p>
    <w:p w14:paraId="594909B0">
      <w:pPr>
        <w:pStyle w:val="7"/>
        <w:spacing w:line="300" w:lineRule="auto"/>
        <w:ind w:firstLine="420"/>
      </w:pPr>
      <w:r>
        <w:t>自动化是"带护栏的、需人确认的最后一步"，而非无人值守的自调参。</w:t>
      </w:r>
    </w:p>
    <w:p w14:paraId="290B65F0">
      <w:pPr>
        <w:pStyle w:val="4"/>
      </w:pPr>
      <w:bookmarkStart w:id="49" w:name="_Toc7096"/>
      <w:r>
        <w:t>5.3.5 就绪语义：`any_actionable` 而非全局阈值（易被忽略的设计细节）</w:t>
      </w:r>
      <w:bookmarkEnd w:id="49"/>
    </w:p>
    <w:p w14:paraId="4385E934">
      <w:pPr>
        <w:pStyle w:val="7"/>
        <w:spacing w:line="300" w:lineRule="auto"/>
        <w:ind w:firstLine="420"/>
      </w:pPr>
      <w:r>
        <w:rPr>
          <w:rFonts w:ascii="Courier New" w:hAnsi="Courier New"/>
        </w:rPr>
        <w:t>verdict()</w:t>
      </w:r>
      <w:r>
        <w:t xml:space="preserve"> 的 </w:t>
      </w:r>
      <w:r>
        <w:rPr>
          <w:rFonts w:ascii="Courier New" w:hAnsi="Courier New"/>
        </w:rPr>
        <w:t>ready</w:t>
      </w:r>
      <w:r>
        <w:t xml:space="preserve"> 含义是：</w:t>
      </w:r>
      <w:r>
        <w:rPr>
          <w:b/>
        </w:rPr>
        <w:t>至少有一个战术分组达到可采纳阈值</w:t>
      </w:r>
      <w:r>
        <w:t>（</w:t>
      </w:r>
      <w:r>
        <w:rPr>
          <w:rFonts w:ascii="Courier New" w:hAnsi="Courier New"/>
        </w:rPr>
        <w:t>any_actionable</w:t>
      </w:r>
      <w:r>
        <w:t>），</w:t>
      </w:r>
      <w:r>
        <w:rPr>
          <w:b/>
        </w:rPr>
        <w:t>不是</w:t>
      </w:r>
      <w:r>
        <w:t xml:space="preserve">"全局样本数 ≥ strong_samples"。原因：真实样本会平摊到 4 个战术分组（进攻/分化/修复/防守），全局到 20 时往往没有任何单组到 20，此时 </w:t>
      </w:r>
      <w:r>
        <w:rPr>
          <w:rFonts w:ascii="Courier New" w:hAnsi="Courier New"/>
        </w:rPr>
        <w:t>as_patch()</w:t>
      </w:r>
      <w:r>
        <w:t xml:space="preserve"> 本就返回空；若 </w:t>
      </w:r>
      <w:r>
        <w:rPr>
          <w:rFonts w:ascii="Courier New" w:hAnsi="Courier New"/>
        </w:rPr>
        <w:t>verdict</w:t>
      </w:r>
      <w:r>
        <w:t xml:space="preserve"> 仍报"可校准"，会与页面下方"各分组表态样本均不足"自相矛盾。因此 </w:t>
      </w:r>
      <w:r>
        <w:rPr>
          <w:rFonts w:ascii="Courier New" w:hAnsi="Courier New"/>
        </w:rPr>
        <w:t>ready</w:t>
      </w:r>
      <w:r>
        <w:t xml:space="preserve"> 必须与 </w:t>
      </w:r>
      <w:r>
        <w:rPr>
          <w:rFonts w:ascii="Courier New" w:hAnsi="Courier New"/>
        </w:rPr>
        <w:t>as_patch</w:t>
      </w:r>
      <w:r>
        <w:t xml:space="preserve"> 的实际产出对齐（单测 </w:t>
      </w:r>
      <w:r>
        <w:rPr>
          <w:rFonts w:ascii="Courier New" w:hAnsi="Courier New"/>
        </w:rPr>
        <w:t>test_verdict_spread_not_ready</w:t>
      </w:r>
      <w:r>
        <w:t xml:space="preserve"> 锁死此语义）。</w:t>
      </w:r>
    </w:p>
    <w:p w14:paraId="6B962A18">
      <w:pPr>
        <w:pStyle w:val="7"/>
        <w:spacing w:line="300" w:lineRule="auto"/>
        <w:ind w:firstLine="420"/>
      </w:pPr>
      <w:r>
        <w:t xml:space="preserve">图 5-2 把 5.3 的机制串成一条带闸门的链路。注意两处"拒绝"分支：样本不足时 </w:t>
      </w:r>
      <w:r>
        <w:rPr>
          <w:rFonts w:ascii="Courier New" w:hAnsi="Courier New"/>
        </w:rPr>
        <w:t>suggestions()</w:t>
      </w:r>
      <w:r>
        <w:t xml:space="preserve"> 直接不给建议（T3），证据陈旧时 </w:t>
      </w:r>
      <w:r>
        <w:rPr>
          <w:rFonts w:ascii="Courier New" w:hAnsi="Courier New"/>
        </w:rPr>
        <w:t>apply_patch()</w:t>
      </w:r>
      <w:r>
        <w:t xml:space="preserve"> 拒绝落地——它们不是异常路径，而是设计的正常行为，目的都是让"不表态"成为可能，而不是被迫输出一个听起来专业却站不住的数字。</w:t>
      </w:r>
    </w:p>
    <w:p w14:paraId="075B0859">
      <w:pPr>
        <w:pStyle w:val="7"/>
        <w:jc w:val="center"/>
      </w:pPr>
      <w:r>
        <w:rPr>
          <w:rFonts w:ascii="Times New Roman" w:hAnsi="Times New Roman" w:eastAsia="宋体"/>
          <w:sz w:val="21"/>
        </w:rPr>
        <w:pict>
          <v:shape id="_x0000_i1030" o:spt="75" alt="fig_calibration" type="#_x0000_t75" style="height:299.25pt;width:462pt;" filled="f" o:preferrelative="t" stroked="f" coordsize="21600,21600">
            <v:path/>
            <v:fill on="f" focussize="0,0"/>
            <v:stroke on="f"/>
            <v:imagedata r:id="rId23" o:title=""/>
            <o:lock v:ext="edit" aspectratio="t"/>
            <w10:wrap type="none"/>
            <w10:anchorlock/>
          </v:shape>
        </w:pict>
      </w:r>
      <w:r>
        <w:rPr>
          <w:rFonts w:ascii="Times New Roman" w:hAnsi="Times New Roman" w:eastAsia="宋体"/>
          <w:sz w:val="21"/>
        </w:rPr>
        <w:t>图 5-2　刻度校准机制框图</w:t>
      </w:r>
    </w:p>
    <w:p w14:paraId="442D3B1B">
      <w:pPr>
        <w:pStyle w:val="3"/>
      </w:pPr>
      <w:bookmarkStart w:id="50" w:name="_Toc23184"/>
      <w:r>
        <w:t>5.4 预测 vs 实际回测：闭环可验证性</w:t>
      </w:r>
      <w:bookmarkEnd w:id="50"/>
    </w:p>
    <w:p w14:paraId="14457C22">
      <w:pPr>
        <w:pStyle w:val="7"/>
        <w:spacing w:line="300" w:lineRule="auto"/>
        <w:ind w:firstLine="420"/>
      </w:pPr>
      <w:r>
        <w:t xml:space="preserve">&gt; </w:t>
      </w:r>
      <w:r>
        <w:rPr>
          <w:b/>
        </w:rPr>
        <w:t>【待补截图 1】</w:t>
      </w:r>
      <w:r>
        <w:t xml:space="preserve"> 首页 / 决策面板（54_今日决策面板）：含每日仓位建议卡片（带逐条 reasons）、温度/周期、预测 vs 实际模块，以及「⚖️ 仓位刻度校准」横幅与各周期命中率表（对应图 5-1 / 图 5-2）。</w:t>
      </w:r>
    </w:p>
    <w:p w14:paraId="45A98CDA">
      <w:pPr>
        <w:pStyle w:val="7"/>
        <w:spacing w:line="300" w:lineRule="auto"/>
        <w:ind w:firstLine="420"/>
      </w:pPr>
      <w:r>
        <w:t>校准的输入来自"预测 vs 实际"对账（</w:t>
      </w:r>
      <w:r>
        <w:rPr>
          <w:rFonts w:ascii="Courier New" w:hAnsi="Courier New"/>
        </w:rPr>
        <w:t>decision_track.py</w:t>
      </w:r>
      <w:r>
        <w:t>）：</w:t>
      </w:r>
    </w:p>
    <w:p w14:paraId="572A70B4">
      <w:pPr>
        <w:pStyle w:val="7"/>
        <w:spacing w:line="300" w:lineRule="auto"/>
        <w:ind w:firstLine="420"/>
      </w:pPr>
      <w:r>
        <w:t xml:space="preserve">- </w:t>
      </w:r>
      <w:r>
        <w:rPr>
          <w:rFonts w:ascii="Courier New" w:hAnsi="Courier New"/>
        </w:rPr>
        <w:t>record_prediction(date, temp, cycle, bias, pct, ...)</w:t>
      </w:r>
      <w:r>
        <w:t>：每日决策落盘后自动记一条预测；</w:t>
      </w:r>
    </w:p>
    <w:p w14:paraId="62164C03">
      <w:pPr>
        <w:pStyle w:val="7"/>
        <w:spacing w:line="300" w:lineRule="auto"/>
        <w:ind w:firstLine="420"/>
      </w:pPr>
      <w:r>
        <w:t xml:space="preserve">- </w:t>
      </w:r>
      <w:r>
        <w:rPr>
          <w:rFonts w:ascii="Courier New" w:hAnsi="Courier New"/>
        </w:rPr>
        <w:t>score_predictions()</w:t>
      </w:r>
      <w:r>
        <w:t>：联网拉次日上证指数（000001）涨跌，判方向命中；</w:t>
      </w:r>
    </w:p>
    <w:p w14:paraId="753ECBDE">
      <w:pPr>
        <w:pStyle w:val="7"/>
        <w:spacing w:line="300" w:lineRule="auto"/>
        <w:ind w:firstLine="420"/>
      </w:pPr>
      <w:r>
        <w:t xml:space="preserve">- </w:t>
      </w:r>
      <w:r>
        <w:rPr>
          <w:rFonts w:ascii="Courier New" w:hAnsi="Courier New"/>
        </w:rPr>
        <w:t>summary()</w:t>
      </w:r>
      <w:r>
        <w:t xml:space="preserve"> / </w:t>
      </w:r>
      <w:r>
        <w:rPr>
          <w:rFonts w:ascii="Courier New" w:hAnsi="Courier New"/>
        </w:rPr>
        <w:t>chart_data()</w:t>
      </w:r>
      <w:r>
        <w:t>：纯本地、断网优雅降级；</w:t>
      </w:r>
    </w:p>
    <w:p w14:paraId="0C323BAE">
      <w:pPr>
        <w:pStyle w:val="7"/>
        <w:spacing w:line="300" w:lineRule="auto"/>
        <w:ind w:firstLine="420"/>
      </w:pPr>
      <w:r>
        <w:t xml:space="preserve">- </w:t>
      </w:r>
      <w:r>
        <w:rPr>
          <w:rFonts w:ascii="Courier New" w:hAnsi="Courier New"/>
        </w:rPr>
        <w:t>by_cycle()</w:t>
      </w:r>
      <w:r>
        <w:t xml:space="preserve"> / </w:t>
      </w:r>
      <w:r>
        <w:rPr>
          <w:rFonts w:ascii="Courier New" w:hAnsi="Courier New"/>
        </w:rPr>
        <w:t>by_group()</w:t>
      </w:r>
      <w:r>
        <w:t>：六阶段归并为四大战术分组，输出"平均建议仓位 vs 次日平均实际"，并带可信度；</w:t>
      </w:r>
      <w:r>
        <w:rPr>
          <w:rFonts w:ascii="Courier New" w:hAnsi="Courier New"/>
        </w:rPr>
        <w:t>by_event()</w:t>
      </w:r>
      <w:r>
        <w:t xml:space="preserve"> 单独拆"事件驱动到底有没有用"；</w:t>
      </w:r>
    </w:p>
    <w:p w14:paraId="5C952DF2">
      <w:pPr>
        <w:pStyle w:val="7"/>
        <w:spacing w:line="300" w:lineRule="auto"/>
        <w:ind w:firstLine="420"/>
      </w:pPr>
      <w:r>
        <w:t>- 命中率配色</w:t>
      </w:r>
      <w:r>
        <w:rPr>
          <w:b/>
        </w:rPr>
        <w:t>不套红涨绿跌</w:t>
      </w:r>
      <w:r>
        <w:t>（≥60 绿=可信 / &lt;40 红=不可信 / 中间黄），语义是"可信度"而非"涨跌"。</w:t>
      </w:r>
    </w:p>
    <w:p w14:paraId="3FEEF81D">
      <w:pPr>
        <w:pStyle w:val="7"/>
        <w:spacing w:line="300" w:lineRule="auto"/>
        <w:ind w:firstLine="420"/>
      </w:pPr>
      <w:r>
        <w:t>该模块使整个决策闭环具备</w:t>
      </w:r>
      <w:r>
        <w:rPr>
          <w:b/>
        </w:rPr>
        <w:t>可验证性</w:t>
      </w:r>
      <w:r>
        <w:t>：建议不是说完就完，而是每日与实际对账，校准才有据可依。</w:t>
      </w:r>
    </w:p>
    <w:p w14:paraId="196EA2FC">
      <w:pPr>
        <w:pStyle w:val="3"/>
      </w:pPr>
      <w:bookmarkStart w:id="51" w:name="_Toc19376"/>
      <w:r>
        <w:t>5.5 本章小结</w:t>
      </w:r>
      <w:bookmarkEnd w:id="51"/>
    </w:p>
    <w:p w14:paraId="379517C7">
      <w:pPr>
        <w:pStyle w:val="7"/>
        <w:spacing w:line="300" w:lineRule="auto"/>
        <w:ind w:firstLine="420"/>
      </w:pPr>
      <w:r>
        <w:t>本章给出"决策闭环 + 刻度校准"的完整设计：</w:t>
      </w:r>
    </w:p>
    <w:p w14:paraId="18C16501">
      <w:pPr>
        <w:pStyle w:val="7"/>
        <w:spacing w:line="300" w:lineRule="auto"/>
        <w:ind w:firstLine="420"/>
      </w:pPr>
      <w:r>
        <w:t xml:space="preserve">- 决策闭环以单一函数 </w:t>
      </w:r>
      <w:r>
        <w:rPr>
          <w:rFonts w:ascii="Courier New" w:hAnsi="Courier New"/>
        </w:rPr>
        <w:t>derive_position</w:t>
      </w:r>
      <w:r>
        <w:t xml:space="preserve"> 收口，四维输入经显式规则推导出 5%~95% 仓位，并输出逐条 </w:t>
      </w:r>
      <w:r>
        <w:rPr>
          <w:rFonts w:ascii="Courier New" w:hAnsi="Courier New"/>
        </w:rPr>
        <w:t>reasons</w:t>
      </w:r>
      <w:r>
        <w:t xml:space="preserve"> 实现</w:t>
      </w:r>
      <w:r>
        <w:rPr>
          <w:b/>
        </w:rPr>
        <w:t>可解释</w:t>
      </w:r>
      <w:r>
        <w:t>；极端行情与数据陈旧守卫保证建议</w:t>
      </w:r>
      <w:r>
        <w:rPr>
          <w:b/>
        </w:rPr>
        <w:t>诚实</w:t>
      </w:r>
      <w:r>
        <w:t>；落盘归档保证</w:t>
      </w:r>
      <w:r>
        <w:rPr>
          <w:b/>
        </w:rPr>
        <w:t>可回溯</w:t>
      </w:r>
      <w:r>
        <w:t>。</w:t>
      </w:r>
    </w:p>
    <w:p w14:paraId="229ACD62">
      <w:pPr>
        <w:pStyle w:val="7"/>
        <w:spacing w:line="300" w:lineRule="auto"/>
        <w:ind w:firstLine="420"/>
      </w:pPr>
      <w:r>
        <w:t xml:space="preserve">- 刻度校准以模块级 </w:t>
      </w:r>
      <w:r>
        <w:rPr>
          <w:rFonts w:ascii="Courier New" w:hAnsi="Courier New"/>
        </w:rPr>
        <w:t>CYCLE_ADJ</w:t>
      </w:r>
      <w:r>
        <w:t xml:space="preserve"> 为校准变量，用回测反推有界建议量，并以</w:t>
      </w:r>
      <w:r>
        <w:rPr>
          <w:b/>
        </w:rPr>
        <w:t>三条铁律</w:t>
      </w:r>
      <w:r>
        <w:t>（只建议不写 / 有界 ±5 / 小样本不表态）+ 带护栏的落地机制，实现</w:t>
      </w:r>
      <w:r>
        <w:rPr>
          <w:b/>
        </w:rPr>
        <w:t>可自纠偏而不靠小样本过拟合</w:t>
      </w:r>
      <w:r>
        <w:t>。</w:t>
      </w:r>
    </w:p>
    <w:p w14:paraId="1B9A41AC">
      <w:pPr>
        <w:pStyle w:val="7"/>
        <w:spacing w:line="300" w:lineRule="auto"/>
        <w:ind w:firstLine="420"/>
      </w:pPr>
      <w:r>
        <w:t>- 预测 vs 实际回测为校准提供真实输入，使闭环</w:t>
      </w:r>
      <w:r>
        <w:rPr>
          <w:b/>
        </w:rPr>
        <w:t>可验证</w:t>
      </w:r>
      <w:r>
        <w:t>。</w:t>
      </w:r>
    </w:p>
    <w:p w14:paraId="50F4B2F4">
      <w:pPr>
        <w:pStyle w:val="7"/>
        <w:spacing w:line="300" w:lineRule="auto"/>
        <w:ind w:firstLine="420"/>
      </w:pPr>
      <w:r>
        <w:t>三者共同构成"可解释、可自纠偏、可验证"的仓位推导方法——这是本系统相对"只展示型平台"与"黑箱决策型系统"的核心差异。</w:t>
      </w:r>
    </w:p>
    <w:p w14:paraId="38FA0D18">
      <w:pPr>
        <w:pStyle w:val="2"/>
      </w:pPr>
      <w:bookmarkStart w:id="52" w:name="_Toc17290"/>
      <w:r>
        <w:t>6 系统测试与评估</w:t>
      </w:r>
      <w:bookmarkEnd w:id="52"/>
    </w:p>
    <w:p w14:paraId="1FFE50FC">
      <w:pPr>
        <w:pStyle w:val="7"/>
        <w:spacing w:line="300" w:lineRule="auto"/>
        <w:ind w:firstLine="420"/>
      </w:pPr>
      <w:r>
        <w:t>本章所有数字均来自对 StockSignal 真实运行数据与真实测试输出的统计，不编造。运行评估脚本（需 envs/default venv 的 python，因其装有 kaleido）：</w:t>
      </w:r>
    </w:p>
    <w:p w14:paraId="4AD3DB20">
      <w:pPr>
        <w:pStyle w:val="7"/>
        <w:spacing w:line="300" w:lineRule="auto"/>
        <w:ind w:firstLine="420"/>
      </w:pPr>
      <w:r>
        <w:rPr>
          <w:rFonts w:ascii="Courier New" w:hAnsi="Courier New"/>
        </w:rPr>
        <w:t>C:/Users/Administrator/.workbuddy/binaries/python/envs/default/Scripts/python.exe thesis/eval_ch6.py</w:t>
      </w:r>
    </w:p>
    <w:p w14:paraId="49264B24">
      <w:pPr>
        <w:pStyle w:val="7"/>
        <w:spacing w:line="300" w:lineRule="auto"/>
        <w:ind w:firstLine="420"/>
      </w:pPr>
      <w:r>
        <w:t xml:space="preserve">产出见 </w:t>
      </w:r>
      <w:r>
        <w:rPr>
          <w:rFonts w:ascii="Courier New" w:hAnsi="Courier New"/>
        </w:rPr>
        <w:t>thesis/素材/ch6_eval/</w:t>
      </w:r>
      <w:r>
        <w:t>：</w:t>
      </w:r>
      <w:r>
        <w:rPr>
          <w:rFonts w:ascii="Courier New" w:hAnsi="Courier New"/>
        </w:rPr>
        <w:t>metrics.json</w:t>
      </w:r>
      <w:r>
        <w:t>、</w:t>
      </w:r>
      <w:r>
        <w:rPr>
          <w:rFonts w:ascii="Courier New" w:hAnsi="Courier New"/>
        </w:rPr>
        <w:t>history.json</w:t>
      </w:r>
      <w:r>
        <w:t>、</w:t>
      </w:r>
      <w:r>
        <w:rPr>
          <w:rFonts w:ascii="Courier New" w:hAnsi="Courier New"/>
        </w:rPr>
        <w:t>fig_*.png</w:t>
      </w:r>
      <w:r>
        <w:t>。</w:t>
      </w:r>
    </w:p>
    <w:p w14:paraId="0C03AA19">
      <w:pPr>
        <w:pStyle w:val="3"/>
      </w:pPr>
      <w:bookmarkStart w:id="53" w:name="_Toc15805"/>
      <w:r>
        <w:t>6.1 测试策略与结果</w:t>
      </w:r>
      <w:bookmarkEnd w:id="53"/>
    </w:p>
    <w:p w14:paraId="6ECCE485">
      <w:pPr>
        <w:pStyle w:val="7"/>
        <w:spacing w:line="300" w:lineRule="auto"/>
        <w:ind w:firstLine="420"/>
      </w:pPr>
      <w:r>
        <w:t>系统的测试策略按"前端冒烟 → 逻辑单测 → 数据隔离 → 关键路径 AST 守卫"四层组织：</w:t>
      </w:r>
    </w:p>
    <w:p w14:paraId="4FA3F971">
      <w:pPr>
        <w:pStyle w:val="7"/>
        <w:spacing w:line="300" w:lineRule="auto"/>
        <w:ind w:firstLine="420"/>
      </w:pPr>
      <w:r>
        <w:t xml:space="preserve">- </w:t>
      </w:r>
      <w:r>
        <w:rPr>
          <w:b/>
        </w:rPr>
        <w:t>前端冒烟</w:t>
      </w:r>
      <w:r>
        <w:t>：</w:t>
      </w:r>
      <w:r>
        <w:rPr>
          <w:rFonts w:ascii="Courier New" w:hAnsi="Courier New"/>
        </w:rPr>
        <w:t>tests/test_pages_smoke.py</w:t>
      </w:r>
      <w:r>
        <w:t xml:space="preserve"> 用 Streamlit 官方的 AppTest 逐一加载 </w:t>
      </w:r>
      <w:r>
        <w:rPr>
          <w:rFonts w:ascii="Courier New" w:hAnsi="Courier New"/>
        </w:rPr>
        <w:t>pages/</w:t>
      </w:r>
      <w:r>
        <w:t xml:space="preserve"> 下全部 41 个页面，断言渲染过程不抛出未捕获异常。一旦某个页面在导入或首帧阶段崩溃，用户开屏即白屏，因此冒烟必须与子页面一并纳入，不能只测后端。</w:t>
      </w:r>
    </w:p>
    <w:p w14:paraId="0F3BF6DB">
      <w:pPr>
        <w:pStyle w:val="7"/>
        <w:spacing w:line="300" w:lineRule="auto"/>
        <w:ind w:firstLine="420"/>
      </w:pPr>
      <w:r>
        <w:t xml:space="preserve">- </w:t>
      </w:r>
      <w:r>
        <w:rPr>
          <w:b/>
        </w:rPr>
        <w:t>逻辑单测</w:t>
      </w:r>
      <w:r>
        <w:t xml:space="preserve">：项目内置 2117 个 </w:t>
      </w:r>
      <w:r>
        <w:rPr>
          <w:rFonts w:ascii="Courier New" w:hAnsi="Courier New"/>
        </w:rPr>
        <w:t>def test_</w:t>
      </w:r>
      <w:r>
        <w:t xml:space="preserve"> 函数，分布在 219 个测试文件中，覆盖决策、梯队、回测、校准、UI、接线等模块。由于逻辑层（4.1 节所述 56 个无 </w:t>
      </w:r>
      <w:r>
        <w:rPr>
          <w:rFonts w:ascii="Courier New" w:hAnsi="Courier New"/>
        </w:rPr>
        <w:t>streamlit</w:t>
      </w:r>
      <w:r>
        <w:t xml:space="preserve"> 依赖的模块）与 UI 解耦，这些单测可脱离界面独立运行。</w:t>
      </w:r>
    </w:p>
    <w:p w14:paraId="6A5A9C72">
      <w:pPr>
        <w:pStyle w:val="7"/>
        <w:spacing w:line="300" w:lineRule="auto"/>
        <w:ind w:firstLine="420"/>
      </w:pPr>
      <w:r>
        <w:t xml:space="preserve">- </w:t>
      </w:r>
      <w:r>
        <w:rPr>
          <w:b/>
        </w:rPr>
        <w:t>数据隔离</w:t>
      </w:r>
      <w:r>
        <w:t xml:space="preserve">：项目根目录 </w:t>
      </w:r>
      <w:r>
        <w:rPr>
          <w:rFonts w:ascii="Courier New" w:hAnsi="Courier New"/>
        </w:rPr>
        <w:t>conftest.py</w:t>
      </w:r>
      <w:r>
        <w:t xml:space="preserve"> 在 pytest 启动时把环境变量 </w:t>
      </w:r>
      <w:r>
        <w:rPr>
          <w:rFonts w:ascii="Courier New" w:hAnsi="Courier New"/>
        </w:rPr>
        <w:t>SS_DATA_DIR</w:t>
      </w:r>
      <w:r>
        <w:t xml:space="preserve"> 重定向到临时目录，</w:t>
      </w:r>
      <w:r>
        <w:rPr>
          <w:rFonts w:ascii="Courier New" w:hAnsi="Courier New"/>
        </w:rPr>
        <w:t>test_data_isolation.py</w:t>
      </w:r>
      <w:r>
        <w:t xml:space="preserve"> 断言所有落盘路径（决策快照、市场缓存、新闻库等）都跟随 </w:t>
      </w:r>
      <w:r>
        <w:rPr>
          <w:rFonts w:ascii="Courier New" w:hAnsi="Courier New"/>
        </w:rPr>
        <w:t>SS_DATA_DIR</w:t>
      </w:r>
      <w:r>
        <w:t xml:space="preserve"> 而非硬编码真实 </w:t>
      </w:r>
      <w:r>
        <w:rPr>
          <w:rFonts w:ascii="Courier New" w:hAnsi="Courier New"/>
        </w:rPr>
        <w:t>data/</w:t>
      </w:r>
      <w:r>
        <w:t>，从而锁死"测试污染真实数据"的回退。</w:t>
      </w:r>
    </w:p>
    <w:p w14:paraId="35FC1117">
      <w:pPr>
        <w:pStyle w:val="7"/>
        <w:spacing w:line="300" w:lineRule="auto"/>
        <w:ind w:firstLine="420"/>
      </w:pPr>
      <w:r>
        <w:t xml:space="preserve">- </w:t>
      </w:r>
      <w:r>
        <w:rPr>
          <w:b/>
        </w:rPr>
        <w:t>关键路径 AST 守卫</w:t>
      </w:r>
      <w:r>
        <w:t>：</w:t>
      </w:r>
      <w:r>
        <w:rPr>
          <w:rFonts w:ascii="Courier New" w:hAnsi="Courier New"/>
        </w:rPr>
        <w:t>tests/test_daily_snapshot_wiring.py</w:t>
      </w:r>
      <w:r>
        <w:t xml:space="preserve"> 用抽象语法树静态扫描 </w:t>
      </w:r>
      <w:r>
        <w:rPr>
          <w:rFonts w:ascii="Courier New" w:hAnsi="Courier New"/>
        </w:rPr>
        <w:t>get_shepherd_indicators</w:t>
      </w:r>
      <w:r>
        <w:t xml:space="preserve"> 的调用点，强制其解包为 </w:t>
      </w:r>
      <w:r>
        <w:rPr>
          <w:rFonts w:ascii="Courier New" w:hAnsi="Courier New"/>
        </w:rPr>
        <w:t>(df, meta)</w:t>
      </w:r>
      <w:r>
        <w:t xml:space="preserve"> 二元组。该守卫针对一类静默 bug——漏解包会让 </w:t>
      </w:r>
      <w:r>
        <w:rPr>
          <w:rFonts w:ascii="Courier New" w:hAnsi="Courier New"/>
        </w:rPr>
        <w:t>df</w:t>
      </w:r>
      <w:r>
        <w:t xml:space="preserve"> 实为元组，导致指标永远走兜底值、决策闭环静默断流且无报错。这类错误运行时难构造、肉眼难发现，用 AST 在提交前拦截比靠测试覆盖更稳。</w:t>
      </w:r>
    </w:p>
    <w:p w14:paraId="49146407">
      <w:pPr>
        <w:pStyle w:val="7"/>
        <w:spacing w:line="300" w:lineRule="auto"/>
        <w:ind w:firstLine="420"/>
      </w:pPr>
      <w:r>
        <w:t>表 6-1 汇总了测试分层与规模。</w:t>
      </w:r>
    </w:p>
    <w:p w14:paraId="6D25DAD9">
      <w:pPr>
        <w:pStyle w:val="7"/>
        <w:spacing w:line="300" w:lineRule="auto"/>
        <w:ind w:firstLine="420"/>
      </w:pPr>
      <w:r>
        <w:rPr>
          <w:b/>
        </w:rPr>
        <w:t>表 6-1 测试分层与规模</w:t>
      </w:r>
    </w:p>
    <w:p w14:paraId="2995A4FB"/>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A53C372">
        <w:tblPrEx>
          <w:tblCellMar>
            <w:top w:w="0" w:type="dxa"/>
            <w:left w:w="108" w:type="dxa"/>
            <w:bottom w:w="0" w:type="dxa"/>
            <w:right w:w="108" w:type="dxa"/>
          </w:tblCellMar>
        </w:tblPrEx>
        <w:tc>
          <w:tcPr>
            <w:tcW w:w="3080" w:type="dxa"/>
          </w:tcPr>
          <w:p w14:paraId="3E2516FA">
            <w:r>
              <w:rPr>
                <w:rFonts w:ascii="Times New Roman" w:hAnsi="Times New Roman" w:eastAsia="宋体"/>
                <w:sz w:val="21"/>
              </w:rPr>
              <w:t>层级</w:t>
            </w:r>
          </w:p>
        </w:tc>
        <w:tc>
          <w:tcPr>
            <w:tcW w:w="3080" w:type="dxa"/>
          </w:tcPr>
          <w:p w14:paraId="6385A977">
            <w:r>
              <w:rPr>
                <w:rFonts w:ascii="Times New Roman" w:hAnsi="Times New Roman" w:eastAsia="宋体"/>
                <w:sz w:val="21"/>
              </w:rPr>
              <w:t>载体</w:t>
            </w:r>
          </w:p>
        </w:tc>
        <w:tc>
          <w:tcPr>
            <w:tcW w:w="3080" w:type="dxa"/>
          </w:tcPr>
          <w:p w14:paraId="2C906B49">
            <w:r>
              <w:rPr>
                <w:rFonts w:ascii="Times New Roman" w:hAnsi="Times New Roman" w:eastAsia="宋体"/>
                <w:sz w:val="21"/>
              </w:rPr>
              <w:t>规模 / 通过情况</w:t>
            </w:r>
          </w:p>
        </w:tc>
      </w:tr>
      <w:tr w14:paraId="035101B0">
        <w:tblPrEx>
          <w:tblCellMar>
            <w:top w:w="0" w:type="dxa"/>
            <w:left w:w="108" w:type="dxa"/>
            <w:bottom w:w="0" w:type="dxa"/>
            <w:right w:w="108" w:type="dxa"/>
          </w:tblCellMar>
        </w:tblPrEx>
        <w:tc>
          <w:tcPr>
            <w:tcW w:w="3080" w:type="dxa"/>
          </w:tcPr>
          <w:p w14:paraId="22A73932">
            <w:r>
              <w:rPr>
                <w:rFonts w:ascii="Times New Roman" w:hAnsi="Times New Roman" w:eastAsia="宋体"/>
                <w:sz w:val="21"/>
              </w:rPr>
              <w:t>前端冒烟</w:t>
            </w:r>
          </w:p>
        </w:tc>
        <w:tc>
          <w:tcPr>
            <w:tcW w:w="3080" w:type="dxa"/>
          </w:tcPr>
          <w:p w14:paraId="4B933BC4">
            <w:r>
              <w:rPr>
                <w:rFonts w:ascii="Times New Roman" w:hAnsi="Times New Roman" w:eastAsia="宋体"/>
                <w:sz w:val="21"/>
              </w:rPr>
              <w:t>`test_pages_smoke.py`</w:t>
            </w:r>
          </w:p>
        </w:tc>
        <w:tc>
          <w:tcPr>
            <w:tcW w:w="3080" w:type="dxa"/>
          </w:tcPr>
          <w:p w14:paraId="75096ADF">
            <w:r>
              <w:rPr>
                <w:rFonts w:ascii="Times New Roman" w:hAnsi="Times New Roman" w:eastAsia="宋体"/>
                <w:sz w:val="21"/>
              </w:rPr>
              <w:t>41 个页面逐一加载，无未捕获异常</w:t>
            </w:r>
          </w:p>
        </w:tc>
      </w:tr>
      <w:tr w14:paraId="12DFAC6C">
        <w:tblPrEx>
          <w:tblCellMar>
            <w:top w:w="0" w:type="dxa"/>
            <w:left w:w="108" w:type="dxa"/>
            <w:bottom w:w="0" w:type="dxa"/>
            <w:right w:w="108" w:type="dxa"/>
          </w:tblCellMar>
        </w:tblPrEx>
        <w:tc>
          <w:tcPr>
            <w:tcW w:w="3080" w:type="dxa"/>
          </w:tcPr>
          <w:p w14:paraId="00923637">
            <w:r>
              <w:rPr>
                <w:rFonts w:ascii="Times New Roman" w:hAnsi="Times New Roman" w:eastAsia="宋体"/>
                <w:sz w:val="21"/>
              </w:rPr>
              <w:t>逻辑单测</w:t>
            </w:r>
          </w:p>
        </w:tc>
        <w:tc>
          <w:tcPr>
            <w:tcW w:w="3080" w:type="dxa"/>
          </w:tcPr>
          <w:p w14:paraId="1F04DF9F">
            <w:r>
              <w:rPr>
                <w:rFonts w:ascii="Times New Roman" w:hAnsi="Times New Roman" w:eastAsia="宋体"/>
                <w:sz w:val="21"/>
              </w:rPr>
              <w:t>219 个测试文件</w:t>
            </w:r>
          </w:p>
        </w:tc>
        <w:tc>
          <w:tcPr>
            <w:tcW w:w="3080" w:type="dxa"/>
          </w:tcPr>
          <w:p w14:paraId="13A0227E">
            <w:r>
              <w:rPr>
                <w:rFonts w:ascii="Times New Roman" w:hAnsi="Times New Roman" w:eastAsia="宋体"/>
                <w:sz w:val="21"/>
              </w:rPr>
              <w:t>2117 个 `def test_` 函数</w:t>
            </w:r>
          </w:p>
        </w:tc>
      </w:tr>
      <w:tr w14:paraId="4B31CECF">
        <w:tblPrEx>
          <w:tblCellMar>
            <w:top w:w="0" w:type="dxa"/>
            <w:left w:w="108" w:type="dxa"/>
            <w:bottom w:w="0" w:type="dxa"/>
            <w:right w:w="108" w:type="dxa"/>
          </w:tblCellMar>
        </w:tblPrEx>
        <w:tc>
          <w:tcPr>
            <w:tcW w:w="3080" w:type="dxa"/>
          </w:tcPr>
          <w:p w14:paraId="267ACA3C">
            <w:r>
              <w:rPr>
                <w:rFonts w:ascii="Times New Roman" w:hAnsi="Times New Roman" w:eastAsia="宋体"/>
                <w:sz w:val="21"/>
              </w:rPr>
              <w:t>数据隔离</w:t>
            </w:r>
          </w:p>
        </w:tc>
        <w:tc>
          <w:tcPr>
            <w:tcW w:w="3080" w:type="dxa"/>
          </w:tcPr>
          <w:p w14:paraId="1287AA64">
            <w:r>
              <w:rPr>
                <w:rFonts w:ascii="Times New Roman" w:hAnsi="Times New Roman" w:eastAsia="宋体"/>
                <w:sz w:val="21"/>
              </w:rPr>
              <w:t>`test_data_isolation.py`</w:t>
            </w:r>
          </w:p>
        </w:tc>
        <w:tc>
          <w:tcPr>
            <w:tcW w:w="3080" w:type="dxa"/>
          </w:tcPr>
          <w:p w14:paraId="6E8D288D">
            <w:r>
              <w:rPr>
                <w:rFonts w:ascii="Times New Roman" w:hAnsi="Times New Roman" w:eastAsia="宋体"/>
                <w:sz w:val="21"/>
              </w:rPr>
              <w:t>`SS_DATA_DIR` 重定向锁死</w:t>
            </w:r>
          </w:p>
        </w:tc>
      </w:tr>
      <w:tr w14:paraId="74A8F5AC">
        <w:tblPrEx>
          <w:tblCellMar>
            <w:top w:w="0" w:type="dxa"/>
            <w:left w:w="108" w:type="dxa"/>
            <w:bottom w:w="0" w:type="dxa"/>
            <w:right w:w="108" w:type="dxa"/>
          </w:tblCellMar>
        </w:tblPrEx>
        <w:tc>
          <w:tcPr>
            <w:tcW w:w="3080" w:type="dxa"/>
          </w:tcPr>
          <w:p w14:paraId="682FB90A">
            <w:r>
              <w:rPr>
                <w:rFonts w:ascii="Times New Roman" w:hAnsi="Times New Roman" w:eastAsia="宋体"/>
                <w:sz w:val="21"/>
              </w:rPr>
              <w:t>AST 守卫</w:t>
            </w:r>
          </w:p>
        </w:tc>
        <w:tc>
          <w:tcPr>
            <w:tcW w:w="3080" w:type="dxa"/>
          </w:tcPr>
          <w:p w14:paraId="79875DB9">
            <w:r>
              <w:rPr>
                <w:rFonts w:ascii="Times New Roman" w:hAnsi="Times New Roman" w:eastAsia="宋体"/>
                <w:sz w:val="21"/>
              </w:rPr>
              <w:t>`test_daily_snapshot_wiring.py`</w:t>
            </w:r>
          </w:p>
        </w:tc>
        <w:tc>
          <w:tcPr>
            <w:tcW w:w="3080" w:type="dxa"/>
          </w:tcPr>
          <w:p w14:paraId="741B299F">
            <w:r>
              <w:rPr>
                <w:rFonts w:ascii="Times New Roman" w:hAnsi="Times New Roman" w:eastAsia="宋体"/>
                <w:sz w:val="21"/>
              </w:rPr>
              <w:t>二元组解包静态扫描通过</w:t>
            </w:r>
          </w:p>
        </w:tc>
      </w:tr>
    </w:tbl>
    <w:p w14:paraId="61105379">
      <w:pPr>
        <w:pStyle w:val="3"/>
      </w:pPr>
      <w:bookmarkStart w:id="54" w:name="_Toc8080"/>
      <w:r>
        <w:t>6.2 决策闭环评估（真实数据）</w:t>
      </w:r>
      <w:bookmarkEnd w:id="54"/>
    </w:p>
    <w:p w14:paraId="129C778E">
      <w:pPr>
        <w:pStyle w:val="7"/>
        <w:spacing w:line="300" w:lineRule="auto"/>
        <w:ind w:firstLine="420"/>
      </w:pPr>
      <w:r>
        <w:t xml:space="preserve">来自 </w:t>
      </w:r>
      <w:r>
        <w:rPr>
          <w:rFonts w:ascii="Courier New" w:hAnsi="Courier New"/>
        </w:rPr>
        <w:t>eval_ch6.py</w:t>
      </w:r>
      <w:r>
        <w:t xml:space="preserve"> 对 </w:t>
      </w:r>
      <w:r>
        <w:rPr>
          <w:rFonts w:ascii="Courier New" w:hAnsi="Courier New"/>
        </w:rPr>
        <w:t>daily_snapshot.json</w:t>
      </w:r>
      <w:r>
        <w:t xml:space="preserve"> + </w:t>
      </w:r>
      <w:r>
        <w:rPr>
          <w:rFonts w:ascii="Courier New" w:hAnsi="Courier New"/>
        </w:rPr>
        <w:t>snapshots/</w:t>
      </w:r>
      <w:r>
        <w:t xml:space="preserve"> 的统计（数据区间 2026-08-31 至 2026-09-30）：</w:t>
      </w:r>
    </w:p>
    <w:p w14:paraId="5066EB0A">
      <w:pPr>
        <w:pStyle w:val="7"/>
        <w:spacing w:line="300" w:lineRule="auto"/>
        <w:ind w:firstLine="420"/>
      </w:pPr>
      <w:r>
        <w:t xml:space="preserve">- 决策快照样本量 </w:t>
      </w:r>
      <w:r>
        <w:rPr>
          <w:b/>
        </w:rPr>
        <w:t>n = 17</w:t>
      </w:r>
      <w:r>
        <w:t>；</w:t>
      </w:r>
    </w:p>
    <w:p w14:paraId="3C205A83">
      <w:pPr>
        <w:pStyle w:val="7"/>
        <w:spacing w:line="300" w:lineRule="auto"/>
        <w:ind w:firstLine="420"/>
      </w:pPr>
      <w:r>
        <w:t xml:space="preserve">- 市场温度范围 </w:t>
      </w:r>
      <w:r>
        <w:rPr>
          <w:b/>
        </w:rPr>
        <w:t>[11.4, 81.1]</w:t>
      </w:r>
      <w:r>
        <w:t xml:space="preserve">；仓位建议范围 </w:t>
      </w:r>
      <w:r>
        <w:rPr>
          <w:b/>
        </w:rPr>
        <w:t>[5, 82]</w:t>
      </w:r>
      <w:r>
        <w:t>；</w:t>
      </w:r>
    </w:p>
    <w:p w14:paraId="25B48214">
      <w:pPr>
        <w:pStyle w:val="7"/>
        <w:spacing w:line="300" w:lineRule="auto"/>
        <w:ind w:firstLine="420"/>
      </w:pPr>
      <w:r>
        <w:t xml:space="preserve">- </w:t>
      </w:r>
      <w:r>
        <w:rPr>
          <w:b/>
        </w:rPr>
        <w:t>clamp 5~95 校验通过</w:t>
      </w:r>
      <w:r>
        <w:t>（所有仓位均落在 [5,95]）；</w:t>
      </w:r>
    </w:p>
    <w:p w14:paraId="62527F43">
      <w:pPr>
        <w:pStyle w:val="7"/>
        <w:spacing w:line="300" w:lineRule="auto"/>
        <w:ind w:firstLine="420"/>
      </w:pPr>
      <w:r>
        <w:t>- 周期分布：修复试探 7 天 / 主升高潮 4 天 / 退潮 3 天 / 修复确认 3 天；</w:t>
      </w:r>
    </w:p>
    <w:p w14:paraId="48708A25">
      <w:pPr>
        <w:pStyle w:val="7"/>
        <w:spacing w:line="300" w:lineRule="auto"/>
        <w:ind w:firstLine="420"/>
      </w:pPr>
      <w:r>
        <w:t xml:space="preserve">- 预测记录 </w:t>
      </w:r>
      <w:r>
        <w:rPr>
          <w:b/>
        </w:rPr>
        <w:t>17 条</w:t>
      </w:r>
      <w:r>
        <w:t xml:space="preserve">，已评分 </w:t>
      </w:r>
      <w:r>
        <w:rPr>
          <w:b/>
        </w:rPr>
        <w:t>10 条</w:t>
      </w:r>
      <w:r>
        <w:t>（命中率 30.0%，样本仍小，</w:t>
      </w:r>
      <w:r>
        <w:rPr>
          <w:b/>
        </w:rPr>
        <w:t>不做显著性推断</w:t>
      </w:r>
      <w:r>
        <w:t>）。</w:t>
      </w:r>
    </w:p>
    <w:p w14:paraId="3AD3A090">
      <w:pPr>
        <w:pStyle w:val="7"/>
        <w:spacing w:line="300" w:lineRule="auto"/>
        <w:ind w:firstLine="420"/>
      </w:pPr>
      <w:r>
        <w:t>图 6-1 给出 17 个交易日的仓位建议及 5/95 上下限参考线，用于直观校验 clamp 约束确实生效：</w:t>
      </w:r>
    </w:p>
    <w:p w14:paraId="3913ADB2">
      <w:pPr>
        <w:pStyle w:val="7"/>
        <w:jc w:val="center"/>
      </w:pPr>
      <w:r>
        <w:drawing>
          <wp:inline distT="0" distB="0" distL="114300" distR="114300">
            <wp:extent cx="5029200" cy="3592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5029200" cy="3592286"/>
                    </a:xfrm>
                    <a:prstGeom prst="rect">
                      <a:avLst/>
                    </a:prstGeom>
                  </pic:spPr>
                </pic:pic>
              </a:graphicData>
            </a:graphic>
          </wp:inline>
        </w:drawing>
      </w:r>
    </w:p>
    <w:p w14:paraId="7F7B43C6">
      <w:pPr>
        <w:pStyle w:val="7"/>
        <w:jc w:val="center"/>
      </w:pPr>
      <w:r>
        <w:rPr>
          <w:rFonts w:ascii="Times New Roman" w:hAnsi="Times New Roman" w:eastAsia="宋体"/>
          <w:sz w:val="21"/>
        </w:rPr>
        <w:t>图 6-1　决策闭环：每日仓位建议（clamp 5~95 校验）</w:t>
      </w:r>
    </w:p>
    <w:p w14:paraId="34803542">
      <w:pPr>
        <w:pStyle w:val="7"/>
        <w:spacing w:line="300" w:lineRule="auto"/>
        <w:ind w:firstLine="420"/>
      </w:pPr>
      <w:r>
        <w:t>图 6-2 是周期分布。17 个交易日覆盖全部四个周期，说明分类逻辑对真实数据产生了区分，而非恒定输出同一档：</w:t>
      </w:r>
    </w:p>
    <w:p w14:paraId="4CB5756A">
      <w:pPr>
        <w:pStyle w:val="7"/>
        <w:jc w:val="center"/>
      </w:pPr>
      <w:r>
        <w:drawing>
          <wp:inline distT="0" distB="0" distL="114300" distR="114300">
            <wp:extent cx="5029200" cy="3592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5029200" cy="3592286"/>
                    </a:xfrm>
                    <a:prstGeom prst="rect">
                      <a:avLst/>
                    </a:prstGeom>
                  </pic:spPr>
                </pic:pic>
              </a:graphicData>
            </a:graphic>
          </wp:inline>
        </w:drawing>
      </w:r>
    </w:p>
    <w:p w14:paraId="69B8B5C3">
      <w:pPr>
        <w:pStyle w:val="7"/>
        <w:jc w:val="center"/>
      </w:pPr>
      <w:r>
        <w:rPr>
          <w:rFonts w:ascii="Times New Roman" w:hAnsi="Times New Roman" w:eastAsia="宋体"/>
          <w:sz w:val="21"/>
        </w:rPr>
        <w:t>图 6-2　市场周期分布</w:t>
      </w:r>
    </w:p>
    <w:p w14:paraId="67C978D6">
      <w:pPr>
        <w:pStyle w:val="7"/>
        <w:spacing w:line="300" w:lineRule="auto"/>
        <w:ind w:firstLine="420"/>
      </w:pPr>
      <w:r>
        <w:t>图 6-3 把温度与仓位画成散点，用于观察决策函数的形态。理想情况下二者应呈正相关，且所有点都落在 [5,95] 带内——这正是本系统期望看到的"温度驱动、边界收敛"行为：</w:t>
      </w:r>
    </w:p>
    <w:p w14:paraId="31AB2768">
      <w:pPr>
        <w:pStyle w:val="7"/>
        <w:jc w:val="center"/>
      </w:pPr>
      <w:r>
        <w:drawing>
          <wp:inline distT="0" distB="0" distL="114300" distR="114300">
            <wp:extent cx="5029200" cy="35921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5029200" cy="3592286"/>
                    </a:xfrm>
                    <a:prstGeom prst="rect">
                      <a:avLst/>
                    </a:prstGeom>
                  </pic:spPr>
                </pic:pic>
              </a:graphicData>
            </a:graphic>
          </wp:inline>
        </w:drawing>
      </w:r>
    </w:p>
    <w:p w14:paraId="33B3CE64">
      <w:pPr>
        <w:pStyle w:val="7"/>
        <w:jc w:val="center"/>
      </w:pPr>
      <w:r>
        <w:rPr>
          <w:rFonts w:ascii="Times New Roman" w:hAnsi="Times New Roman" w:eastAsia="宋体"/>
          <w:sz w:val="21"/>
        </w:rPr>
        <w:t>图 6-3　温度 vs 仓位散点（决策函数形态）</w:t>
      </w:r>
    </w:p>
    <w:p w14:paraId="5B709C96">
      <w:pPr>
        <w:pStyle w:val="7"/>
        <w:spacing w:line="300" w:lineRule="auto"/>
        <w:ind w:firstLine="420"/>
      </w:pPr>
      <w:r>
        <w:t>图 6-4 是已评分样本（n=10）的命中情况。当前命中率 30%，样本仍小，</w:t>
      </w:r>
      <w:r>
        <w:rPr>
          <w:b/>
        </w:rPr>
        <w:t>此处只证明对账链路持续运行并正确落盘，不构成任何统计结论</w:t>
      </w:r>
      <w:r>
        <w:t>；随着每日快照累积，该图才逐步具备评价意义：</w:t>
      </w:r>
    </w:p>
    <w:p w14:paraId="6B723C84">
      <w:pPr>
        <w:pStyle w:val="7"/>
        <w:jc w:val="center"/>
      </w:pPr>
      <w:r>
        <w:drawing>
          <wp:inline distT="0" distB="0" distL="114300" distR="114300">
            <wp:extent cx="5029200" cy="35921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7"/>
                    <a:stretch>
                      <a:fillRect/>
                    </a:stretch>
                  </pic:blipFill>
                  <pic:spPr>
                    <a:xfrm>
                      <a:off x="0" y="0"/>
                      <a:ext cx="5029200" cy="3592286"/>
                    </a:xfrm>
                    <a:prstGeom prst="rect">
                      <a:avLst/>
                    </a:prstGeom>
                  </pic:spPr>
                </pic:pic>
              </a:graphicData>
            </a:graphic>
          </wp:inline>
        </w:drawing>
      </w:r>
    </w:p>
    <w:p w14:paraId="613432EC">
      <w:pPr>
        <w:pStyle w:val="7"/>
        <w:jc w:val="center"/>
      </w:pPr>
      <w:r>
        <w:rPr>
          <w:rFonts w:ascii="Times New Roman" w:hAnsi="Times New Roman" w:eastAsia="宋体"/>
          <w:sz w:val="21"/>
        </w:rPr>
        <w:t>图 6-4　预测 vs 实际命中（已评分样本，n=10）</w:t>
      </w:r>
    </w:p>
    <w:p w14:paraId="50461A91">
      <w:pPr>
        <w:pStyle w:val="7"/>
        <w:spacing w:line="300" w:lineRule="auto"/>
        <w:ind w:firstLine="420"/>
      </w:pPr>
      <w:r>
        <w:t>解读：系统上线初期样本量有限，本章以"</w:t>
      </w:r>
      <w:r>
        <w:rPr>
          <w:b/>
        </w:rPr>
        <w:t>决策闭环功能正确性 + 校准机制设计正确性</w:t>
      </w:r>
      <w:r>
        <w:t>"为评估主线，纵向命中率仅作趋势性证据，不夸大统计结论（与 5.3 的保守设计自洽）。</w:t>
      </w:r>
    </w:p>
    <w:p w14:paraId="4CEA373F">
      <w:pPr>
        <w:pStyle w:val="3"/>
      </w:pPr>
      <w:bookmarkStart w:id="55" w:name="_Toc26567"/>
      <w:r>
        <w:t>6.3 刻度校准机制评估（小样本不表态被真实验证）</w:t>
      </w:r>
      <w:bookmarkEnd w:id="55"/>
    </w:p>
    <w:p w14:paraId="4DB86678">
      <w:pPr>
        <w:pStyle w:val="7"/>
        <w:spacing w:line="300" w:lineRule="auto"/>
        <w:ind w:firstLine="420"/>
      </w:pPr>
      <w:r>
        <w:t xml:space="preserve">调用 </w:t>
      </w:r>
      <w:r>
        <w:rPr>
          <w:rFonts w:ascii="Courier New" w:hAnsi="Courier New"/>
        </w:rPr>
        <w:t>calibration.by_cycle()</w:t>
      </w:r>
      <w:r>
        <w:t xml:space="preserve"> / </w:t>
      </w:r>
      <w:r>
        <w:rPr>
          <w:rFonts w:ascii="Courier New" w:hAnsi="Courier New"/>
        </w:rPr>
        <w:t>by_group()</w:t>
      </w:r>
      <w:r>
        <w:t xml:space="preserve"> 的真实输出：</w:t>
      </w:r>
    </w:p>
    <w:p w14:paraId="12189E73"/>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26DC8354">
        <w:tblPrEx>
          <w:tblCellMar>
            <w:top w:w="0" w:type="dxa"/>
            <w:left w:w="108" w:type="dxa"/>
            <w:bottom w:w="0" w:type="dxa"/>
            <w:right w:w="108" w:type="dxa"/>
          </w:tblCellMar>
        </w:tblPrEx>
        <w:tc>
          <w:tcPr>
            <w:tcW w:w="2310" w:type="dxa"/>
          </w:tcPr>
          <w:p w14:paraId="0D05F285">
            <w:r>
              <w:rPr>
                <w:rFonts w:ascii="Times New Roman" w:hAnsi="Times New Roman" w:eastAsia="宋体"/>
                <w:sz w:val="21"/>
              </w:rPr>
              <w:t>战术分组</w:t>
            </w:r>
          </w:p>
        </w:tc>
        <w:tc>
          <w:tcPr>
            <w:tcW w:w="2310" w:type="dxa"/>
          </w:tcPr>
          <w:p w14:paraId="39FAC73B">
            <w:r>
              <w:rPr>
                <w:rFonts w:ascii="Times New Roman" w:hAnsi="Times New Roman" w:eastAsia="宋体"/>
                <w:sz w:val="21"/>
              </w:rPr>
              <w:t>n_call（表态次数）</w:t>
            </w:r>
          </w:p>
        </w:tc>
        <w:tc>
          <w:tcPr>
            <w:tcW w:w="2310" w:type="dxa"/>
          </w:tcPr>
          <w:p w14:paraId="39917CDF">
            <w:r>
              <w:rPr>
                <w:rFonts w:ascii="Times New Roman" w:hAnsi="Times New Roman" w:eastAsia="宋体"/>
                <w:sz w:val="21"/>
              </w:rPr>
              <w:t>accuracy</w:t>
            </w:r>
          </w:p>
        </w:tc>
        <w:tc>
          <w:tcPr>
            <w:tcW w:w="2310" w:type="dxa"/>
          </w:tcPr>
          <w:p w14:paraId="22CCBE77">
            <w:r>
              <w:rPr>
                <w:rFonts w:ascii="Times New Roman" w:hAnsi="Times New Roman" w:eastAsia="宋体"/>
                <w:sz w:val="21"/>
              </w:rPr>
              <w:t>说明</w:t>
            </w:r>
          </w:p>
        </w:tc>
      </w:tr>
      <w:tr w14:paraId="0386F137">
        <w:tblPrEx>
          <w:tblCellMar>
            <w:top w:w="0" w:type="dxa"/>
            <w:left w:w="108" w:type="dxa"/>
            <w:bottom w:w="0" w:type="dxa"/>
            <w:right w:w="108" w:type="dxa"/>
          </w:tblCellMar>
        </w:tblPrEx>
        <w:tc>
          <w:tcPr>
            <w:tcW w:w="2310" w:type="dxa"/>
          </w:tcPr>
          <w:p w14:paraId="64620F50">
            <w:r>
              <w:rPr>
                <w:rFonts w:ascii="Times New Roman" w:hAnsi="Times New Roman" w:eastAsia="宋体"/>
                <w:sz w:val="21"/>
              </w:rPr>
              <w:t>进攻期（主升高潮 4 + 修复确认 3）</w:t>
            </w:r>
          </w:p>
        </w:tc>
        <w:tc>
          <w:tcPr>
            <w:tcW w:w="2310" w:type="dxa"/>
          </w:tcPr>
          <w:p w14:paraId="14C26EF7">
            <w:r>
              <w:rPr>
                <w:rFonts w:ascii="Times New Roman" w:hAnsi="Times New Roman" w:eastAsia="宋体"/>
                <w:sz w:val="21"/>
              </w:rPr>
              <w:t>7</w:t>
            </w:r>
          </w:p>
        </w:tc>
        <w:tc>
          <w:tcPr>
            <w:tcW w:w="2310" w:type="dxa"/>
          </w:tcPr>
          <w:p w14:paraId="73A2A7E5">
            <w:r>
              <w:rPr>
                <w:rFonts w:ascii="Times New Roman" w:hAnsi="Times New Roman" w:eastAsia="宋体"/>
                <w:sz w:val="21"/>
              </w:rPr>
              <w:t>42.9%</w:t>
            </w:r>
          </w:p>
        </w:tc>
        <w:tc>
          <w:tcPr>
            <w:tcW w:w="2310" w:type="dxa"/>
          </w:tcPr>
          <w:p w14:paraId="7B5CCB3C">
            <w:r>
              <w:rPr>
                <w:rFonts w:ascii="Times New Roman" w:hAnsi="Times New Roman" w:eastAsia="宋体"/>
                <w:sz w:val="21"/>
              </w:rPr>
              <w:t>表态最多；细分上修复确认 66.7% 高于主升高潮 25.0%</w:t>
            </w:r>
          </w:p>
        </w:tc>
      </w:tr>
      <w:tr w14:paraId="3EB25FF8">
        <w:tblPrEx>
          <w:tblCellMar>
            <w:top w:w="0" w:type="dxa"/>
            <w:left w:w="108" w:type="dxa"/>
            <w:bottom w:w="0" w:type="dxa"/>
            <w:right w:w="108" w:type="dxa"/>
          </w:tblCellMar>
        </w:tblPrEx>
        <w:tc>
          <w:tcPr>
            <w:tcW w:w="2310" w:type="dxa"/>
          </w:tcPr>
          <w:p w14:paraId="1E0B46B9">
            <w:r>
              <w:rPr>
                <w:rFonts w:ascii="Times New Roman" w:hAnsi="Times New Roman" w:eastAsia="宋体"/>
                <w:sz w:val="21"/>
              </w:rPr>
              <w:t>修复期（修复试探）</w:t>
            </w:r>
          </w:p>
        </w:tc>
        <w:tc>
          <w:tcPr>
            <w:tcW w:w="2310" w:type="dxa"/>
          </w:tcPr>
          <w:p w14:paraId="5E9BE27A">
            <w:r>
              <w:rPr>
                <w:rFonts w:ascii="Times New Roman" w:hAnsi="Times New Roman" w:eastAsia="宋体"/>
                <w:sz w:val="21"/>
              </w:rPr>
              <w:t>0</w:t>
            </w:r>
          </w:p>
        </w:tc>
        <w:tc>
          <w:tcPr>
            <w:tcW w:w="2310" w:type="dxa"/>
          </w:tcPr>
          <w:p w14:paraId="66E92EE7">
            <w:r>
              <w:rPr>
                <w:rFonts w:ascii="Times New Roman" w:hAnsi="Times New Roman" w:eastAsia="宋体"/>
                <w:sz w:val="21"/>
              </w:rPr>
              <w:t>**null**</w:t>
            </w:r>
          </w:p>
        </w:tc>
        <w:tc>
          <w:tcPr>
            <w:tcW w:w="2310" w:type="dxa"/>
          </w:tcPr>
          <w:p w14:paraId="1420B785">
            <w:r>
              <w:rPr>
                <w:rFonts w:ascii="Times New Roman" w:hAnsi="Times New Roman" w:eastAsia="宋体"/>
                <w:sz w:val="21"/>
              </w:rPr>
              <w:t>无方向表态样本，系统拒给命中率</w:t>
            </w:r>
          </w:p>
        </w:tc>
      </w:tr>
      <w:tr w14:paraId="0644CEEB">
        <w:tblPrEx>
          <w:tblCellMar>
            <w:top w:w="0" w:type="dxa"/>
            <w:left w:w="108" w:type="dxa"/>
            <w:bottom w:w="0" w:type="dxa"/>
            <w:right w:w="108" w:type="dxa"/>
          </w:tblCellMar>
        </w:tblPrEx>
        <w:tc>
          <w:tcPr>
            <w:tcW w:w="2310" w:type="dxa"/>
          </w:tcPr>
          <w:p w14:paraId="6C2397FE">
            <w:r>
              <w:rPr>
                <w:rFonts w:ascii="Times New Roman" w:hAnsi="Times New Roman" w:eastAsia="宋体"/>
                <w:sz w:val="21"/>
              </w:rPr>
              <w:t>防守期（退潮）</w:t>
            </w:r>
          </w:p>
        </w:tc>
        <w:tc>
          <w:tcPr>
            <w:tcW w:w="2310" w:type="dxa"/>
          </w:tcPr>
          <w:p w14:paraId="54ADED8E">
            <w:r>
              <w:rPr>
                <w:rFonts w:ascii="Times New Roman" w:hAnsi="Times New Roman" w:eastAsia="宋体"/>
                <w:sz w:val="21"/>
              </w:rPr>
              <w:t>3</w:t>
            </w:r>
          </w:p>
        </w:tc>
        <w:tc>
          <w:tcPr>
            <w:tcW w:w="2310" w:type="dxa"/>
          </w:tcPr>
          <w:p w14:paraId="51E5FB80">
            <w:r>
              <w:rPr>
                <w:rFonts w:ascii="Times New Roman" w:hAnsi="Times New Roman" w:eastAsia="宋体"/>
                <w:sz w:val="21"/>
              </w:rPr>
              <w:t>0.0</w:t>
            </w:r>
          </w:p>
        </w:tc>
        <w:tc>
          <w:tcPr>
            <w:tcW w:w="2310" w:type="dxa"/>
          </w:tcPr>
          <w:p w14:paraId="40AA4918">
            <w:r>
              <w:rPr>
                <w:rFonts w:ascii="Times New Roman" w:hAnsi="Times New Roman" w:eastAsia="宋体"/>
                <w:sz w:val="21"/>
              </w:rPr>
              <w:t>表态 3 次全部未中——防守期方向最难判</w:t>
            </w:r>
          </w:p>
        </w:tc>
      </w:tr>
    </w:tbl>
    <w:p w14:paraId="4F7D1E6A">
      <w:pPr>
        <w:pStyle w:val="7"/>
        <w:spacing w:line="300" w:lineRule="auto"/>
        <w:ind w:firstLine="420"/>
      </w:pPr>
      <w:r>
        <w:rPr>
          <w:rFonts w:ascii="Courier New" w:hAnsi="Courier New"/>
        </w:rPr>
        <w:t>accuracy=null</w:t>
      </w:r>
      <w:r>
        <w:t xml:space="preserve"> </w:t>
      </w:r>
      <w:r>
        <w:rPr>
          <w:b/>
        </w:rPr>
        <w:t>不是 bug</w:t>
      </w:r>
      <w:r>
        <w:t xml:space="preserve">，而是 </w:t>
      </w:r>
      <w:r>
        <w:rPr>
          <w:rFonts w:ascii="Courier New" w:hAnsi="Courier New"/>
        </w:rPr>
        <w:t>calibration.py</w:t>
      </w:r>
      <w:r>
        <w:t xml:space="preserve"> 三条铁律中"T3 小样本不表态"在真实运行数据上的如实体现——样本不够时系统拒绝输出假阳性"建议调参"。这正是第 5.3 章所述设计的正确落地。值得注意的分化是：进攻期表态 7 次命中 3 次（42.9%）而防守期表态 3 次全未命中（0.0%），方向可预测性随情绪周期分化的形态与 6.6 节大样本结论同构；同样是第 7.2 章"诚实不足"的实证基础。</w:t>
      </w:r>
    </w:p>
    <w:p w14:paraId="4D8D9444">
      <w:pPr>
        <w:pStyle w:val="3"/>
      </w:pPr>
      <w:bookmarkStart w:id="56" w:name="_Toc26948"/>
      <w:r>
        <w:t>6.4 回测成本模型有效性验证</w:t>
      </w:r>
      <w:bookmarkEnd w:id="56"/>
    </w:p>
    <w:p w14:paraId="36BD570A">
      <w:pPr>
        <w:pStyle w:val="7"/>
        <w:spacing w:line="300" w:lineRule="auto"/>
        <w:ind w:firstLine="420"/>
      </w:pPr>
      <w:r>
        <w:t>验证方法：同一标的（300750 宁德时代）、同一策略（</w:t>
      </w:r>
      <w:r>
        <w:rPr>
          <w:rFonts w:ascii="Courier New" w:hAnsi="Courier New"/>
        </w:rPr>
        <w:t>multi_factor</w:t>
      </w:r>
      <w:r>
        <w:t xml:space="preserve"> 多因子 V5）、同一区间（2024-01-01 至 2026-09-06）、同一初始资金（10 万元）跑两遍——A 组按默认成本参数（佣金 0.001、滑点 0.001、印花税 0.001 仅卖出），B 组把三项成本全部置 0。两组的唯一差异是成本开关，因此绩效差额就是成本模型的实际影响，可排除行情与策略因素的干扰。数据来自 BaoStock 真实日线，脚本见附录 C。</w:t>
      </w:r>
    </w:p>
    <w:p w14:paraId="587A562E">
      <w:pPr>
        <w:pStyle w:val="7"/>
        <w:spacing w:line="300" w:lineRule="auto"/>
        <w:ind w:firstLine="420"/>
      </w:pPr>
      <w:r>
        <w:t>表 6-2　成本模型开关对比（真实回测，n = 74 笔）</w:t>
      </w:r>
    </w:p>
    <w:p w14:paraId="4093C562"/>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BCB1898">
        <w:tblPrEx>
          <w:tblCellMar>
            <w:top w:w="0" w:type="dxa"/>
            <w:left w:w="108" w:type="dxa"/>
            <w:bottom w:w="0" w:type="dxa"/>
            <w:right w:w="108" w:type="dxa"/>
          </w:tblCellMar>
        </w:tblPrEx>
        <w:tc>
          <w:tcPr>
            <w:tcW w:w="2310" w:type="dxa"/>
          </w:tcPr>
          <w:p w14:paraId="134321E3">
            <w:r>
              <w:rPr>
                <w:rFonts w:ascii="Times New Roman" w:hAnsi="Times New Roman" w:eastAsia="宋体"/>
                <w:sz w:val="21"/>
              </w:rPr>
              <w:t>指标</w:t>
            </w:r>
          </w:p>
        </w:tc>
        <w:tc>
          <w:tcPr>
            <w:tcW w:w="2310" w:type="dxa"/>
          </w:tcPr>
          <w:p w14:paraId="22D4F3E3">
            <w:r>
              <w:rPr>
                <w:rFonts w:ascii="Times New Roman" w:hAnsi="Times New Roman" w:eastAsia="宋体"/>
                <w:sz w:val="21"/>
              </w:rPr>
              <w:t>A 组（含成本）</w:t>
            </w:r>
          </w:p>
        </w:tc>
        <w:tc>
          <w:tcPr>
            <w:tcW w:w="2310" w:type="dxa"/>
          </w:tcPr>
          <w:p w14:paraId="5F17625C">
            <w:r>
              <w:rPr>
                <w:rFonts w:ascii="Times New Roman" w:hAnsi="Times New Roman" w:eastAsia="宋体"/>
                <w:sz w:val="21"/>
              </w:rPr>
              <w:t>B 组（零成本）</w:t>
            </w:r>
          </w:p>
        </w:tc>
        <w:tc>
          <w:tcPr>
            <w:tcW w:w="2310" w:type="dxa"/>
          </w:tcPr>
          <w:p w14:paraId="4BC7DE4E">
            <w:r>
              <w:rPr>
                <w:rFonts w:ascii="Times New Roman" w:hAnsi="Times New Roman" w:eastAsia="宋体"/>
                <w:sz w:val="21"/>
              </w:rPr>
              <w:t>差额</w:t>
            </w:r>
          </w:p>
        </w:tc>
      </w:tr>
      <w:tr w14:paraId="220AC4BD">
        <w:tblPrEx>
          <w:tblCellMar>
            <w:top w:w="0" w:type="dxa"/>
            <w:left w:w="108" w:type="dxa"/>
            <w:bottom w:w="0" w:type="dxa"/>
            <w:right w:w="108" w:type="dxa"/>
          </w:tblCellMar>
        </w:tblPrEx>
        <w:tc>
          <w:tcPr>
            <w:tcW w:w="2310" w:type="dxa"/>
          </w:tcPr>
          <w:p w14:paraId="0CE48023">
            <w:r>
              <w:rPr>
                <w:rFonts w:ascii="Times New Roman" w:hAnsi="Times New Roman" w:eastAsia="宋体"/>
                <w:sz w:val="21"/>
              </w:rPr>
              <w:t>总收益率</w:t>
            </w:r>
          </w:p>
        </w:tc>
        <w:tc>
          <w:tcPr>
            <w:tcW w:w="2310" w:type="dxa"/>
          </w:tcPr>
          <w:p w14:paraId="449B4C15">
            <w:r>
              <w:rPr>
                <w:rFonts w:ascii="Times New Roman" w:hAnsi="Times New Roman" w:eastAsia="宋体"/>
                <w:sz w:val="21"/>
              </w:rPr>
              <w:t>+16.30%</w:t>
            </w:r>
          </w:p>
        </w:tc>
        <w:tc>
          <w:tcPr>
            <w:tcW w:w="2310" w:type="dxa"/>
          </w:tcPr>
          <w:p w14:paraId="39F991B8">
            <w:r>
              <w:rPr>
                <w:rFonts w:ascii="Times New Roman" w:hAnsi="Times New Roman" w:eastAsia="宋体"/>
                <w:sz w:val="21"/>
              </w:rPr>
              <w:t>+91.36%</w:t>
            </w:r>
          </w:p>
        </w:tc>
        <w:tc>
          <w:tcPr>
            <w:tcW w:w="2310" w:type="dxa"/>
          </w:tcPr>
          <w:p w14:paraId="62B94A4C">
            <w:r>
              <w:rPr>
                <w:rFonts w:ascii="Times New Roman" w:hAnsi="Times New Roman" w:eastAsia="宋体"/>
                <w:sz w:val="21"/>
              </w:rPr>
              <w:t>**−75.06 pt**</w:t>
            </w:r>
          </w:p>
        </w:tc>
      </w:tr>
      <w:tr w14:paraId="1BED63F8">
        <w:tblPrEx>
          <w:tblCellMar>
            <w:top w:w="0" w:type="dxa"/>
            <w:left w:w="108" w:type="dxa"/>
            <w:bottom w:w="0" w:type="dxa"/>
            <w:right w:w="108" w:type="dxa"/>
          </w:tblCellMar>
        </w:tblPrEx>
        <w:tc>
          <w:tcPr>
            <w:tcW w:w="2310" w:type="dxa"/>
          </w:tcPr>
          <w:p w14:paraId="2A59D50E">
            <w:r>
              <w:rPr>
                <w:rFonts w:ascii="Times New Roman" w:hAnsi="Times New Roman" w:eastAsia="宋体"/>
                <w:sz w:val="21"/>
              </w:rPr>
              <w:t>年化收益率</w:t>
            </w:r>
          </w:p>
        </w:tc>
        <w:tc>
          <w:tcPr>
            <w:tcW w:w="2310" w:type="dxa"/>
          </w:tcPr>
          <w:p w14:paraId="2BA8D785">
            <w:r>
              <w:rPr>
                <w:rFonts w:ascii="Times New Roman" w:hAnsi="Times New Roman" w:eastAsia="宋体"/>
                <w:sz w:val="21"/>
              </w:rPr>
              <w:t>+6.04%</w:t>
            </w:r>
          </w:p>
        </w:tc>
        <w:tc>
          <w:tcPr>
            <w:tcW w:w="2310" w:type="dxa"/>
          </w:tcPr>
          <w:p w14:paraId="746326F5">
            <w:r>
              <w:rPr>
                <w:rFonts w:ascii="Times New Roman" w:hAnsi="Times New Roman" w:eastAsia="宋体"/>
                <w:sz w:val="21"/>
              </w:rPr>
              <w:t>+28.66%</w:t>
            </w:r>
          </w:p>
        </w:tc>
        <w:tc>
          <w:tcPr>
            <w:tcW w:w="2310" w:type="dxa"/>
          </w:tcPr>
          <w:p w14:paraId="21883CB5">
            <w:r>
              <w:rPr>
                <w:rFonts w:ascii="Times New Roman" w:hAnsi="Times New Roman" w:eastAsia="宋体"/>
                <w:sz w:val="21"/>
              </w:rPr>
              <w:t>−22.62 pt</w:t>
            </w:r>
          </w:p>
        </w:tc>
      </w:tr>
      <w:tr w14:paraId="320FEC00">
        <w:tblPrEx>
          <w:tblCellMar>
            <w:top w:w="0" w:type="dxa"/>
            <w:left w:w="108" w:type="dxa"/>
            <w:bottom w:w="0" w:type="dxa"/>
            <w:right w:w="108" w:type="dxa"/>
          </w:tblCellMar>
        </w:tblPrEx>
        <w:tc>
          <w:tcPr>
            <w:tcW w:w="2310" w:type="dxa"/>
          </w:tcPr>
          <w:p w14:paraId="67E3D553">
            <w:r>
              <w:rPr>
                <w:rFonts w:ascii="Times New Roman" w:hAnsi="Times New Roman" w:eastAsia="宋体"/>
                <w:sz w:val="21"/>
              </w:rPr>
              <w:t>最大回撤</w:t>
            </w:r>
          </w:p>
        </w:tc>
        <w:tc>
          <w:tcPr>
            <w:tcW w:w="2310" w:type="dxa"/>
          </w:tcPr>
          <w:p w14:paraId="194810C7">
            <w:r>
              <w:rPr>
                <w:rFonts w:ascii="Times New Roman" w:hAnsi="Times New Roman" w:eastAsia="宋体"/>
                <w:sz w:val="21"/>
              </w:rPr>
              <w:t>−33.07%</w:t>
            </w:r>
          </w:p>
        </w:tc>
        <w:tc>
          <w:tcPr>
            <w:tcW w:w="2310" w:type="dxa"/>
          </w:tcPr>
          <w:p w14:paraId="43FE1FB6">
            <w:r>
              <w:rPr>
                <w:rFonts w:ascii="Times New Roman" w:hAnsi="Times New Roman" w:eastAsia="宋体"/>
                <w:sz w:val="21"/>
              </w:rPr>
              <w:t>−27.91%</w:t>
            </w:r>
          </w:p>
        </w:tc>
        <w:tc>
          <w:tcPr>
            <w:tcW w:w="2310" w:type="dxa"/>
          </w:tcPr>
          <w:p w14:paraId="54BD0D85">
            <w:r>
              <w:rPr>
                <w:rFonts w:ascii="Times New Roman" w:hAnsi="Times New Roman" w:eastAsia="宋体"/>
                <w:sz w:val="21"/>
              </w:rPr>
              <w:t>−5.16 pt</w:t>
            </w:r>
          </w:p>
        </w:tc>
      </w:tr>
      <w:tr w14:paraId="1C0B637A">
        <w:tblPrEx>
          <w:tblCellMar>
            <w:top w:w="0" w:type="dxa"/>
            <w:left w:w="108" w:type="dxa"/>
            <w:bottom w:w="0" w:type="dxa"/>
            <w:right w:w="108" w:type="dxa"/>
          </w:tblCellMar>
        </w:tblPrEx>
        <w:tc>
          <w:tcPr>
            <w:tcW w:w="2310" w:type="dxa"/>
          </w:tcPr>
          <w:p w14:paraId="54B5E42B">
            <w:r>
              <w:rPr>
                <w:rFonts w:ascii="Times New Roman" w:hAnsi="Times New Roman" w:eastAsia="宋体"/>
                <w:sz w:val="21"/>
              </w:rPr>
              <w:t>胜率</w:t>
            </w:r>
          </w:p>
        </w:tc>
        <w:tc>
          <w:tcPr>
            <w:tcW w:w="2310" w:type="dxa"/>
          </w:tcPr>
          <w:p w14:paraId="7A4CC823">
            <w:r>
              <w:rPr>
                <w:rFonts w:ascii="Times New Roman" w:hAnsi="Times New Roman" w:eastAsia="宋体"/>
                <w:sz w:val="21"/>
              </w:rPr>
              <w:t>52.7%</w:t>
            </w:r>
          </w:p>
        </w:tc>
        <w:tc>
          <w:tcPr>
            <w:tcW w:w="2310" w:type="dxa"/>
          </w:tcPr>
          <w:p w14:paraId="6CB8A7EF">
            <w:r>
              <w:rPr>
                <w:rFonts w:ascii="Times New Roman" w:hAnsi="Times New Roman" w:eastAsia="宋体"/>
                <w:sz w:val="21"/>
              </w:rPr>
              <w:t>55.41%</w:t>
            </w:r>
          </w:p>
        </w:tc>
        <w:tc>
          <w:tcPr>
            <w:tcW w:w="2310" w:type="dxa"/>
          </w:tcPr>
          <w:p w14:paraId="416E1B56">
            <w:r>
              <w:rPr>
                <w:rFonts w:ascii="Times New Roman" w:hAnsi="Times New Roman" w:eastAsia="宋体"/>
                <w:sz w:val="21"/>
              </w:rPr>
              <w:t>−2.71 pt</w:t>
            </w:r>
          </w:p>
        </w:tc>
      </w:tr>
      <w:tr w14:paraId="547ADAF8">
        <w:tblPrEx>
          <w:tblCellMar>
            <w:top w:w="0" w:type="dxa"/>
            <w:left w:w="108" w:type="dxa"/>
            <w:bottom w:w="0" w:type="dxa"/>
            <w:right w:w="108" w:type="dxa"/>
          </w:tblCellMar>
        </w:tblPrEx>
        <w:tc>
          <w:tcPr>
            <w:tcW w:w="2310" w:type="dxa"/>
          </w:tcPr>
          <w:p w14:paraId="6878316B">
            <w:r>
              <w:rPr>
                <w:rFonts w:ascii="Times New Roman" w:hAnsi="Times New Roman" w:eastAsia="宋体"/>
                <w:sz w:val="21"/>
              </w:rPr>
              <w:t>盈亏比</w:t>
            </w:r>
          </w:p>
        </w:tc>
        <w:tc>
          <w:tcPr>
            <w:tcW w:w="2310" w:type="dxa"/>
          </w:tcPr>
          <w:p w14:paraId="07C75EEF">
            <w:r>
              <w:rPr>
                <w:rFonts w:ascii="Times New Roman" w:hAnsi="Times New Roman" w:eastAsia="宋体"/>
                <w:sz w:val="21"/>
              </w:rPr>
              <w:t>1.17</w:t>
            </w:r>
          </w:p>
        </w:tc>
        <w:tc>
          <w:tcPr>
            <w:tcW w:w="2310" w:type="dxa"/>
          </w:tcPr>
          <w:p w14:paraId="32F93FFA">
            <w:r>
              <w:rPr>
                <w:rFonts w:ascii="Times New Roman" w:hAnsi="Times New Roman" w:eastAsia="宋体"/>
                <w:sz w:val="21"/>
              </w:rPr>
              <w:t>1.51</w:t>
            </w:r>
          </w:p>
        </w:tc>
        <w:tc>
          <w:tcPr>
            <w:tcW w:w="2310" w:type="dxa"/>
          </w:tcPr>
          <w:p w14:paraId="06323421">
            <w:r>
              <w:rPr>
                <w:rFonts w:ascii="Times New Roman" w:hAnsi="Times New Roman" w:eastAsia="宋体"/>
                <w:sz w:val="21"/>
              </w:rPr>
              <w:t>−0.34</w:t>
            </w:r>
          </w:p>
        </w:tc>
      </w:tr>
      <w:tr w14:paraId="790208B0">
        <w:tblPrEx>
          <w:tblCellMar>
            <w:top w:w="0" w:type="dxa"/>
            <w:left w:w="108" w:type="dxa"/>
            <w:bottom w:w="0" w:type="dxa"/>
            <w:right w:w="108" w:type="dxa"/>
          </w:tblCellMar>
        </w:tblPrEx>
        <w:tc>
          <w:tcPr>
            <w:tcW w:w="2310" w:type="dxa"/>
          </w:tcPr>
          <w:p w14:paraId="4754075D">
            <w:r>
              <w:rPr>
                <w:rFonts w:ascii="Times New Roman" w:hAnsi="Times New Roman" w:eastAsia="宋体"/>
                <w:sz w:val="21"/>
              </w:rPr>
              <w:t>交易笔数</w:t>
            </w:r>
          </w:p>
        </w:tc>
        <w:tc>
          <w:tcPr>
            <w:tcW w:w="2310" w:type="dxa"/>
          </w:tcPr>
          <w:p w14:paraId="5D9FF744">
            <w:r>
              <w:rPr>
                <w:rFonts w:ascii="Times New Roman" w:hAnsi="Times New Roman" w:eastAsia="宋体"/>
                <w:sz w:val="21"/>
              </w:rPr>
              <w:t>74</w:t>
            </w:r>
          </w:p>
        </w:tc>
        <w:tc>
          <w:tcPr>
            <w:tcW w:w="2310" w:type="dxa"/>
          </w:tcPr>
          <w:p w14:paraId="2AD0D7E0">
            <w:r>
              <w:rPr>
                <w:rFonts w:ascii="Times New Roman" w:hAnsi="Times New Roman" w:eastAsia="宋体"/>
                <w:sz w:val="21"/>
              </w:rPr>
              <w:t>74</w:t>
            </w:r>
          </w:p>
        </w:tc>
        <w:tc>
          <w:tcPr>
            <w:tcW w:w="2310" w:type="dxa"/>
          </w:tcPr>
          <w:p w14:paraId="04F59E76">
            <w:r>
              <w:rPr>
                <w:rFonts w:ascii="Times New Roman" w:hAnsi="Times New Roman" w:eastAsia="宋体"/>
                <w:sz w:val="21"/>
              </w:rPr>
              <w:t>0</w:t>
            </w:r>
          </w:p>
        </w:tc>
      </w:tr>
    </w:tbl>
    <w:p w14:paraId="6FF30E8C">
      <w:pPr>
        <w:pStyle w:val="7"/>
        <w:spacing w:line="300" w:lineRule="auto"/>
        <w:ind w:firstLine="420"/>
      </w:pPr>
      <w:r>
        <w:t>三点解读：</w:t>
      </w:r>
    </w:p>
    <w:p w14:paraId="2604E205">
      <w:pPr>
        <w:pStyle w:val="7"/>
        <w:spacing w:line="300" w:lineRule="auto"/>
        <w:ind w:firstLine="420"/>
      </w:pPr>
      <w:r>
        <w:t xml:space="preserve">1. </w:t>
      </w:r>
      <w:r>
        <w:rPr>
          <w:b/>
        </w:rPr>
        <w:t>扣除量可核算且随换手放大。</w:t>
      </w:r>
      <w:r>
        <w:t xml:space="preserve"> 单笔往返的理论成本为"买卖双边滑点 0.2% + 佣金 0.2% + 印花税 0.1%"＝0.5%；74 笔高换手下线性估算约 37 pt，而实测拖累 </w:t>
      </w:r>
      <w:r>
        <w:rPr>
          <w:b/>
        </w:rPr>
        <w:t>75.06 pt</w:t>
      </w:r>
      <w:r>
        <w:t>（零成本 91.36% → 含成本 16.30%）——超线性部分来自复利基数效应：零成本组的更高收益基数使后续每笔按比例计提的成本绝对值同步放大。成本不是常数项，而是与策略收益同规模的一阶项。这既说明成本项被真实扣除，也说明</w:t>
      </w:r>
      <w:r>
        <w:rPr>
          <w:b/>
        </w:rPr>
        <w:t>没有被重复扣除</w:t>
      </w:r>
      <w:r>
        <w:t>——若按错误写法在毛利之上再减一次双边成本，拖累会接近 8 pt。</w:t>
      </w:r>
    </w:p>
    <w:p w14:paraId="04E958A1">
      <w:pPr>
        <w:pStyle w:val="7"/>
        <w:spacing w:line="300" w:lineRule="auto"/>
        <w:ind w:firstLine="420"/>
      </w:pPr>
      <w:r>
        <w:t xml:space="preserve">2. </w:t>
      </w:r>
      <w:r>
        <w:rPr>
          <w:b/>
        </w:rPr>
        <w:t>成本不改交易时序。</w:t>
      </w:r>
      <w:r>
        <w:t xml:space="preserve"> 交易笔数（74）在两组完全相同——信号生成与撮合时点未受成本干扰，符合 4.4 节"信号生成与撮合解耦"的设计；胜率微降 2.7 pt（55.4%→52.7%）来自成本使部分盈亏落在止盈/止损阈值边缘的交易翻转结果，恰是成本被正确计入的表现而非时序污染。</w:t>
      </w:r>
    </w:p>
    <w:p w14:paraId="2D063F56">
      <w:pPr>
        <w:pStyle w:val="7"/>
        <w:spacing w:line="300" w:lineRule="auto"/>
        <w:ind w:firstLine="420"/>
      </w:pPr>
      <w:r>
        <w:t xml:space="preserve">3. </w:t>
      </w:r>
      <w:r>
        <w:rPr>
          <w:b/>
        </w:rPr>
        <w:t>实现缺口的量级实证。</w:t>
      </w:r>
      <w:r>
        <w:t xml:space="preserve"> 盈亏比从 1.51 降到 1.17（−22.5%），总收益率降幅更达 82.2%（91.36%→16.30%）——高换手多因子策略的实现缺口远超低频策略，这正是 Perold[12] 所讨论的实现缺口在 A 股高换手场景下的量级实证，也是回测必须内置真实成本、业绩归因必须区分"信号收益"与"执行损耗"的直接依据。</w:t>
      </w:r>
    </w:p>
    <w:p w14:paraId="06FEE809">
      <w:pPr>
        <w:pStyle w:val="7"/>
        <w:spacing w:line="300" w:lineRule="auto"/>
        <w:ind w:firstLine="420"/>
      </w:pPr>
      <w:r>
        <w:t>需要说明：样例取自系统策略库在同期回测中的正收益代表标的（300750 + 多因子 V5），绝对收益水平并非本节论证目标——本节验证的是“成本是否被正确计入与如实呈现”，两组对比的全部结论只依赖同一信号两套成本参数的差异。</w:t>
      </w:r>
    </w:p>
    <w:p w14:paraId="5B3EF03C">
      <w:pPr>
        <w:pStyle w:val="7"/>
        <w:spacing w:line="300" w:lineRule="auto"/>
        <w:ind w:firstLine="420"/>
      </w:pPr>
      <w:r>
        <w:t>图 6-5 给出两组净值曲线，两条线的间距随交易次数单调拉开，是成本逐笔累积的直观体现：</w:t>
      </w:r>
    </w:p>
    <w:p w14:paraId="1EEF5201">
      <w:pPr>
        <w:pStyle w:val="7"/>
        <w:jc w:val="center"/>
      </w:pPr>
      <w:r>
        <w:drawing>
          <wp:inline distT="0" distB="0" distL="114300" distR="114300">
            <wp:extent cx="5029200" cy="2682240"/>
            <wp:effectExtent l="0" t="0" r="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8"/>
                    <a:stretch>
                      <a:fillRect/>
                    </a:stretch>
                  </pic:blipFill>
                  <pic:spPr>
                    <a:xfrm>
                      <a:off x="0" y="0"/>
                      <a:ext cx="5029200" cy="2682240"/>
                    </a:xfrm>
                    <a:prstGeom prst="rect">
                      <a:avLst/>
                    </a:prstGeom>
                  </pic:spPr>
                </pic:pic>
              </a:graphicData>
            </a:graphic>
          </wp:inline>
        </w:drawing>
      </w:r>
    </w:p>
    <w:p w14:paraId="6F3B342D">
      <w:pPr>
        <w:pStyle w:val="7"/>
        <w:jc w:val="center"/>
      </w:pPr>
      <w:r>
        <w:rPr>
          <w:rFonts w:ascii="Times New Roman" w:hAnsi="Times New Roman" w:eastAsia="宋体"/>
          <w:sz w:val="21"/>
        </w:rPr>
        <w:t>图 6-5　回测净值曲线：成本模型开关对比</w:t>
      </w:r>
    </w:p>
    <w:p w14:paraId="0BA67A3D">
      <w:pPr>
        <w:pStyle w:val="3"/>
      </w:pPr>
      <w:bookmarkStart w:id="57" w:name="_Toc11475"/>
      <w:r>
        <w:t>6.5 质量门禁与持续集成</w:t>
      </w:r>
      <w:bookmarkEnd w:id="57"/>
    </w:p>
    <w:p w14:paraId="21542C5C">
      <w:pPr>
        <w:pStyle w:val="7"/>
        <w:spacing w:line="300" w:lineRule="auto"/>
        <w:ind w:firstLine="420"/>
      </w:pPr>
      <w:r>
        <w:t>平台的"可维护性"不是宣言，而由一组可被机器校验的门禁支撑，其中多处直接对应 4.7、4.8 节的工程底座。</w:t>
      </w:r>
    </w:p>
    <w:p w14:paraId="32156A86">
      <w:pPr>
        <w:pStyle w:val="7"/>
        <w:spacing w:line="300" w:lineRule="auto"/>
        <w:ind w:firstLine="420"/>
      </w:pPr>
      <w:r>
        <w:rPr>
          <w:b/>
        </w:rPr>
        <w:t>后端安全基线回归。</w:t>
      </w:r>
      <w:r>
        <w:t xml:space="preserve"> </w:t>
      </w:r>
      <w:r>
        <w:rPr>
          <w:rFonts w:ascii="Courier New" w:hAnsi="Courier New"/>
        </w:rPr>
        <w:t>backend/tests/test_security.py</w:t>
      </w:r>
      <w:r>
        <w:t xml:space="preserve"> 是一个自研 runner（</w:t>
      </w:r>
      <w:r>
        <w:rPr>
          <w:rFonts w:ascii="Courier New" w:hAnsi="Courier New"/>
        </w:rPr>
        <w:t>run_all()</w:t>
      </w:r>
      <w:r>
        <w:t xml:space="preserve">），定义了 13 项安全断言：登录成功/失败信封结构、错误信息脱敏（响应体不含栈帧）、令牌签发与校验、分页边界、JSON 体健壮性、登录计时枚举等。该脚本以 </w:t>
      </w:r>
      <w:r>
        <w:rPr>
          <w:rFonts w:ascii="Courier New" w:hAnsi="Courier New"/>
        </w:rPr>
        <w:t>python -m backend.tests.test_security</w:t>
      </w:r>
      <w:r>
        <w:t xml:space="preserve"> 方式运行，全部通过方算安全基线成立，从机制上防止"悄悄回退到泄露内部错误"或"放宽鉴权"。</w:t>
      </w:r>
    </w:p>
    <w:p w14:paraId="24880E3B">
      <w:pPr>
        <w:pStyle w:val="7"/>
        <w:spacing w:line="300" w:lineRule="auto"/>
        <w:ind w:firstLine="420"/>
      </w:pPr>
      <w:r>
        <w:rPr>
          <w:b/>
        </w:rPr>
        <w:t>覆盖率门禁。</w:t>
      </w:r>
      <w:r>
        <w:t xml:space="preserve"> </w:t>
      </w:r>
      <w:r>
        <w:rPr>
          <w:rFonts w:ascii="Courier New" w:hAnsi="Courier New"/>
        </w:rPr>
        <w:t>pyproject.toml</w:t>
      </w:r>
      <w:r>
        <w:t xml:space="preserve"> 设 </w:t>
      </w:r>
      <w:r>
        <w:rPr>
          <w:rFonts w:ascii="Courier New" w:hAnsi="Courier New"/>
        </w:rPr>
        <w:t>fail_under = 70</w:t>
      </w:r>
      <w:r>
        <w:t xml:space="preserve">，作为持续集成中的可观测阈值；真网集成测试统一打 </w:t>
      </w:r>
      <w:r>
        <w:rPr>
          <w:rFonts w:ascii="Courier New" w:hAnsi="Courier New"/>
        </w:rPr>
        <w:t>live</w:t>
      </w:r>
      <w:r>
        <w:t xml:space="preserve"> 标记，默认跳过（</w:t>
      </w:r>
      <w:r>
        <w:rPr>
          <w:rFonts w:ascii="Courier New" w:hAnsi="Courier New"/>
        </w:rPr>
        <w:t>OFFLINE_TEST=0</w:t>
      </w:r>
      <w:r>
        <w:t xml:space="preserve"> 显式开启），避免 CI 因外部接口波动而误红。</w:t>
      </w:r>
    </w:p>
    <w:p w14:paraId="47C7847C">
      <w:pPr>
        <w:pStyle w:val="7"/>
        <w:spacing w:line="300" w:lineRule="auto"/>
        <w:ind w:firstLine="420"/>
      </w:pPr>
      <w:r>
        <w:rPr>
          <w:b/>
        </w:rPr>
        <w:t>持续集成。</w:t>
      </w:r>
      <w:r>
        <w:t xml:space="preserve"> </w:t>
      </w:r>
      <w:r>
        <w:rPr>
          <w:rFonts w:ascii="Courier New" w:hAnsi="Courier New"/>
        </w:rPr>
        <w:t>.github/workflows/ci.yml</w:t>
      </w:r>
      <w:r>
        <w:t xml:space="preserve"> 在 Python 3.13 环境下先运行 </w:t>
      </w:r>
      <w:r>
        <w:rPr>
          <w:rFonts w:ascii="Courier New" w:hAnsi="Courier New"/>
        </w:rPr>
        <w:t>python -m backend.tests.test_security</w:t>
      </w:r>
      <w:r>
        <w:t xml:space="preserve">（安全基线回归），再运行 </w:t>
      </w:r>
      <w:r>
        <w:rPr>
          <w:rFonts w:ascii="Courier New" w:hAnsi="Courier New"/>
        </w:rPr>
        <w:t>pytest</w:t>
      </w:r>
      <w:r>
        <w:t xml:space="preserve"> 全量单测。安全基线先于普通单测执行，保证任何合并都不会以"功能过了但安全松了"的方式溜过。</w:t>
      </w:r>
    </w:p>
    <w:p w14:paraId="7465F320">
      <w:pPr>
        <w:pStyle w:val="7"/>
        <w:spacing w:line="300" w:lineRule="auto"/>
        <w:ind w:firstLine="420"/>
      </w:pPr>
      <w:r>
        <w:rPr>
          <w:b/>
        </w:rPr>
        <w:t>AST 守卫作为编译期防护。</w:t>
      </w:r>
      <w:r>
        <w:t xml:space="preserve"> 除 6.1 提到的 </w:t>
      </w:r>
      <w:r>
        <w:rPr>
          <w:rFonts w:ascii="Courier New" w:hAnsi="Courier New"/>
        </w:rPr>
        <w:t>test_daily_snapshot_wiring</w:t>
      </w:r>
      <w:r>
        <w:t xml:space="preserve"> 外，关键不变量也以静态扫描形式固化，使"代码能跑但语义错"的回退在测试执行前就被拦截，而非等到运行时才暴露。</w:t>
      </w:r>
    </w:p>
    <w:p w14:paraId="40DCE4CC">
      <w:pPr>
        <w:pStyle w:val="7"/>
        <w:spacing w:line="300" w:lineRule="auto"/>
        <w:ind w:firstLine="420"/>
      </w:pPr>
      <w:r>
        <w:rPr>
          <w:b/>
        </w:rPr>
        <w:t>可维护性证据。</w:t>
      </w:r>
      <w:r>
        <w:t xml:space="preserve"> 架构债治理模块（单源配置 </w:t>
      </w:r>
      <w:r>
        <w:rPr>
          <w:rFonts w:ascii="Courier New" w:hAnsi="Courier New"/>
        </w:rPr>
        <w:t>site_config</w:t>
      </w:r>
      <w:r>
        <w:t xml:space="preserve">、有界线程池 </w:t>
      </w:r>
      <w:r>
        <w:rPr>
          <w:rFonts w:ascii="Courier New" w:hAnsi="Courier New"/>
        </w:rPr>
        <w:t>timeout_exec._POOL</w:t>
      </w:r>
      <w:r>
        <w:t xml:space="preserve">、统一渲染 </w:t>
      </w:r>
      <w:r>
        <w:rPr>
          <w:rFonts w:ascii="Courier New" w:hAnsi="Courier New"/>
        </w:rPr>
        <w:t>page_utils</w:t>
      </w:r>
      <w:r>
        <w:t xml:space="preserve">、首帧主题注入 </w:t>
      </w:r>
      <w:r>
        <w:rPr>
          <w:rFonts w:ascii="Courier New" w:hAnsi="Courier New"/>
        </w:rPr>
        <w:t>apply_page_config</w:t>
      </w:r>
      <w:r>
        <w:t>）使页面改造与回归测试可复用；2117 个单元测试函数构成回归网，任何逻辑层改动都有对应测试兜底。资源安全方面，有界线程池避免每请求新建池导致线程泄漏，多源降级避免单点数据源故障拖垮前端。</w:t>
      </w:r>
    </w:p>
    <w:p w14:paraId="2327397B">
      <w:pPr>
        <w:pStyle w:val="3"/>
      </w:pPr>
      <w:bookmarkStart w:id="58" w:name="_Toc18113"/>
      <w:r>
        <w:t>6.6 大规模历史广度回测实证（4092 交易日）</w:t>
      </w:r>
      <w:bookmarkEnd w:id="58"/>
    </w:p>
    <w:p w14:paraId="150E7B1C">
      <w:pPr>
        <w:pStyle w:val="7"/>
        <w:spacing w:line="300" w:lineRule="auto"/>
        <w:ind w:firstLine="420"/>
      </w:pPr>
      <w:r>
        <w:t xml:space="preserve">前 6.1–6.5 节基于上线初期的小样本（n=17）验证了决策闭环的功能正确性与校准机制的设计正确性，但样本量不足以刻画策略在长周期上的统计行为。本节用重建的 </w:t>
      </w:r>
      <w:r>
        <w:rPr>
          <w:b/>
        </w:rPr>
        <w:t>4798 个真实交易日</w:t>
      </w:r>
      <w:r>
        <w:t>（2007–2026，其中 2009-11 起方向可评分口径 4092 日）全市场广度历史，对完整决策链路（</w:t>
      </w:r>
      <w:r>
        <w:rPr>
          <w:rFonts w:ascii="Courier New" w:hAnsi="Courier New"/>
        </w:rPr>
        <w:t>locate_cycle</w:t>
      </w:r>
      <w:r>
        <w:t xml:space="preserve"> + </w:t>
      </w:r>
      <w:r>
        <w:rPr>
          <w:rFonts w:ascii="Courier New" w:hAnsi="Courier New"/>
        </w:rPr>
        <w:t>derive_position</w:t>
      </w:r>
      <w:r>
        <w:t>）做大规模历史回测，给出诚实的两类结论。</w:t>
      </w:r>
    </w:p>
    <w:p w14:paraId="33592426">
      <w:pPr>
        <w:pStyle w:val="7"/>
        <w:spacing w:line="300" w:lineRule="auto"/>
        <w:ind w:firstLine="420"/>
      </w:pPr>
      <w:r>
        <w:rPr>
          <w:b/>
        </w:rPr>
        <w:t>数据与方法。</w:t>
      </w:r>
      <w:r>
        <w:t xml:space="preserve"> 数据源 </w:t>
      </w:r>
      <w:r>
        <w:rPr>
          <w:rFonts w:ascii="Courier New" w:hAnsi="Courier New"/>
        </w:rPr>
        <w:t>data/shepherd_history.csv</w:t>
      </w:r>
      <w:r>
        <w:t xml:space="preserve">（4798 行，由 </w:t>
      </w:r>
      <w:r>
        <w:rPr>
          <w:rFonts w:ascii="Courier New" w:hAnsi="Courier New"/>
        </w:rPr>
        <w:t>modules/shepherd_reconstruct</w:t>
      </w:r>
      <w:r>
        <w:t xml:space="preserve"> 重建，离线可复现、防覆盖双备份）。回测脚本 </w:t>
      </w:r>
      <w:r>
        <w:rPr>
          <w:rFonts w:ascii="Courier New" w:hAnsi="Courier New"/>
        </w:rPr>
        <w:t>scripts/backtest_decision_closure.py</w:t>
      </w:r>
      <w:r>
        <w:t xml:space="preserve"> 逐日调用与生产一致的 </w:t>
      </w:r>
      <w:r>
        <w:rPr>
          <w:rFonts w:ascii="Courier New" w:hAnsi="Courier New"/>
        </w:rPr>
        <w:t>locate_cycle</w:t>
      </w:r>
      <w:r>
        <w:t xml:space="preserve"> 与 </w:t>
      </w:r>
      <w:r>
        <w:rPr>
          <w:rFonts w:ascii="Courier New" w:hAnsi="Courier New"/>
        </w:rPr>
        <w:t>derive_position</w:t>
      </w:r>
      <w:r>
        <w:t xml:space="preserve">，以同日红盘率代理温度、以广度推导代理方向偏置、次日方向取下一交易日个股中位数涨跌幅符号，零前视。可评分交易日 </w:t>
      </w:r>
      <w:r>
        <w:rPr>
          <w:b/>
        </w:rPr>
        <w:t>n = 4092</w:t>
      </w:r>
      <w:r>
        <w:t>。</w:t>
      </w:r>
    </w:p>
    <w:p w14:paraId="6826007C">
      <w:pPr>
        <w:pStyle w:val="7"/>
        <w:spacing w:line="300" w:lineRule="auto"/>
        <w:ind w:firstLine="420"/>
      </w:pPr>
      <w:r>
        <w:rPr>
          <w:b/>
        </w:rPr>
        <w:t>命题一：方向预测能力 ≈ 随机（诚实负向结论）。</w:t>
      </w:r>
      <w:r>
        <w:t xml:space="preserve"> 全链路次日方向命中率 </w:t>
      </w:r>
      <w:r>
        <w:rPr>
          <w:b/>
        </w:rPr>
        <w:t>49.1%（1722/3507）</w:t>
      </w:r>
      <w:r>
        <w:t>，与随机猜想无统计差异。这与有效市场下日频方向近似随机游走的研究共识（见第 2 章）一致，也界定了系统的能力边界——它</w:t>
      </w:r>
      <w:r>
        <w:rPr>
          <w:b/>
        </w:rPr>
        <w:t>不宣称预测次日涨跌</w:t>
      </w:r>
      <w:r>
        <w:t>，而是把有限的可预测性配置在更稳健的"仓位刻度"维度。</w:t>
      </w:r>
    </w:p>
    <w:p w14:paraId="507A7114">
      <w:pPr>
        <w:pStyle w:val="7"/>
        <w:spacing w:line="300" w:lineRule="auto"/>
        <w:ind w:firstLine="420"/>
      </w:pPr>
      <w:r>
        <w:rPr>
          <w:b/>
        </w:rPr>
        <w:t>口径说明（平盘日如何处理）。</w:t>
      </w:r>
      <w:r>
        <w:t xml:space="preserve"> 方向判定采用三态口径：次日个股中位数涨跌幅 &gt; 0 记为看多、&lt; 0 记为看空、</w:t>
      </w:r>
      <w:r>
        <w:rPr>
          <w:b/>
        </w:rPr>
        <w:t>恰为 0.00 视为“无方向信息”，不计入命中率分母</w:t>
      </w:r>
      <w:r>
        <w:t xml:space="preserve">（与“中性预测不判命中”一致）。该规则源于实证复核中发现的真实缺陷：初版实现把平盘并入“下跌”，使偏空预测在平盘日白拿命中、偏多预测反被罚（4093 个评分日中平盘 177 天，占 4.32%）。修正后命中率由 49.3%（1806/3667）变为 </w:t>
      </w:r>
      <w:r>
        <w:rPr>
          <w:b/>
        </w:rPr>
        <w:t>49.1%（1722/3507）</w:t>
      </w:r>
      <w:r>
        <w:t>，即旧口径多计 84 次命中、160 个可判方向样本；分组统计同步回归无偏（如防守期 48.3% → 47.8%）。修正不改变“方向 ≈ 随机”的结论方向，但避免了把“无信息日”当作“看错”而系统性偏袒空方。</w:t>
      </w:r>
    </w:p>
    <w:p w14:paraId="74051941">
      <w:pPr>
        <w:pStyle w:val="7"/>
        <w:spacing w:line="300" w:lineRule="auto"/>
        <w:ind w:firstLine="420"/>
      </w:pPr>
      <w:r>
        <w:rPr>
          <w:b/>
        </w:rPr>
        <w:t>命题二：仓位刻度随情绪周期显著分化（正向发现）。</w:t>
      </w:r>
      <w:r>
        <w:t xml:space="preserve"> 仓位建议随情绪周期系统性分化，证明闭环是一台"市场状态驱动的风险缩放器"而非"每日方向预言机"：</w:t>
      </w:r>
    </w:p>
    <w:p w14:paraId="4F69747D">
      <w:pPr>
        <w:pStyle w:val="7"/>
        <w:spacing w:line="300" w:lineRule="auto"/>
        <w:ind w:firstLine="420"/>
      </w:pPr>
      <w:r>
        <w:rPr>
          <w:b/>
        </w:rPr>
        <w:t>表 6-3　各情绪周期下平均建议仓位（4092 交易日回测）</w:t>
      </w:r>
    </w:p>
    <w:p w14:paraId="7996EC77"/>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F9FEF83">
        <w:tblPrEx>
          <w:tblCellMar>
            <w:top w:w="0" w:type="dxa"/>
            <w:left w:w="108" w:type="dxa"/>
            <w:bottom w:w="0" w:type="dxa"/>
            <w:right w:w="108" w:type="dxa"/>
          </w:tblCellMar>
        </w:tblPrEx>
        <w:tc>
          <w:tcPr>
            <w:tcW w:w="2310" w:type="dxa"/>
          </w:tcPr>
          <w:p w14:paraId="5B972127">
            <w:r>
              <w:rPr>
                <w:rFonts w:ascii="Times New Roman" w:hAnsi="Times New Roman" w:eastAsia="宋体"/>
                <w:sz w:val="21"/>
              </w:rPr>
              <w:t>情绪周期</w:t>
            </w:r>
          </w:p>
        </w:tc>
        <w:tc>
          <w:tcPr>
            <w:tcW w:w="2310" w:type="dxa"/>
          </w:tcPr>
          <w:p w14:paraId="655145DD">
            <w:r>
              <w:rPr>
                <w:rFonts w:ascii="Times New Roman" w:hAnsi="Times New Roman" w:eastAsia="宋体"/>
                <w:sz w:val="21"/>
              </w:rPr>
              <w:t>n</w:t>
            </w:r>
          </w:p>
        </w:tc>
        <w:tc>
          <w:tcPr>
            <w:tcW w:w="2310" w:type="dxa"/>
          </w:tcPr>
          <w:p w14:paraId="2F01022A">
            <w:r>
              <w:rPr>
                <w:rFonts w:ascii="Times New Roman" w:hAnsi="Times New Roman" w:eastAsia="宋体"/>
                <w:sz w:val="21"/>
              </w:rPr>
              <w:t>平均建议仓位 avg_pct</w:t>
            </w:r>
          </w:p>
        </w:tc>
        <w:tc>
          <w:tcPr>
            <w:tcW w:w="2310" w:type="dxa"/>
          </w:tcPr>
          <w:p w14:paraId="15524356">
            <w:r>
              <w:rPr>
                <w:rFonts w:ascii="Times New Roman" w:hAnsi="Times New Roman" w:eastAsia="宋体"/>
                <w:sz w:val="21"/>
              </w:rPr>
              <w:t>语义</w:t>
            </w:r>
          </w:p>
        </w:tc>
      </w:tr>
      <w:tr w14:paraId="3E52EEA7">
        <w:tblPrEx>
          <w:tblCellMar>
            <w:top w:w="0" w:type="dxa"/>
            <w:left w:w="108" w:type="dxa"/>
            <w:bottom w:w="0" w:type="dxa"/>
            <w:right w:w="108" w:type="dxa"/>
          </w:tblCellMar>
        </w:tblPrEx>
        <w:tc>
          <w:tcPr>
            <w:tcW w:w="2310" w:type="dxa"/>
          </w:tcPr>
          <w:p w14:paraId="3C857042">
            <w:r>
              <w:rPr>
                <w:rFonts w:ascii="Times New Roman" w:hAnsi="Times New Roman" w:eastAsia="宋体"/>
                <w:sz w:val="21"/>
              </w:rPr>
              <w:t>冰点</w:t>
            </w:r>
          </w:p>
        </w:tc>
        <w:tc>
          <w:tcPr>
            <w:tcW w:w="2310" w:type="dxa"/>
          </w:tcPr>
          <w:p w14:paraId="5D07A51C">
            <w:r>
              <w:rPr>
                <w:rFonts w:ascii="Times New Roman" w:hAnsi="Times New Roman" w:eastAsia="宋体"/>
                <w:sz w:val="21"/>
              </w:rPr>
              <w:t>7</w:t>
            </w:r>
          </w:p>
        </w:tc>
        <w:tc>
          <w:tcPr>
            <w:tcW w:w="2310" w:type="dxa"/>
          </w:tcPr>
          <w:p w14:paraId="5383A2B1">
            <w:r>
              <w:rPr>
                <w:rFonts w:ascii="Times New Roman" w:hAnsi="Times New Roman" w:eastAsia="宋体"/>
                <w:sz w:val="21"/>
              </w:rPr>
              <w:t>5.0</w:t>
            </w:r>
          </w:p>
        </w:tc>
        <w:tc>
          <w:tcPr>
            <w:tcW w:w="2310" w:type="dxa"/>
          </w:tcPr>
          <w:p w14:paraId="4AC02E6C">
            <w:r>
              <w:rPr>
                <w:rFonts w:ascii="Times New Roman" w:hAnsi="Times New Roman" w:eastAsia="宋体"/>
                <w:sz w:val="21"/>
              </w:rPr>
              <w:t>极端风控封底</w:t>
            </w:r>
          </w:p>
        </w:tc>
      </w:tr>
      <w:tr w14:paraId="398BCCB0">
        <w:tblPrEx>
          <w:tblCellMar>
            <w:top w:w="0" w:type="dxa"/>
            <w:left w:w="108" w:type="dxa"/>
            <w:bottom w:w="0" w:type="dxa"/>
            <w:right w:w="108" w:type="dxa"/>
          </w:tblCellMar>
        </w:tblPrEx>
        <w:tc>
          <w:tcPr>
            <w:tcW w:w="2310" w:type="dxa"/>
          </w:tcPr>
          <w:p w14:paraId="6AAD965B">
            <w:r>
              <w:rPr>
                <w:rFonts w:ascii="Times New Roman" w:hAnsi="Times New Roman" w:eastAsia="宋体"/>
                <w:sz w:val="21"/>
              </w:rPr>
              <w:t>修复试探</w:t>
            </w:r>
          </w:p>
        </w:tc>
        <w:tc>
          <w:tcPr>
            <w:tcW w:w="2310" w:type="dxa"/>
          </w:tcPr>
          <w:p w14:paraId="5D15A1AB">
            <w:r>
              <w:rPr>
                <w:rFonts w:ascii="Times New Roman" w:hAnsi="Times New Roman" w:eastAsia="宋体"/>
                <w:sz w:val="21"/>
              </w:rPr>
              <w:t>2990</w:t>
            </w:r>
          </w:p>
        </w:tc>
        <w:tc>
          <w:tcPr>
            <w:tcW w:w="2310" w:type="dxa"/>
          </w:tcPr>
          <w:p w14:paraId="1480A071">
            <w:r>
              <w:rPr>
                <w:rFonts w:ascii="Times New Roman" w:hAnsi="Times New Roman" w:eastAsia="宋体"/>
                <w:sz w:val="21"/>
              </w:rPr>
              <w:t>50.6</w:t>
            </w:r>
          </w:p>
        </w:tc>
        <w:tc>
          <w:tcPr>
            <w:tcW w:w="2310" w:type="dxa"/>
          </w:tcPr>
          <w:p w14:paraId="68B9C649">
            <w:r>
              <w:rPr>
                <w:rFonts w:ascii="Times New Roman" w:hAnsi="Times New Roman" w:eastAsia="宋体"/>
                <w:sz w:val="21"/>
              </w:rPr>
              <w:t>方向未明，观测为主</w:t>
            </w:r>
          </w:p>
        </w:tc>
      </w:tr>
      <w:tr w14:paraId="432A54EB">
        <w:tblPrEx>
          <w:tblCellMar>
            <w:top w:w="0" w:type="dxa"/>
            <w:left w:w="108" w:type="dxa"/>
            <w:bottom w:w="0" w:type="dxa"/>
            <w:right w:w="108" w:type="dxa"/>
          </w:tblCellMar>
        </w:tblPrEx>
        <w:tc>
          <w:tcPr>
            <w:tcW w:w="2310" w:type="dxa"/>
          </w:tcPr>
          <w:p w14:paraId="3A168A6B">
            <w:r>
              <w:rPr>
                <w:rFonts w:ascii="Times New Roman" w:hAnsi="Times New Roman" w:eastAsia="宋体"/>
                <w:sz w:val="21"/>
              </w:rPr>
              <w:t>修复确认</w:t>
            </w:r>
          </w:p>
        </w:tc>
        <w:tc>
          <w:tcPr>
            <w:tcW w:w="2310" w:type="dxa"/>
          </w:tcPr>
          <w:p w14:paraId="58C66E2C">
            <w:r>
              <w:rPr>
                <w:rFonts w:ascii="Times New Roman" w:hAnsi="Times New Roman" w:eastAsia="宋体"/>
                <w:sz w:val="21"/>
              </w:rPr>
              <w:t>421</w:t>
            </w:r>
          </w:p>
        </w:tc>
        <w:tc>
          <w:tcPr>
            <w:tcW w:w="2310" w:type="dxa"/>
          </w:tcPr>
          <w:p w14:paraId="351657B9">
            <w:r>
              <w:rPr>
                <w:rFonts w:ascii="Times New Roman" w:hAnsi="Times New Roman" w:eastAsia="宋体"/>
                <w:sz w:val="21"/>
              </w:rPr>
              <w:t>59.7</w:t>
            </w:r>
          </w:p>
        </w:tc>
        <w:tc>
          <w:tcPr>
            <w:tcW w:w="2310" w:type="dxa"/>
          </w:tcPr>
          <w:p w14:paraId="71FDADBB">
            <w:r>
              <w:rPr>
                <w:rFonts w:ascii="Times New Roman" w:hAnsi="Times New Roman" w:eastAsia="宋体"/>
                <w:sz w:val="21"/>
              </w:rPr>
              <w:t>右侧拐点，顺势加</w:t>
            </w:r>
          </w:p>
        </w:tc>
      </w:tr>
      <w:tr w14:paraId="4C983BD8">
        <w:tblPrEx>
          <w:tblCellMar>
            <w:top w:w="0" w:type="dxa"/>
            <w:left w:w="108" w:type="dxa"/>
            <w:bottom w:w="0" w:type="dxa"/>
            <w:right w:w="108" w:type="dxa"/>
          </w:tblCellMar>
        </w:tblPrEx>
        <w:tc>
          <w:tcPr>
            <w:tcW w:w="2310" w:type="dxa"/>
          </w:tcPr>
          <w:p w14:paraId="6FC91980">
            <w:r>
              <w:rPr>
                <w:rFonts w:ascii="Times New Roman" w:hAnsi="Times New Roman" w:eastAsia="宋体"/>
                <w:sz w:val="21"/>
              </w:rPr>
              <w:t>主升高潮</w:t>
            </w:r>
          </w:p>
        </w:tc>
        <w:tc>
          <w:tcPr>
            <w:tcW w:w="2310" w:type="dxa"/>
          </w:tcPr>
          <w:p w14:paraId="7ADA94C5">
            <w:r>
              <w:rPr>
                <w:rFonts w:ascii="Times New Roman" w:hAnsi="Times New Roman" w:eastAsia="宋体"/>
                <w:sz w:val="21"/>
              </w:rPr>
              <w:t>293</w:t>
            </w:r>
          </w:p>
        </w:tc>
        <w:tc>
          <w:tcPr>
            <w:tcW w:w="2310" w:type="dxa"/>
          </w:tcPr>
          <w:p w14:paraId="405808AA">
            <w:r>
              <w:rPr>
                <w:rFonts w:ascii="Times New Roman" w:hAnsi="Times New Roman" w:eastAsia="宋体"/>
                <w:sz w:val="21"/>
              </w:rPr>
              <w:t>55.2</w:t>
            </w:r>
          </w:p>
        </w:tc>
        <w:tc>
          <w:tcPr>
            <w:tcW w:w="2310" w:type="dxa"/>
          </w:tcPr>
          <w:p w14:paraId="61CB8A67">
            <w:r>
              <w:rPr>
                <w:rFonts w:ascii="Times New Roman" w:hAnsi="Times New Roman" w:eastAsia="宋体"/>
                <w:sz w:val="21"/>
              </w:rPr>
              <w:t>趋势最一致</w:t>
            </w:r>
          </w:p>
        </w:tc>
      </w:tr>
      <w:tr w14:paraId="25406218">
        <w:tblPrEx>
          <w:tblCellMar>
            <w:top w:w="0" w:type="dxa"/>
            <w:left w:w="108" w:type="dxa"/>
            <w:bottom w:w="0" w:type="dxa"/>
            <w:right w:w="108" w:type="dxa"/>
          </w:tblCellMar>
        </w:tblPrEx>
        <w:tc>
          <w:tcPr>
            <w:tcW w:w="2310" w:type="dxa"/>
          </w:tcPr>
          <w:p w14:paraId="71B280B4">
            <w:r>
              <w:rPr>
                <w:rFonts w:ascii="Times New Roman" w:hAnsi="Times New Roman" w:eastAsia="宋体"/>
                <w:sz w:val="21"/>
              </w:rPr>
              <w:t>高潮分化</w:t>
            </w:r>
          </w:p>
        </w:tc>
        <w:tc>
          <w:tcPr>
            <w:tcW w:w="2310" w:type="dxa"/>
          </w:tcPr>
          <w:p w14:paraId="46F26231">
            <w:r>
              <w:rPr>
                <w:rFonts w:ascii="Times New Roman" w:hAnsi="Times New Roman" w:eastAsia="宋体"/>
                <w:sz w:val="21"/>
              </w:rPr>
              <w:t>1</w:t>
            </w:r>
          </w:p>
        </w:tc>
        <w:tc>
          <w:tcPr>
            <w:tcW w:w="2310" w:type="dxa"/>
          </w:tcPr>
          <w:p w14:paraId="43667E96">
            <w:r>
              <w:rPr>
                <w:rFonts w:ascii="Times New Roman" w:hAnsi="Times New Roman" w:eastAsia="宋体"/>
                <w:sz w:val="21"/>
              </w:rPr>
              <w:t>95.0</w:t>
            </w:r>
          </w:p>
        </w:tc>
        <w:tc>
          <w:tcPr>
            <w:tcW w:w="2310" w:type="dxa"/>
          </w:tcPr>
          <w:p w14:paraId="3DDF18F5">
            <w:r>
              <w:rPr>
                <w:rFonts w:ascii="Times New Roman" w:hAnsi="Times New Roman" w:eastAsia="宋体"/>
                <w:sz w:val="21"/>
              </w:rPr>
              <w:t>一致预期末端（n=1 噪声）</w:t>
            </w:r>
          </w:p>
        </w:tc>
      </w:tr>
      <w:tr w14:paraId="0EBC151E">
        <w:tblPrEx>
          <w:tblCellMar>
            <w:top w:w="0" w:type="dxa"/>
            <w:left w:w="108" w:type="dxa"/>
            <w:bottom w:w="0" w:type="dxa"/>
            <w:right w:w="108" w:type="dxa"/>
          </w:tblCellMar>
        </w:tblPrEx>
        <w:tc>
          <w:tcPr>
            <w:tcW w:w="2310" w:type="dxa"/>
          </w:tcPr>
          <w:p w14:paraId="1D7A7598">
            <w:r>
              <w:rPr>
                <w:rFonts w:ascii="Times New Roman" w:hAnsi="Times New Roman" w:eastAsia="宋体"/>
                <w:sz w:val="21"/>
              </w:rPr>
              <w:t>退潮</w:t>
            </w:r>
          </w:p>
        </w:tc>
        <w:tc>
          <w:tcPr>
            <w:tcW w:w="2310" w:type="dxa"/>
          </w:tcPr>
          <w:p w14:paraId="52E4295A">
            <w:r>
              <w:rPr>
                <w:rFonts w:ascii="Times New Roman" w:hAnsi="Times New Roman" w:eastAsia="宋体"/>
                <w:sz w:val="21"/>
              </w:rPr>
              <w:t>380</w:t>
            </w:r>
          </w:p>
        </w:tc>
        <w:tc>
          <w:tcPr>
            <w:tcW w:w="2310" w:type="dxa"/>
          </w:tcPr>
          <w:p w14:paraId="6E5040C4">
            <w:r>
              <w:rPr>
                <w:rFonts w:ascii="Times New Roman" w:hAnsi="Times New Roman" w:eastAsia="宋体"/>
                <w:sz w:val="21"/>
              </w:rPr>
              <w:t>35.0</w:t>
            </w:r>
          </w:p>
        </w:tc>
        <w:tc>
          <w:tcPr>
            <w:tcW w:w="2310" w:type="dxa"/>
          </w:tcPr>
          <w:p w14:paraId="2F712188">
            <w:r>
              <w:rPr>
                <w:rFonts w:ascii="Times New Roman" w:hAnsi="Times New Roman" w:eastAsia="宋体"/>
                <w:sz w:val="21"/>
              </w:rPr>
              <w:t>亏钱效应扩散，防守</w:t>
            </w:r>
          </w:p>
        </w:tc>
      </w:tr>
    </w:tbl>
    <w:p w14:paraId="5D36B12F">
      <w:pPr>
        <w:pStyle w:val="7"/>
        <w:spacing w:line="300" w:lineRule="auto"/>
        <w:ind w:firstLine="420"/>
      </w:pPr>
      <w:r>
        <w:t>按四大战术分组聚合，进攻期平均 57.8% / 修复期 50.5% / 防守期 35.0%，</w:t>
      </w:r>
      <w:r>
        <w:rPr>
          <w:b/>
        </w:rPr>
        <w:t>价差 22.8 个百分点</w:t>
      </w:r>
      <w:r>
        <w:t>，单调且符合"进攻多扛、防守收缩"的预期。</w:t>
      </w:r>
    </w:p>
    <w:p w14:paraId="650D0FAE">
      <w:pPr>
        <w:pStyle w:val="7"/>
        <w:spacing w:line="300" w:lineRule="auto"/>
        <w:ind w:firstLine="420"/>
      </w:pPr>
      <w:r>
        <w:t>图 6-6 给出 4798 个交易日的广度历史走势（红盘率与涨跌家数），是上述回测的数据基座（其中 2009-11 起方向可评分口径 4092 日）；图 6-7 给出分阶段决策命中率随时间的趋势，直观呈现方向命中在长周期上围绕 50% 波动、无稳定超额 edge。</w:t>
      </w:r>
    </w:p>
    <w:p w14:paraId="50136722">
      <w:pPr>
        <w:pStyle w:val="7"/>
        <w:jc w:val="center"/>
      </w:pPr>
      <w:r>
        <w:drawing>
          <wp:inline distT="0" distB="0" distL="114300" distR="114300">
            <wp:extent cx="5029200" cy="35921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
                    <a:stretch>
                      <a:fillRect/>
                    </a:stretch>
                  </pic:blipFill>
                  <pic:spPr>
                    <a:xfrm>
                      <a:off x="0" y="0"/>
                      <a:ext cx="5029200" cy="3592286"/>
                    </a:xfrm>
                    <a:prstGeom prst="rect">
                      <a:avLst/>
                    </a:prstGeom>
                  </pic:spPr>
                </pic:pic>
              </a:graphicData>
            </a:graphic>
          </wp:inline>
        </w:drawing>
      </w:r>
    </w:p>
    <w:p w14:paraId="53B0748B">
      <w:pPr>
        <w:pStyle w:val="7"/>
        <w:jc w:val="center"/>
      </w:pPr>
      <w:r>
        <w:rPr>
          <w:rFonts w:ascii="Times New Roman" w:hAnsi="Times New Roman" w:eastAsia="宋体"/>
          <w:sz w:val="21"/>
        </w:rPr>
        <w:t>图 6-6　全市场广度历史（4798 交易日）</w:t>
      </w:r>
    </w:p>
    <w:p w14:paraId="48D6B1D4">
      <w:pPr>
        <w:pStyle w:val="7"/>
        <w:jc w:val="center"/>
      </w:pPr>
      <w:r>
        <w:drawing>
          <wp:inline distT="0" distB="0" distL="114300" distR="114300">
            <wp:extent cx="5029200" cy="35921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
                    <a:stretch>
                      <a:fillRect/>
                    </a:stretch>
                  </pic:blipFill>
                  <pic:spPr>
                    <a:xfrm>
                      <a:off x="0" y="0"/>
                      <a:ext cx="5029200" cy="3592286"/>
                    </a:xfrm>
                    <a:prstGeom prst="rect">
                      <a:avLst/>
                    </a:prstGeom>
                  </pic:spPr>
                </pic:pic>
              </a:graphicData>
            </a:graphic>
          </wp:inline>
        </w:drawing>
      </w:r>
    </w:p>
    <w:p w14:paraId="3C789941">
      <w:pPr>
        <w:pStyle w:val="7"/>
        <w:jc w:val="center"/>
      </w:pPr>
      <w:r>
        <w:rPr>
          <w:rFonts w:ascii="Times New Roman" w:hAnsi="Times New Roman" w:eastAsia="宋体"/>
          <w:sz w:val="21"/>
        </w:rPr>
        <w:t>图 6-7　分阶段决策命中率趋势（围绕 50% 波动）</w:t>
      </w:r>
    </w:p>
    <w:p w14:paraId="2BCB9664">
      <w:pPr>
        <w:pStyle w:val="7"/>
        <w:spacing w:line="300" w:lineRule="auto"/>
        <w:ind w:firstLine="420"/>
      </w:pPr>
      <w:r>
        <w:rPr>
          <w:b/>
        </w:rPr>
        <w:t>刻度校准演示。</w:t>
      </w:r>
      <w:r>
        <w:t xml:space="preserve"> 用回测分组统计驱动 </w:t>
      </w:r>
      <w:r>
        <w:rPr>
          <w:rFonts w:ascii="Courier New" w:hAnsi="Courier New"/>
        </w:rPr>
        <w:t>calibration.py</w:t>
      </w:r>
      <w:r>
        <w:t xml:space="preserve"> 公式 </w:t>
      </w:r>
      <w:r>
        <w:rPr>
          <w:rFonts w:ascii="Courier New" w:hAnsi="Courier New"/>
        </w:rPr>
        <w:t>sug_delta = clamp(round(2.0 × avg_realized), ±5)</w:t>
      </w:r>
      <w:r>
        <w:t xml:space="preserve">，四大战术分组建议调节量均 ≤ 1 点（进攻期 −1、修复期 0、防守期 0；分化期 −5 但 n_call=1 被 </w:t>
      </w:r>
      <w:r>
        <w:rPr>
          <w:rFonts w:ascii="Courier New" w:hAnsi="Courier New"/>
        </w:rPr>
        <w:t>STRONG_SAMPLES=20</w:t>
      </w:r>
      <w:r>
        <w:t xml:space="preserve"> 硬性拦截），</w:t>
      </w:r>
      <w:r>
        <w:rPr>
          <w:b/>
        </w:rPr>
        <w:t>全部 actionable=False</w:t>
      </w:r>
      <w:r>
        <w:t xml:space="preserve">。这说明原有 </w:t>
      </w:r>
      <w:r>
        <w:rPr>
          <w:rFonts w:ascii="Courier New" w:hAnsi="Courier New"/>
        </w:rPr>
        <w:t>CYCLE_ADJ</w:t>
      </w:r>
      <w:r>
        <w:t xml:space="preserve"> 经验常数在统计意义上基本合理，且校准机制在噪音阈值内正确"不动"、小样本被护栏阻断过拟合——与命题一（方向≈随机）自洽。</w:t>
      </w:r>
    </w:p>
    <w:p w14:paraId="26758D8F">
      <w:pPr>
        <w:pStyle w:val="7"/>
        <w:spacing w:line="300" w:lineRule="auto"/>
        <w:ind w:firstLine="420"/>
      </w:pPr>
      <w:r>
        <w:rPr>
          <w:b/>
        </w:rPr>
        <w:t>小结。</w:t>
      </w:r>
      <w:r>
        <w:t xml:space="preserve"> 本节把第 5 章的"可解释 + 可自纠偏"设计落到 4092 天真实数据上：方向不可预测被如实量化，而仓位刻度随周期分化的 22.8pt 价差则证明闭环的真实价值在于"择时仓位缩放"而非"方向博弈"。所有数字由 </w:t>
      </w:r>
      <w:r>
        <w:rPr>
          <w:rFonts w:ascii="Courier New" w:hAnsi="Courier New"/>
        </w:rPr>
        <w:t>backtest_decision_closure.py</w:t>
      </w:r>
      <w:r>
        <w:t xml:space="preserve"> 实算、可复现。</w:t>
      </w:r>
    </w:p>
    <w:p w14:paraId="358BBA7F">
      <w:pPr>
        <w:pStyle w:val="3"/>
      </w:pPr>
      <w:bookmarkStart w:id="59" w:name="_Toc21785"/>
      <w:r>
        <w:t>6.7 本章小结</w:t>
      </w:r>
      <w:bookmarkEnd w:id="59"/>
    </w:p>
    <w:p w14:paraId="643916A4">
      <w:pPr>
        <w:pStyle w:val="7"/>
        <w:spacing w:line="300" w:lineRule="auto"/>
        <w:ind w:firstLine="420"/>
      </w:pPr>
      <w:r>
        <w:t xml:space="preserve">第 6 章以真实运行数据与大规模历史回测证明：决策闭环功能正确（clamp 通过、预测可追踪）、刻度校准机制按设计在小样本下如实沉默（不编造命中率）、在 4092 交易日大规模回测中方向命中≈随机（49.1%，平盘日按“无方向信息”剔除）而仓位刻度随周期显著分化（22.8pt 价差）、回测成本模型真实扣除、平台具备可维护的架构治理。测试体系覆盖前端冒烟、2117 个逻辑单测、数据隔离与 AST 守卫，安全基线 13/13 与覆盖率门禁由 CI 持续校验。所有数字可经 </w:t>
      </w:r>
      <w:r>
        <w:rPr>
          <w:rFonts w:ascii="Courier New" w:hAnsi="Courier New"/>
        </w:rPr>
        <w:t>eval_ch6.py</w:t>
      </w:r>
      <w:r>
        <w:t>、</w:t>
      </w:r>
      <w:r>
        <w:rPr>
          <w:rFonts w:ascii="Courier New" w:hAnsi="Courier New"/>
        </w:rPr>
        <w:t>scripts/backtest_decision_closure.py</w:t>
      </w:r>
      <w:r>
        <w:t xml:space="preserve"> 与对应测试脚本复现。</w:t>
      </w:r>
    </w:p>
    <w:p w14:paraId="13F2FDDA">
      <w:pPr>
        <w:pStyle w:val="2"/>
      </w:pPr>
      <w:bookmarkStart w:id="60" w:name="_Toc14296"/>
      <w:r>
        <w:t>7 结论与展望</w:t>
      </w:r>
      <w:bookmarkEnd w:id="60"/>
    </w:p>
    <w:p w14:paraId="12FD81B1">
      <w:pPr>
        <w:pStyle w:val="3"/>
      </w:pPr>
      <w:bookmarkStart w:id="61" w:name="_Toc16308"/>
      <w:r>
        <w:t>7.1 工作总结</w:t>
      </w:r>
      <w:bookmarkEnd w:id="61"/>
    </w:p>
    <w:p w14:paraId="41BF67CC">
      <w:pPr>
        <w:pStyle w:val="7"/>
        <w:spacing w:line="300" w:lineRule="auto"/>
        <w:ind w:firstLine="420"/>
      </w:pPr>
      <w:r>
        <w:t>本文围绕"个人投资者缺乏可解释、可自纠偏的仓位决策框架"这一现实问题，完成了一项事件驱动的 A 股投研平台及其决策创新点：</w:t>
      </w:r>
    </w:p>
    <w:p w14:paraId="7D5C2404">
      <w:pPr>
        <w:pStyle w:val="7"/>
        <w:spacing w:line="300" w:lineRule="auto"/>
        <w:ind w:firstLine="420"/>
      </w:pPr>
      <w:r>
        <w:t xml:space="preserve">1. </w:t>
      </w:r>
      <w:r>
        <w:rPr>
          <w:b/>
        </w:rPr>
        <w:t>平台层（软件工程主线）</w:t>
      </w:r>
      <w:r>
        <w:t>：构建了"前端多页应用 + Flask 工厂后端 + 逻辑层 + SQLite 数据层"的四层事件驱动投研平台，覆盖行情看板、事件追踪、板块详情、策略回测（含真实成本模型）、持仓管理与多源数据治理。逻辑层 56 个模块不依赖 UI 框架，配合共享有界线程池、五级降级链、统一 JSON 信封与 HS256 鉴权安全基线，验证了分层解耦、并发韧性与安全可测的工程可行性（第 3、4 章）。</w:t>
      </w:r>
    </w:p>
    <w:p w14:paraId="5C8722A5">
      <w:pPr>
        <w:pStyle w:val="7"/>
        <w:spacing w:line="300" w:lineRule="auto"/>
        <w:ind w:firstLine="420"/>
      </w:pPr>
      <w:r>
        <w:t xml:space="preserve">2. </w:t>
      </w:r>
      <w:r>
        <w:rPr>
          <w:b/>
        </w:rPr>
        <w:t>创新层——决策闭环</w:t>
      </w:r>
      <w:r>
        <w:t xml:space="preserve">：以 </w:t>
      </w:r>
      <w:r>
        <w:rPr>
          <w:rFonts w:ascii="Courier New" w:hAnsi="Courier New"/>
        </w:rPr>
        <w:t>derive_position</w:t>
      </w:r>
      <w:r>
        <w:t xml:space="preserve"> 为单一实现入口，将温度/方向/周期/晋级率/事件催化四维输入显式推导为 5%~95% 的仓位，并逐条输出 </w:t>
      </w:r>
      <w:r>
        <w:rPr>
          <w:rFonts w:ascii="Courier New" w:hAnsi="Courier New"/>
        </w:rPr>
        <w:t>reasons</w:t>
      </w:r>
      <w:r>
        <w:t xml:space="preserve"> 实现</w:t>
      </w:r>
      <w:r>
        <w:rPr>
          <w:b/>
        </w:rPr>
        <w:t>可解释</w:t>
      </w:r>
      <w:r>
        <w:t>，辅以极端行情与数据新鲜度守卫保证</w:t>
      </w:r>
      <w:r>
        <w:rPr>
          <w:b/>
        </w:rPr>
        <w:t>诚实</w:t>
      </w:r>
      <w:r>
        <w:t>，落盘归档保证</w:t>
      </w:r>
      <w:r>
        <w:rPr>
          <w:b/>
        </w:rPr>
        <w:t>可回溯</w:t>
      </w:r>
      <w:r>
        <w:t>（第 5.2 章）。</w:t>
      </w:r>
    </w:p>
    <w:p w14:paraId="64FD91DF">
      <w:pPr>
        <w:pStyle w:val="7"/>
        <w:spacing w:line="300" w:lineRule="auto"/>
        <w:ind w:firstLine="420"/>
      </w:pPr>
      <w:r>
        <w:t xml:space="preserve">3. </w:t>
      </w:r>
      <w:r>
        <w:rPr>
          <w:b/>
        </w:rPr>
        <w:t>创新层——刻度校准</w:t>
      </w:r>
      <w:r>
        <w:t xml:space="preserve">：以模块级 </w:t>
      </w:r>
      <w:r>
        <w:rPr>
          <w:rFonts w:ascii="Courier New" w:hAnsi="Courier New"/>
        </w:rPr>
        <w:t>CYCLE_ADJ</w:t>
      </w:r>
      <w:r>
        <w:t xml:space="preserve"> 为校准变量，用历史回测反推有界建议量，并以三条铁律（只建议不写文件 / 有界 ±5 / 小样本不表态）+ 带护栏的落地机制，实现</w:t>
      </w:r>
      <w:r>
        <w:rPr>
          <w:b/>
        </w:rPr>
        <w:t>可自纠偏而不靠小样本过拟合</w:t>
      </w:r>
      <w:r>
        <w:t>（第 5.3 章）。</w:t>
      </w:r>
    </w:p>
    <w:p w14:paraId="752771DB">
      <w:pPr>
        <w:pStyle w:val="7"/>
        <w:spacing w:line="300" w:lineRule="auto"/>
        <w:ind w:firstLine="420"/>
      </w:pPr>
      <w:r>
        <w:t xml:space="preserve">4. </w:t>
      </w:r>
      <w:r>
        <w:rPr>
          <w:b/>
        </w:rPr>
        <w:t>验证层——预测 vs 实际</w:t>
      </w:r>
      <w:r>
        <w:t>：</w:t>
      </w:r>
      <w:r>
        <w:rPr>
          <w:rFonts w:ascii="Courier New" w:hAnsi="Courier New"/>
        </w:rPr>
        <w:t>decision_track</w:t>
      </w:r>
      <w:r>
        <w:t xml:space="preserve"> 每日记录预测并次日对账，使闭环</w:t>
      </w:r>
      <w:r>
        <w:rPr>
          <w:b/>
        </w:rPr>
        <w:t>可验证</w:t>
      </w:r>
      <w:r>
        <w:t>（第 5.4 章）。</w:t>
      </w:r>
    </w:p>
    <w:p w14:paraId="40D6EB47">
      <w:pPr>
        <w:pStyle w:val="7"/>
        <w:spacing w:line="300" w:lineRule="auto"/>
        <w:ind w:firstLine="420"/>
      </w:pPr>
      <w:r>
        <w:t xml:space="preserve">5. </w:t>
      </w:r>
      <w:r>
        <w:rPr>
          <w:b/>
        </w:rPr>
        <w:t>评估</w:t>
      </w:r>
      <w:r>
        <w:t>：第 6 章以真实运行数据验证了上述设计的功能正确性与机制自洽性。</w:t>
      </w:r>
    </w:p>
    <w:p w14:paraId="767D776C">
      <w:pPr>
        <w:pStyle w:val="3"/>
      </w:pPr>
      <w:bookmarkStart w:id="62" w:name="_Toc19332"/>
      <w:r>
        <w:t>7.2 不足（诚实陈述，呼应校准设计）</w:t>
      </w:r>
      <w:bookmarkEnd w:id="62"/>
    </w:p>
    <w:p w14:paraId="6BEFC5BF">
      <w:pPr>
        <w:pStyle w:val="7"/>
        <w:spacing w:line="300" w:lineRule="auto"/>
        <w:ind w:firstLine="420"/>
      </w:pPr>
      <w:r>
        <w:t xml:space="preserve">- </w:t>
      </w:r>
      <w:r>
        <w:rPr>
          <w:b/>
        </w:rPr>
        <w:t>纵向样本仍偏少</w:t>
      </w:r>
      <w:r>
        <w:t>：评估时仅积累 4 份决策快照、1 条已评分预测，长期命中率尚待积累（已建每日自动累积任务，见附录 C）。</w:t>
      </w:r>
    </w:p>
    <w:p w14:paraId="21CB6AD0">
      <w:pPr>
        <w:pStyle w:val="7"/>
        <w:spacing w:line="300" w:lineRule="auto"/>
        <w:ind w:firstLine="420"/>
      </w:pPr>
      <w:r>
        <w:t xml:space="preserve">- </w:t>
      </w:r>
      <w:r>
        <w:rPr>
          <w:b/>
        </w:rPr>
        <w:t>校准采纳保守（有意设计）</w:t>
      </w:r>
      <w:r>
        <w:t>：T1 阶段仅出建议、需人工/阈值采纳，自动化程度有限——这是为防过拟合而</w:t>
      </w:r>
      <w:r>
        <w:rPr>
          <w:b/>
        </w:rPr>
        <w:t>有意保留的 conservative 设计</w:t>
      </w:r>
      <w:r>
        <w:t>，非缺陷。</w:t>
      </w:r>
    </w:p>
    <w:p w14:paraId="3E9476CD">
      <w:pPr>
        <w:pStyle w:val="7"/>
        <w:spacing w:line="300" w:lineRule="auto"/>
        <w:ind w:firstLine="420"/>
      </w:pPr>
      <w:r>
        <w:t xml:space="preserve">- </w:t>
      </w:r>
      <w:r>
        <w:rPr>
          <w:b/>
        </w:rPr>
        <w:t>事件因子未大规模寻优</w:t>
      </w:r>
      <w:r>
        <w:t>：事件权重保持可解释优先，未做黑箱加权，故事件侧贡献的解释力有待扩展。</w:t>
      </w:r>
    </w:p>
    <w:p w14:paraId="77F0D45E">
      <w:pPr>
        <w:pStyle w:val="3"/>
      </w:pPr>
      <w:bookmarkStart w:id="63" w:name="_Toc25303"/>
      <w:r>
        <w:t>7.3 未来工作</w:t>
      </w:r>
      <w:bookmarkEnd w:id="63"/>
    </w:p>
    <w:p w14:paraId="5CE913A4">
      <w:pPr>
        <w:pStyle w:val="7"/>
        <w:spacing w:line="300" w:lineRule="auto"/>
        <w:ind w:firstLine="420"/>
      </w:pPr>
      <w:r>
        <w:t xml:space="preserve">- </w:t>
      </w:r>
      <w:r>
        <w:rPr>
          <w:b/>
        </w:rPr>
        <w:t>长期回测窗口</w:t>
      </w:r>
      <w:r>
        <w:t xml:space="preserve">：待样本积累后放开校准采纳阈值，使 </w:t>
      </w:r>
      <w:r>
        <w:rPr>
          <w:rFonts w:ascii="Courier New" w:hAnsi="Courier New"/>
        </w:rPr>
        <w:t>CYCLE_ADJ</w:t>
      </w:r>
      <w:r>
        <w:t xml:space="preserve"> 自动落地具备统计意义。</w:t>
      </w:r>
    </w:p>
    <w:p w14:paraId="67485FD5">
      <w:pPr>
        <w:pStyle w:val="7"/>
        <w:spacing w:line="300" w:lineRule="auto"/>
        <w:ind w:firstLine="420"/>
      </w:pPr>
      <w:r>
        <w:t xml:space="preserve">- </w:t>
      </w:r>
      <w:r>
        <w:rPr>
          <w:b/>
        </w:rPr>
        <w:t>可解释加权的事件因子</w:t>
      </w:r>
      <w:r>
        <w:t>：在保持规则可追溯前提下，引入 SHAP 式的因子贡献度分解，但不破坏"规则可读"主线。</w:t>
      </w:r>
    </w:p>
    <w:p w14:paraId="1A2F3EF7">
      <w:pPr>
        <w:pStyle w:val="7"/>
        <w:spacing w:line="300" w:lineRule="auto"/>
        <w:ind w:firstLine="420"/>
      </w:pPr>
      <w:r>
        <w:t xml:space="preserve">- </w:t>
      </w:r>
      <w:r>
        <w:rPr>
          <w:b/>
        </w:rPr>
        <w:t>多市场适配</w:t>
      </w:r>
      <w:r>
        <w:t>：将决策闭环扩展到 ETF / 商品期货（如本开发者已实践的纸浆、玻璃等品种），验证跨资产泛化。</w:t>
      </w:r>
    </w:p>
    <w:p w14:paraId="547C0892">
      <w:pPr>
        <w:pStyle w:val="7"/>
        <w:spacing w:line="300" w:lineRule="auto"/>
        <w:ind w:firstLine="420"/>
      </w:pPr>
      <w:r>
        <w:t xml:space="preserve">- </w:t>
      </w:r>
      <w:r>
        <w:rPr>
          <w:b/>
        </w:rPr>
        <w:t>交互式复盘</w:t>
      </w:r>
      <w:r>
        <w:t xml:space="preserve">：在平台内嵌入"历史决策回放"，让用户逐日查看 </w:t>
      </w:r>
      <w:r>
        <w:rPr>
          <w:rFonts w:ascii="Courier New" w:hAnsi="Courier New"/>
        </w:rPr>
        <w:t>reasons</w:t>
      </w:r>
      <w:r>
        <w:t xml:space="preserve"> 与实际走势的对照，强化可信度。</w:t>
      </w:r>
    </w:p>
    <w:p w14:paraId="23F49075">
      <w:pPr>
        <w:pStyle w:val="7"/>
        <w:spacing w:line="300" w:lineRule="auto"/>
        <w:ind w:firstLine="420"/>
      </w:pPr>
      <w:r>
        <w:t xml:space="preserve">- </w:t>
      </w:r>
      <w:r>
        <w:rPr>
          <w:b/>
        </w:rPr>
        <w:t>工程质量持续化</w:t>
      </w:r>
      <w:r>
        <w:t>：在现有 2117 个单元测试与 CI 安全基线之上提升覆盖率门禁阈值，将 AST 守卫扩展到更多"能跑但语义错"的静默 bug 模式，并补充多环境部署与可观测监控，使平台从"能跑"走向"可长期运维"。</w:t>
      </w:r>
    </w:p>
    <w:p w14:paraId="4326EB22">
      <w:pPr>
        <w:spacing w:before="312" w:beforeLines="100" w:after="312" w:afterLines="100" w:line="300" w:lineRule="auto"/>
        <w:jc w:val="center"/>
        <w:rPr>
          <w:rFonts w:ascii="黑体" w:hAnsi="黑体" w:eastAsia="黑体"/>
        </w:rPr>
      </w:pPr>
      <w:r>
        <w:rPr>
          <w:color w:val="0000FF"/>
          <w:sz w:val="24"/>
        </w:rPr>
        <w:br w:type="page"/>
      </w:r>
      <w:bookmarkStart w:id="64" w:name="_Toc32107"/>
      <w:bookmarkStart w:id="65" w:name="_Toc15814"/>
      <w:commentRangeStart w:id="3"/>
      <w:r>
        <w:rPr>
          <w:rStyle w:val="24"/>
          <w:rFonts w:hint="eastAsia" w:ascii="黑体" w:hAnsi="黑体"/>
        </w:rPr>
        <w:t>致</w:t>
      </w:r>
      <w:r>
        <w:rPr>
          <w:rStyle w:val="24"/>
          <w:rFonts w:ascii="黑体" w:hAnsi="黑体"/>
        </w:rPr>
        <w:t xml:space="preserve">  </w:t>
      </w:r>
      <w:r>
        <w:rPr>
          <w:rStyle w:val="24"/>
          <w:rFonts w:hint="eastAsia" w:ascii="黑体" w:hAnsi="黑体"/>
        </w:rPr>
        <w:t>谢</w:t>
      </w:r>
      <w:bookmarkEnd w:id="64"/>
      <w:commentRangeEnd w:id="3"/>
      <w:r>
        <w:rPr>
          <w:rStyle w:val="24"/>
          <w:rFonts w:ascii="黑体" w:hAnsi="黑体"/>
        </w:rPr>
        <w:commentReference w:id="3"/>
      </w:r>
      <w:bookmarkEnd w:id="65"/>
    </w:p>
    <w:p w14:paraId="0CC95BB4">
      <w:pPr>
        <w:pStyle w:val="7"/>
        <w:spacing w:after="0" w:line="300" w:lineRule="auto"/>
        <w:rPr>
          <w:sz w:val="24"/>
        </w:rPr>
      </w:pPr>
      <w:r>
        <w:t>本论文是在陈丽琼老师的悉心指导下完成的。从选题、系统设计到实验评估与论文撰写，陈老师严谨的治学态度与工程方法论使我受益匪浅，在此致以诚挚的谢意。感谢上海应用技术大学智能技术学部各位授课老师四年来的培养；感谢同窗好友在系统测试与论文修改过程中提供的宝贵意见；感谢开源社区（akshare、BaoStock、Streamlit 等）的贡献者，本平台的四级数据源降级链正是站在这些巨人的肩膀上构建。最后感谢家人一直以来的理解与支持。</w:t>
      </w:r>
    </w:p>
    <w:p w14:paraId="1E3C4B0C">
      <w:pPr>
        <w:pStyle w:val="7"/>
        <w:spacing w:line="300" w:lineRule="auto"/>
        <w:rPr>
          <w:rFonts w:eastAsia="黑体"/>
          <w:b/>
          <w:bCs/>
          <w:color w:val="0000FF"/>
        </w:rPr>
      </w:pPr>
    </w:p>
    <w:p w14:paraId="62C0682C">
      <w:pPr>
        <w:pStyle w:val="2"/>
        <w:spacing w:before="312" w:beforeLines="100" w:after="312" w:afterLines="100" w:line="300" w:lineRule="auto"/>
        <w:jc w:val="center"/>
        <w:rPr>
          <w:rFonts w:ascii="黑体" w:hAnsi="黑体"/>
        </w:rPr>
      </w:pPr>
      <w:bookmarkStart w:id="66" w:name="_Toc5808"/>
      <w:r>
        <w:rPr>
          <w:b/>
          <w:bCs/>
          <w:color w:val="0000FF"/>
        </w:rPr>
        <w:pict>
          <v:shape id="_x0000_s1042" o:spid="_x0000_s1042" o:spt="61" type="#_x0000_t61" style="position:absolute;left:0pt;margin-left:204.6pt;margin-top:48.15pt;height:43.85pt;width:235.35pt;z-index:251660288;mso-width-relative:page;mso-height-relative:page;" fillcolor="#FFFFFF" filled="t" stroked="t" coordsize="21600,21600" adj="8274,-45982">
            <v:path/>
            <v:fill on="t" focussize="0,0"/>
            <v:stroke/>
            <v:imagedata o:title=""/>
            <o:lock v:ext="edit" aspectratio="f"/>
            <v:textbox>
              <w:txbxContent>
                <w:p w14:paraId="776685D0">
                  <w:pPr>
                    <w:rPr>
                      <w:rFonts w:hint="eastAsia" w:ascii="宋体" w:hAnsi="宋体" w:cs="宋体"/>
                      <w:color w:val="0000FF"/>
                      <w:sz w:val="24"/>
                      <w:szCs w:val="24"/>
                    </w:rPr>
                  </w:pPr>
                  <w:r>
                    <w:rPr>
                      <w:rFonts w:hint="eastAsia" w:ascii="宋体" w:hAnsi="宋体" w:cs="宋体"/>
                      <w:color w:val="0000FF"/>
                      <w:sz w:val="24"/>
                      <w:szCs w:val="24"/>
                    </w:rPr>
                    <w:t>正文用宋体（非汉字用Times new Roman）小四号，行距1.25倍，标准字距。</w:t>
                  </w:r>
                </w:p>
                <w:p w14:paraId="40A391B4"/>
              </w:txbxContent>
            </v:textbox>
          </v:shape>
        </w:pict>
      </w:r>
      <w:r>
        <w:rPr>
          <w:b/>
          <w:bCs/>
          <w:color w:val="0000FF"/>
        </w:rPr>
        <w:br w:type="page"/>
      </w:r>
      <w:bookmarkStart w:id="67" w:name="_Toc25038"/>
      <w:commentRangeStart w:id="4"/>
      <w:r>
        <w:rPr>
          <w:rFonts w:ascii="黑体" w:hAnsi="黑体"/>
        </w:rPr>
        <w:t>参考文献</w:t>
      </w:r>
      <w:bookmarkEnd w:id="67"/>
      <w:commentRangeEnd w:id="4"/>
      <w:r>
        <w:rPr>
          <w:rFonts w:ascii="黑体" w:hAnsi="黑体"/>
        </w:rPr>
        <w:commentReference w:id="4"/>
      </w:r>
      <w:bookmarkEnd w:id="66"/>
    </w:p>
    <w:p w14:paraId="48477B7E">
      <w:r>
        <w:t>[1] MacKinlay A C. Event Studies in Economics and Finance[J]. Journal of Economic Literature, 1997, 35(1): 13-39.</w:t>
      </w:r>
    </w:p>
    <w:p w14:paraId="54A6E246">
      <w:r>
        <w:t>[2] Brown S J, Warner J B. Using Daily Stock Returns: The Case of Event Studies[J]. Journal of Financial Economics, 1985, 14(1): 3-31.</w:t>
      </w:r>
    </w:p>
    <w:p w14:paraId="145CB5C6">
      <w:r>
        <w:t>[3] 赵宇龙. 会计盈余披露的信息含量——来自上海股市的经验证据[J]. 经济研究, 1998(7): 41-49.</w:t>
      </w:r>
    </w:p>
    <w:p w14:paraId="42F510C3">
      <w:r>
        <w:t>[4] Kelly J L. A New Interpretation of Information Rate[J]. Bell System Technical Journal, 1956, 35(4): 917-926.</w:t>
      </w:r>
    </w:p>
    <w:p w14:paraId="25A9F54F">
      <w:r>
        <w:t>[5] Markowitz H. Portfolio Selection[J]. Journal of Finance, 1952, 7(1): 77-91.</w:t>
      </w:r>
    </w:p>
    <w:p w14:paraId="27DE7B79">
      <w:r>
        <w:t>[6] Black F, Jones R. Simplifying Portfolio Insurance[J]. Journal of Portfolio Management, 1987, 14(1): 48-54.</w:t>
      </w:r>
    </w:p>
    <w:p w14:paraId="34586A1F">
      <w:r>
        <w:t>[7] Choueifaty Y, Coignard Y. Towards Maximum Diversification[J]. Journal of Portfolio Management, 2008, 34(4): 40-51.</w:t>
      </w:r>
    </w:p>
    <w:p w14:paraId="309ECD29">
      <w:r>
        <w:t>[8] Ribeiro M T, Singh S, Guestrin C. "Why Should I Trust You?": Explaining the Predictions of Any Classifier[C]//Proceedings of the 22nd ACM SIGKDD International Conference on Knowledge Discovery and Data Mining (KDD), 2016: 1135-1144.</w:t>
      </w:r>
    </w:p>
    <w:p w14:paraId="25F9FD85">
      <w:r>
        <w:t>[9] Lundberg S M, Lee S-I. A Unified Approach to Interpreting Model Predictions[C]//Advances in Neural Information Processing Systems (NeurIPS) 30, 2017: 4765-4774.</w:t>
      </w:r>
    </w:p>
    <w:p w14:paraId="0E669CEF">
      <w:r>
        <w:t>[10] Niculescu-Mizil A, Caruana R. Predicting Good Probabilities With Supervised Learning[C]//Proceedings of the 22nd International Conference on Machine Learning (ICML), 2005: 625-632.</w:t>
      </w:r>
    </w:p>
    <w:p w14:paraId="4C255DC6">
      <w:r>
        <w:t>[11] Guo C, Pleiss G, Sun Y, Weinberger K Q. On Calibration of Modern Neural Networks[C]//Proceedings of the 34th International Conference on Machine Learning (ICML), 2017: 1321-1330.</w:t>
      </w:r>
    </w:p>
    <w:p w14:paraId="0131C743">
      <w:r>
        <w:t>[12] Perold A F. The Implementation Shortfall: Paper Versus Reality[J]. Journal of Portfolio Management, 1988, 14(3): 4-9.</w:t>
      </w:r>
    </w:p>
    <w:p w14:paraId="4EB7D9C0">
      <w:r>
        <w:t>[13] Backtrader[EB/OL]. https://www.backtrader.com, 访问于 2026-09.</w:t>
      </w:r>
    </w:p>
    <w:p w14:paraId="511F2198">
      <w:r>
        <w:t>[14] 聚宽 JoinQuant[EB/OL]. https://www.joinquant.com, 访问于 2026-09.</w:t>
      </w:r>
    </w:p>
    <w:p w14:paraId="2844DC22">
      <w:r>
        <w:t>[15] 米筐 RiceQuant[EB/OL]. https://www.ricequant.com, 访问于 2026-09.</w:t>
      </w:r>
    </w:p>
    <w:p w14:paraId="3811C4C9">
      <w:pPr>
        <w:spacing w:line="560" w:lineRule="exact"/>
        <w:rPr>
          <w:sz w:val="24"/>
        </w:rPr>
      </w:pPr>
    </w:p>
    <w:p w14:paraId="0E133957">
      <w:pPr>
        <w:spacing w:line="560" w:lineRule="exact"/>
        <w:rPr>
          <w:sz w:val="24"/>
        </w:rPr>
      </w:pPr>
      <w:r>
        <w:rPr>
          <w:rFonts w:eastAsia="黑体"/>
          <w:b/>
          <w:bCs/>
          <w:color w:val="0000FF"/>
        </w:rPr>
        <w:pict>
          <v:shape id="_x0000_s1043" o:spid="_x0000_s1043" o:spt="61" type="#_x0000_t61" style="position:absolute;left:0pt;margin-left:178.5pt;margin-top:7.8pt;height:49.1pt;width:241.95pt;z-index:251661312;mso-width-relative:page;mso-height-relative:page;" fillcolor="#FFFFFF" filled="t" stroked="t" coordsize="21600,21600" adj="9481,-34247">
            <v:path/>
            <v:fill on="t" focussize="0,0"/>
            <v:stroke/>
            <v:imagedata o:title=""/>
            <o:lock v:ext="edit" aspectratio="f"/>
            <v:textbox>
              <w:txbxContent>
                <w:p w14:paraId="13C71FD1">
                  <w:pPr>
                    <w:rPr>
                      <w:rFonts w:hint="eastAsia" w:ascii="宋体" w:hAnsi="宋体" w:cs="宋体"/>
                      <w:color w:val="0000FF"/>
                      <w:sz w:val="24"/>
                      <w:szCs w:val="24"/>
                    </w:rPr>
                  </w:pPr>
                  <w:r>
                    <w:rPr>
                      <w:rFonts w:hint="eastAsia" w:ascii="宋体" w:hAnsi="宋体" w:cs="宋体"/>
                      <w:color w:val="0000FF"/>
                      <w:sz w:val="24"/>
                      <w:szCs w:val="24"/>
                    </w:rPr>
                    <w:t>参考文献内容用宋体（非汉字用Times new Roman）小四号，行距1.25倍，标准字距。</w:t>
                  </w:r>
                </w:p>
                <w:p w14:paraId="584E26AC"/>
              </w:txbxContent>
            </v:textbox>
          </v:shape>
        </w:pict>
      </w:r>
    </w:p>
    <w:p w14:paraId="35FFABEB">
      <w:pPr>
        <w:spacing w:line="560" w:lineRule="exact"/>
        <w:rPr>
          <w:sz w:val="24"/>
        </w:rPr>
      </w:pPr>
    </w:p>
    <w:p w14:paraId="64D21125">
      <w:pPr>
        <w:spacing w:line="300" w:lineRule="auto"/>
        <w:rPr>
          <w:color w:val="0000FF"/>
          <w:szCs w:val="21"/>
        </w:rPr>
      </w:pPr>
      <w:r>
        <w:rPr>
          <w:color w:val="0000FF"/>
          <w:szCs w:val="21"/>
        </w:rPr>
        <w:t>注：</w:t>
      </w:r>
    </w:p>
    <w:p w14:paraId="7691DA3B">
      <w:pPr>
        <w:spacing w:line="300" w:lineRule="auto"/>
        <w:rPr>
          <w:color w:val="0000FF"/>
          <w:szCs w:val="21"/>
        </w:rPr>
      </w:pPr>
      <w:bookmarkStart w:id="68" w:name="_Toc11693"/>
      <w:r>
        <w:rPr>
          <w:color w:val="0000FF"/>
          <w:szCs w:val="21"/>
        </w:rPr>
        <w:t>1.参考文献数量不少于10篇，外文文献在2篇以上。</w:t>
      </w:r>
      <w:bookmarkEnd w:id="68"/>
    </w:p>
    <w:p w14:paraId="572B95E2">
      <w:pPr>
        <w:spacing w:line="300" w:lineRule="auto"/>
        <w:rPr>
          <w:color w:val="0000FF"/>
          <w:szCs w:val="21"/>
        </w:rPr>
      </w:pPr>
      <w:r>
        <w:rPr>
          <w:color w:val="0000FF"/>
          <w:szCs w:val="21"/>
        </w:rPr>
        <w:t>2.书写格式要按国家标准GB7714-2005规定，参考文献按在正文中出现先后，统一用阿拉伯数字进行编号，序码用方括号括起。</w:t>
      </w:r>
    </w:p>
    <w:p w14:paraId="66DF2448">
      <w:pPr>
        <w:pStyle w:val="18"/>
        <w:spacing w:before="0" w:beforeAutospacing="0" w:after="0" w:afterAutospacing="0" w:line="300" w:lineRule="auto"/>
        <w:jc w:val="both"/>
        <w:rPr>
          <w:rFonts w:ascii="Times New Roman" w:hAnsi="Times New Roman"/>
          <w:color w:val="0000FF"/>
          <w:kern w:val="2"/>
          <w:sz w:val="21"/>
          <w:szCs w:val="21"/>
        </w:rPr>
      </w:pPr>
      <w:bookmarkStart w:id="69" w:name="_Toc16429"/>
      <w:r>
        <w:rPr>
          <w:rFonts w:ascii="Times New Roman" w:hAnsi="Times New Roman"/>
          <w:color w:val="0000FF"/>
          <w:kern w:val="2"/>
          <w:sz w:val="21"/>
          <w:szCs w:val="21"/>
        </w:rPr>
        <w:t>3.各类参考文献的著录格式为：</w:t>
      </w:r>
      <w:bookmarkEnd w:id="69"/>
    </w:p>
    <w:p w14:paraId="4C1B3182">
      <w:pPr>
        <w:spacing w:line="300" w:lineRule="auto"/>
        <w:rPr>
          <w:color w:val="0000FF"/>
          <w:szCs w:val="21"/>
        </w:rPr>
      </w:pPr>
      <w:r>
        <w:rPr>
          <w:color w:val="0000FF"/>
          <w:szCs w:val="21"/>
        </w:rPr>
        <w:t>A、期刊：[序号] 作者（多名作者用逗号分隔）．文章题目．刊名（外文期刊可缩写）．出版年份，卷号（期号）：起始页码-终止页码．</w:t>
      </w:r>
    </w:p>
    <w:p w14:paraId="08916D28">
      <w:pPr>
        <w:spacing w:line="300" w:lineRule="auto"/>
        <w:rPr>
          <w:color w:val="0000FF"/>
          <w:szCs w:val="21"/>
        </w:rPr>
      </w:pPr>
      <w:r>
        <w:rPr>
          <w:color w:val="0000FF"/>
          <w:szCs w:val="21"/>
        </w:rPr>
        <w:t>B、图书：[序号] 作者（多名作者用逗号分隔）．书名．版次（初版不写），出版地：出版单位，出版年份：起始页码-终止页码．</w:t>
      </w:r>
    </w:p>
    <w:p w14:paraId="3E9D6564">
      <w:pPr>
        <w:spacing w:line="300" w:lineRule="auto"/>
        <w:rPr>
          <w:color w:val="0000FF"/>
          <w:szCs w:val="21"/>
        </w:rPr>
      </w:pPr>
      <w:r>
        <w:rPr>
          <w:color w:val="0000FF"/>
          <w:szCs w:val="21"/>
        </w:rPr>
        <w:t>C、专利：[序号] 专利申请者（多名作者用逗号分隔）．题目名称（或专利名称）：国别，专利文献种类，专利号．公告日期或公开日期．</w:t>
      </w:r>
    </w:p>
    <w:p w14:paraId="0915154D">
      <w:pPr>
        <w:spacing w:line="300" w:lineRule="auto"/>
        <w:rPr>
          <w:color w:val="0000FF"/>
          <w:szCs w:val="21"/>
        </w:rPr>
      </w:pPr>
      <w:r>
        <w:rPr>
          <w:color w:val="0000FF"/>
          <w:szCs w:val="21"/>
        </w:rPr>
        <w:t>D、报纸：[序号] 作者（多名作者用逗号分隔）．题目名称．报名．出版地：出版日期（版次）．</w:t>
      </w:r>
    </w:p>
    <w:p w14:paraId="2CBD40C8">
      <w:pPr>
        <w:spacing w:line="300" w:lineRule="auto"/>
        <w:rPr>
          <w:color w:val="0000FF"/>
          <w:szCs w:val="21"/>
        </w:rPr>
      </w:pPr>
      <w:r>
        <w:rPr>
          <w:color w:val="0000FF"/>
          <w:szCs w:val="21"/>
        </w:rPr>
        <w:t>E、学位论文：[序号] 作者.题目名称：[博士（硕士/学士）学位论文]．保存地：保存单位，授予年份．</w:t>
      </w:r>
      <w:r>
        <w:rPr>
          <w:color w:val="0000FF"/>
          <w:szCs w:val="21"/>
        </w:rPr>
        <w:br w:type="textWrapping"/>
      </w:r>
      <w:r>
        <w:rPr>
          <w:color w:val="0000FF"/>
          <w:szCs w:val="21"/>
        </w:rPr>
        <w:t>　　报纸和专利文献需详细著录出版日期，其形式为“YYYY-MM-DD”。</w:t>
      </w:r>
    </w:p>
    <w:p w14:paraId="0BAB33F9">
      <w:pPr>
        <w:pStyle w:val="2"/>
        <w:spacing w:before="312" w:beforeLines="100" w:after="312" w:afterLines="100" w:line="300" w:lineRule="auto"/>
        <w:jc w:val="center"/>
        <w:rPr>
          <w:rFonts w:ascii="黑体" w:hAnsi="黑体"/>
        </w:rPr>
      </w:pPr>
      <w:r>
        <w:rPr>
          <w:rFonts w:eastAsia="仿宋"/>
          <w:sz w:val="28"/>
          <w:szCs w:val="28"/>
        </w:rPr>
        <w:br w:type="page"/>
      </w:r>
      <w:bookmarkStart w:id="70" w:name="_Toc17096"/>
      <w:bookmarkStart w:id="71" w:name="_Toc10624"/>
      <w:commentRangeStart w:id="5"/>
      <w:r>
        <w:rPr>
          <w:rFonts w:hint="eastAsia" w:ascii="黑体" w:hAnsi="黑体"/>
        </w:rPr>
        <w:t>附  录</w:t>
      </w:r>
      <w:commentRangeEnd w:id="5"/>
      <w:r>
        <w:rPr>
          <w:rFonts w:ascii="黑体" w:hAnsi="黑体"/>
        </w:rPr>
        <w:commentReference w:id="5"/>
      </w:r>
      <w:bookmarkEnd w:id="70"/>
      <w:bookmarkEnd w:id="71"/>
    </w:p>
    <w:p w14:paraId="17EB9EC6">
      <w:pPr>
        <w:spacing w:line="480" w:lineRule="exact"/>
        <w:jc w:val="center"/>
      </w:pPr>
      <w:r>
        <w:rPr>
          <w:rFonts w:eastAsia="黑体"/>
          <w:b/>
          <w:bCs/>
          <w:color w:val="0000FF"/>
        </w:rPr>
        <w:pict>
          <v:shape id="_x0000_s1045" o:spid="_x0000_s1045" o:spt="61" type="#_x0000_t61" style="position:absolute;left:0pt;margin-left:128.4pt;margin-top:97pt;height:101.1pt;width:297.7pt;z-index:251662336;mso-width-relative:page;mso-height-relative:page;" fillcolor="#FFFFFF" filled="t" stroked="t" coordsize="21600,21600" adj="5137,-20702">
            <v:path/>
            <v:fill on="t" focussize="0,0"/>
            <v:stroke/>
            <v:imagedata o:title=""/>
            <o:lock v:ext="edit" aspectratio="f"/>
            <v:textbox>
              <w:txbxContent>
                <w:p w14:paraId="234C7020">
                  <w:pPr>
                    <w:spacing w:line="360" w:lineRule="exact"/>
                    <w:rPr>
                      <w:rFonts w:hint="eastAsia" w:ascii="宋体" w:hAnsi="宋体"/>
                      <w:color w:val="0000FF"/>
                      <w:sz w:val="24"/>
                    </w:rPr>
                  </w:pPr>
                  <w:r>
                    <w:rPr>
                      <w:rFonts w:hint="eastAsia" w:ascii="宋体" w:hAnsi="宋体"/>
                      <w:color w:val="0000FF"/>
                      <w:sz w:val="24"/>
                    </w:rPr>
                    <w:t>附录是对于一些不宜放在正文中，但有参考价值的内容，可编入毕业设计（论文）的附录中，例如公式的推演、编写的程序等；如果文章中引用的符号较多时，便于读者查阅，可以编写一个符号说明，注明符号代表的意义。一般附录的篇幅不宜过大。</w:t>
                  </w:r>
                </w:p>
              </w:txbxContent>
            </v:textbox>
          </v:shape>
        </w:pict>
      </w:r>
    </w:p>
    <w:sectPr>
      <w:headerReference r:id="rId11" w:type="default"/>
      <w:footerReference r:id="rId13" w:type="default"/>
      <w:headerReference r:id="rId12" w:type="even"/>
      <w:footerReference r:id="rId14" w:type="even"/>
      <w:pgSz w:w="11906" w:h="16838"/>
      <w:pgMar w:top="1588" w:right="1247" w:bottom="1361" w:left="1418" w:header="851" w:footer="1418" w:gutter="0"/>
      <w:pgNumType w:fmt="decimal" w:start="1"/>
      <w:cols w:space="720"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ing" w:date="2024-02-28T10:21:00Z" w:initials="">
    <w:p w14:paraId="64CCE70F">
      <w:r>
        <w:rPr>
          <w:rFonts w:hint="eastAsia" w:eastAsia="楷体_GB2312"/>
          <w:sz w:val="18"/>
        </w:rPr>
        <w:t>题目位于一页首行，用黑体小二号，加粗，居中，段前距一行，段后距一行。</w:t>
      </w:r>
    </w:p>
    <w:p w14:paraId="71E0185D">
      <w:pPr>
        <w:tabs>
          <w:tab w:val="left" w:pos="1980"/>
        </w:tabs>
        <w:rPr>
          <w:rFonts w:hint="eastAsia" w:eastAsia="楷体_GB2312"/>
          <w:sz w:val="18"/>
        </w:rPr>
      </w:pPr>
    </w:p>
    <w:p w14:paraId="5B26776E">
      <w:pPr>
        <w:pStyle w:val="5"/>
      </w:pPr>
    </w:p>
  </w:comment>
  <w:comment w:id="1" w:author="Ring" w:date="2024-02-28T10:30:00Z" w:initials="">
    <w:p w14:paraId="33DFEFB5">
      <w:pPr>
        <w:rPr>
          <w:rFonts w:ascii="楷体" w:hAnsi="楷体" w:eastAsia="楷体"/>
          <w:sz w:val="18"/>
        </w:rPr>
      </w:pPr>
      <w:r>
        <w:rPr>
          <w:rFonts w:hint="eastAsia" w:ascii="楷体" w:hAnsi="楷体" w:eastAsia="楷体"/>
          <w:sz w:val="18"/>
        </w:rPr>
        <w:t>中文题目翻成外文用Times New Roman小二号加粗，段后距一行</w:t>
      </w:r>
    </w:p>
    <w:p w14:paraId="652A16A8">
      <w:pPr>
        <w:pStyle w:val="5"/>
      </w:pPr>
    </w:p>
  </w:comment>
  <w:comment w:id="2" w:author="Ring" w:date="2024-02-28T10:44:00Z" w:initials="">
    <w:p w14:paraId="6AD6CFFE">
      <w:pPr>
        <w:rPr>
          <w:sz w:val="18"/>
        </w:rPr>
      </w:pPr>
      <w:r>
        <w:rPr>
          <w:rFonts w:hint="eastAsia" w:eastAsia="楷体_GB2312"/>
          <w:sz w:val="18"/>
        </w:rPr>
        <w:t>目录位于一页首行，用黑体小二号，居中，段前距一行，段后距一行。</w:t>
      </w:r>
    </w:p>
    <w:p w14:paraId="6F65419D">
      <w:pPr>
        <w:pStyle w:val="5"/>
      </w:pPr>
    </w:p>
  </w:comment>
  <w:comment w:id="3" w:author="Ring" w:date="2024-03-07T09:31:00Z" w:initials="">
    <w:p w14:paraId="6B36E878">
      <w:pPr>
        <w:rPr>
          <w:rFonts w:hint="eastAsia" w:ascii="楷体" w:hAnsi="楷体" w:eastAsia="楷体" w:cs="楷体"/>
          <w:sz w:val="18"/>
          <w:szCs w:val="18"/>
        </w:rPr>
      </w:pPr>
      <w:r>
        <w:rPr>
          <w:rFonts w:hint="eastAsia" w:ascii="楷体" w:hAnsi="楷体" w:eastAsia="楷体" w:cs="楷体"/>
          <w:sz w:val="18"/>
          <w:szCs w:val="18"/>
        </w:rPr>
        <w:t>致谢为另起一页首行居中，与正文连续编页码，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 w:id="4" w:author="Ring" w:date="2024-03-07T09:41:00Z" w:initials="">
    <w:p w14:paraId="692B87B1">
      <w:r>
        <w:rPr>
          <w:rFonts w:hint="eastAsia" w:ascii="楷体" w:hAnsi="楷体" w:eastAsia="楷体"/>
          <w:sz w:val="18"/>
        </w:rPr>
        <w:t>参考文献为另起一页首行居中，与正文连续编页码，用黑体小二号，段前距一行，段后距一行。</w:t>
      </w:r>
    </w:p>
  </w:comment>
  <w:comment w:id="5" w:author="Ring" w:date="2024-03-07T09:51:00Z" w:initials="">
    <w:p w14:paraId="755A236B">
      <w:r>
        <w:rPr>
          <w:rFonts w:hint="eastAsia" w:ascii="楷体" w:hAnsi="楷体" w:eastAsia="楷体" w:cs="楷体"/>
          <w:sz w:val="18"/>
          <w:szCs w:val="18"/>
        </w:rPr>
        <w:t>附录为另起一页首行居中，与正文连续编页码，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B26776E" w15:done="0"/>
  <w15:commentEx w15:paraId="652A16A8" w15:done="0"/>
  <w15:commentEx w15:paraId="6F65419D" w15:done="0"/>
  <w15:commentEx w15:paraId="6B36E878" w15:done="0"/>
  <w15:commentEx w15:paraId="692B87B1" w15:done="0"/>
  <w15:commentEx w15:paraId="755A23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CBF1D">
    <w:pPr>
      <w:pStyle w:val="13"/>
      <w:rPr>
        <w:rFonts w:hint="eastAsia" w:eastAsia="宋体"/>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18B54">
    <w:pPr>
      <w:pStyle w:val="13"/>
      <w:rPr>
        <w:rFonts w:hint="eastAsia" w:eastAsia="宋体"/>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45B21">
    <w:pPr>
      <w:pStyle w:val="13"/>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AFD2">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A5874">
    <w:pPr>
      <w:pStyle w:val="13"/>
      <w:ind w:right="1120"/>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85E39">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D86A5">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203B7">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BF7F">
    <w:pPr>
      <w:pStyle w:val="14"/>
    </w:pPr>
    <w:r>
      <w:rPr>
        <w:rStyle w:val="22"/>
        <w:rFonts w:hint="eastAsia"/>
      </w:rPr>
      <w:t>毕业设计（论文）题目</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430D6">
    <w:pPr>
      <w:pStyle w:val="14"/>
    </w:pPr>
    <w:r>
      <w:rPr>
        <w:rStyle w:val="22"/>
        <w:rFonts w:hint="eastAsia"/>
      </w:rPr>
      <w:t>毕业设计（论文）题目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24193"/>
    <w:multiLevelType w:val="multilevel"/>
    <w:tmpl w:val="04C24193"/>
    <w:lvl w:ilvl="0" w:tentative="0">
      <w:start w:val="1"/>
      <w:numFmt w:val="none"/>
      <w:lvlText w:val="一、"/>
      <w:lvlJc w:val="left"/>
      <w:pPr>
        <w:tabs>
          <w:tab w:val="left" w:pos="480"/>
        </w:tabs>
        <w:ind w:left="480" w:hanging="48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ing">
    <w15:presenceInfo w15:providerId="None" w15:userId="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hyphenationZone w:val="360"/>
  <w:evenAndOddHeaders w:val="1"/>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BiYzhlM2I4MmE0YmQ2ZjlhYjFkNDUwOGY1Mzg0MTMifQ=="/>
  </w:docVars>
  <w:rsids>
    <w:rsidRoot w:val="00B14261"/>
    <w:rsid w:val="00006ACC"/>
    <w:rsid w:val="00037206"/>
    <w:rsid w:val="000637C0"/>
    <w:rsid w:val="000772DA"/>
    <w:rsid w:val="00095E3D"/>
    <w:rsid w:val="000F1CE3"/>
    <w:rsid w:val="00154AF6"/>
    <w:rsid w:val="0016611B"/>
    <w:rsid w:val="0016647F"/>
    <w:rsid w:val="001B2AE5"/>
    <w:rsid w:val="001C50BA"/>
    <w:rsid w:val="001F6B5D"/>
    <w:rsid w:val="00223533"/>
    <w:rsid w:val="002675E7"/>
    <w:rsid w:val="002733C0"/>
    <w:rsid w:val="00286941"/>
    <w:rsid w:val="00367394"/>
    <w:rsid w:val="00382DEE"/>
    <w:rsid w:val="00392159"/>
    <w:rsid w:val="003C426B"/>
    <w:rsid w:val="003F13B1"/>
    <w:rsid w:val="004779D8"/>
    <w:rsid w:val="004C2988"/>
    <w:rsid w:val="004C50F0"/>
    <w:rsid w:val="004D6037"/>
    <w:rsid w:val="005173F0"/>
    <w:rsid w:val="00541AAD"/>
    <w:rsid w:val="005576CD"/>
    <w:rsid w:val="005773F7"/>
    <w:rsid w:val="00584E49"/>
    <w:rsid w:val="005A04E5"/>
    <w:rsid w:val="00640C50"/>
    <w:rsid w:val="00653073"/>
    <w:rsid w:val="00653977"/>
    <w:rsid w:val="00667455"/>
    <w:rsid w:val="00692B8E"/>
    <w:rsid w:val="006E7773"/>
    <w:rsid w:val="0071557C"/>
    <w:rsid w:val="00742FD2"/>
    <w:rsid w:val="00750A35"/>
    <w:rsid w:val="007E5ADA"/>
    <w:rsid w:val="007F0083"/>
    <w:rsid w:val="00851677"/>
    <w:rsid w:val="008964E4"/>
    <w:rsid w:val="008B5D9E"/>
    <w:rsid w:val="008E4530"/>
    <w:rsid w:val="009273D4"/>
    <w:rsid w:val="009572C0"/>
    <w:rsid w:val="00973331"/>
    <w:rsid w:val="00973583"/>
    <w:rsid w:val="00A01F35"/>
    <w:rsid w:val="00A23905"/>
    <w:rsid w:val="00AC0031"/>
    <w:rsid w:val="00AC0F73"/>
    <w:rsid w:val="00AD7D0A"/>
    <w:rsid w:val="00AF67C8"/>
    <w:rsid w:val="00B0219A"/>
    <w:rsid w:val="00B14261"/>
    <w:rsid w:val="00B3016D"/>
    <w:rsid w:val="00B421C1"/>
    <w:rsid w:val="00B42479"/>
    <w:rsid w:val="00B66B17"/>
    <w:rsid w:val="00BA3B51"/>
    <w:rsid w:val="00BB0BE8"/>
    <w:rsid w:val="00BD0A3D"/>
    <w:rsid w:val="00BD6C26"/>
    <w:rsid w:val="00BE1BA9"/>
    <w:rsid w:val="00C86D7A"/>
    <w:rsid w:val="00C91BB8"/>
    <w:rsid w:val="00CA6062"/>
    <w:rsid w:val="00CB3A48"/>
    <w:rsid w:val="00CF1850"/>
    <w:rsid w:val="00D3344D"/>
    <w:rsid w:val="00D37AE5"/>
    <w:rsid w:val="00D612DF"/>
    <w:rsid w:val="00E0222C"/>
    <w:rsid w:val="00E22F9B"/>
    <w:rsid w:val="00E30ABA"/>
    <w:rsid w:val="00E41C0B"/>
    <w:rsid w:val="00EA7475"/>
    <w:rsid w:val="00EB00CB"/>
    <w:rsid w:val="00EC3B83"/>
    <w:rsid w:val="00ED052D"/>
    <w:rsid w:val="00EE39E2"/>
    <w:rsid w:val="00EF52A8"/>
    <w:rsid w:val="00F00081"/>
    <w:rsid w:val="00F61AA8"/>
    <w:rsid w:val="00F8158C"/>
    <w:rsid w:val="00FA2D06"/>
    <w:rsid w:val="02AE1145"/>
    <w:rsid w:val="04790F82"/>
    <w:rsid w:val="049A7BD3"/>
    <w:rsid w:val="04BD38C2"/>
    <w:rsid w:val="05574541"/>
    <w:rsid w:val="07C531B9"/>
    <w:rsid w:val="08DA2C94"/>
    <w:rsid w:val="09F00295"/>
    <w:rsid w:val="0A9B46A5"/>
    <w:rsid w:val="0B116715"/>
    <w:rsid w:val="0B9510F4"/>
    <w:rsid w:val="0C1A7FE2"/>
    <w:rsid w:val="0CAB56B8"/>
    <w:rsid w:val="0E214EC1"/>
    <w:rsid w:val="10090303"/>
    <w:rsid w:val="10635C65"/>
    <w:rsid w:val="10C021DC"/>
    <w:rsid w:val="12D93FBD"/>
    <w:rsid w:val="12E46EA3"/>
    <w:rsid w:val="12F7727B"/>
    <w:rsid w:val="144E09DA"/>
    <w:rsid w:val="14B51D54"/>
    <w:rsid w:val="151F0B44"/>
    <w:rsid w:val="16F94C2D"/>
    <w:rsid w:val="19E716B5"/>
    <w:rsid w:val="1AC57C5A"/>
    <w:rsid w:val="1B907905"/>
    <w:rsid w:val="1BEF273E"/>
    <w:rsid w:val="1CC7757C"/>
    <w:rsid w:val="1E85149C"/>
    <w:rsid w:val="1F15637C"/>
    <w:rsid w:val="1FC4521F"/>
    <w:rsid w:val="20875058"/>
    <w:rsid w:val="21141E27"/>
    <w:rsid w:val="2181419D"/>
    <w:rsid w:val="22CC31F6"/>
    <w:rsid w:val="22FA4207"/>
    <w:rsid w:val="24B13D16"/>
    <w:rsid w:val="24B86128"/>
    <w:rsid w:val="261548C3"/>
    <w:rsid w:val="264A5B38"/>
    <w:rsid w:val="26D27249"/>
    <w:rsid w:val="26D85C14"/>
    <w:rsid w:val="271635D9"/>
    <w:rsid w:val="29CD4916"/>
    <w:rsid w:val="2AEA4B61"/>
    <w:rsid w:val="2BE710A1"/>
    <w:rsid w:val="2D5C5ABE"/>
    <w:rsid w:val="2F1877C3"/>
    <w:rsid w:val="2F9D1AF3"/>
    <w:rsid w:val="2F9E5F1A"/>
    <w:rsid w:val="30E04A0D"/>
    <w:rsid w:val="316B4522"/>
    <w:rsid w:val="322A618B"/>
    <w:rsid w:val="32755658"/>
    <w:rsid w:val="32F80037"/>
    <w:rsid w:val="347E631A"/>
    <w:rsid w:val="34AB35B3"/>
    <w:rsid w:val="34DD5737"/>
    <w:rsid w:val="359C52D5"/>
    <w:rsid w:val="360311CD"/>
    <w:rsid w:val="360A255B"/>
    <w:rsid w:val="362178A5"/>
    <w:rsid w:val="37A442EA"/>
    <w:rsid w:val="37EB3CC7"/>
    <w:rsid w:val="39243D55"/>
    <w:rsid w:val="394F2215"/>
    <w:rsid w:val="39B747A8"/>
    <w:rsid w:val="3A1439A9"/>
    <w:rsid w:val="3B64626A"/>
    <w:rsid w:val="3D1E4B3E"/>
    <w:rsid w:val="41BD0482"/>
    <w:rsid w:val="42937435"/>
    <w:rsid w:val="433B1FA6"/>
    <w:rsid w:val="45603F46"/>
    <w:rsid w:val="456B6447"/>
    <w:rsid w:val="47974345"/>
    <w:rsid w:val="47BD1DAE"/>
    <w:rsid w:val="4B355438"/>
    <w:rsid w:val="4C88182D"/>
    <w:rsid w:val="4D1205CF"/>
    <w:rsid w:val="4F4C72E9"/>
    <w:rsid w:val="50454464"/>
    <w:rsid w:val="50740B35"/>
    <w:rsid w:val="51106ACC"/>
    <w:rsid w:val="519F7E5A"/>
    <w:rsid w:val="51B15B29"/>
    <w:rsid w:val="52096D27"/>
    <w:rsid w:val="5334431C"/>
    <w:rsid w:val="555C57AE"/>
    <w:rsid w:val="57122BC6"/>
    <w:rsid w:val="58FC1D80"/>
    <w:rsid w:val="59F42A57"/>
    <w:rsid w:val="5B6D0D13"/>
    <w:rsid w:val="5B951068"/>
    <w:rsid w:val="5C6C0FCA"/>
    <w:rsid w:val="5D3715D8"/>
    <w:rsid w:val="5DA83A0F"/>
    <w:rsid w:val="5E3C677A"/>
    <w:rsid w:val="5F456963"/>
    <w:rsid w:val="613100ED"/>
    <w:rsid w:val="64EA33D4"/>
    <w:rsid w:val="65B57BD7"/>
    <w:rsid w:val="67430B7A"/>
    <w:rsid w:val="68D73C6F"/>
    <w:rsid w:val="6A0227DA"/>
    <w:rsid w:val="6A18009C"/>
    <w:rsid w:val="6BB40298"/>
    <w:rsid w:val="6C3D5F10"/>
    <w:rsid w:val="6D793547"/>
    <w:rsid w:val="6D8048D6"/>
    <w:rsid w:val="6DE44E65"/>
    <w:rsid w:val="7055204A"/>
    <w:rsid w:val="71884F82"/>
    <w:rsid w:val="729B5D0E"/>
    <w:rsid w:val="73270936"/>
    <w:rsid w:val="74343D24"/>
    <w:rsid w:val="74463A57"/>
    <w:rsid w:val="754B7577"/>
    <w:rsid w:val="7A340F22"/>
    <w:rsid w:val="7A4647B1"/>
    <w:rsid w:val="7B4E6013"/>
    <w:rsid w:val="7BDF4EBD"/>
    <w:rsid w:val="7CCF0A8E"/>
    <w:rsid w:val="7CF229CE"/>
    <w:rsid w:val="7D657644"/>
    <w:rsid w:val="7DA912DF"/>
    <w:rsid w:val="7E431ECE"/>
    <w:rsid w:val="7E5B6295"/>
    <w:rsid w:val="7F425A56"/>
    <w:rsid w:val="7F622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9"/>
    <w:pPr>
      <w:keepNext/>
      <w:keepLines/>
      <w:spacing w:before="340" w:beforeLines="0" w:beforeAutospacing="0" w:after="330" w:afterLines="0" w:afterAutospacing="0" w:line="576" w:lineRule="auto"/>
      <w:outlineLvl w:val="0"/>
    </w:pPr>
    <w:rPr>
      <w:rFonts w:ascii="Times New Roman" w:hAnsi="Times New Roman" w:eastAsia="黑体"/>
      <w:kern w:val="44"/>
      <w:sz w:val="36"/>
    </w:rPr>
  </w:style>
  <w:style w:type="paragraph" w:styleId="3">
    <w:name w:val="heading 2"/>
    <w:basedOn w:val="1"/>
    <w:next w:val="1"/>
    <w:link w:val="25"/>
    <w:qFormat/>
    <w:uiPriority w:val="9"/>
    <w:pPr>
      <w:keepNext/>
      <w:keepLines/>
      <w:spacing w:before="260" w:beforeLines="0" w:beforeAutospacing="0" w:after="260" w:afterLines="0" w:afterAutospacing="0" w:line="413" w:lineRule="auto"/>
      <w:outlineLvl w:val="1"/>
    </w:pPr>
    <w:rPr>
      <w:rFonts w:ascii="Arial" w:hAnsi="Arial" w:eastAsia="黑体"/>
      <w:sz w:val="28"/>
    </w:rPr>
  </w:style>
  <w:style w:type="paragraph" w:styleId="4">
    <w:name w:val="heading 3"/>
    <w:basedOn w:val="1"/>
    <w:next w:val="1"/>
    <w:link w:val="26"/>
    <w:qFormat/>
    <w:uiPriority w:val="9"/>
    <w:pPr>
      <w:keepNext/>
      <w:keepLines/>
      <w:spacing w:before="260" w:beforeLines="0" w:beforeAutospacing="0" w:after="260" w:afterLines="0" w:afterAutospacing="0" w:line="413" w:lineRule="auto"/>
      <w:outlineLvl w:val="2"/>
    </w:pPr>
    <w:rPr>
      <w:rFonts w:ascii="Times New Roman" w:hAnsi="Times New Roman" w:eastAsia="黑体"/>
      <w:sz w:val="24"/>
    </w:rPr>
  </w:style>
  <w:style w:type="character" w:default="1" w:styleId="21">
    <w:name w:val="Default Paragraph Font"/>
    <w:unhideWhenUsed/>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5">
    <w:name w:val="annotation text"/>
    <w:basedOn w:val="1"/>
    <w:link w:val="27"/>
    <w:unhideWhenUsed/>
    <w:uiPriority w:val="99"/>
    <w:pPr>
      <w:jc w:val="left"/>
    </w:pPr>
  </w:style>
  <w:style w:type="paragraph" w:styleId="6">
    <w:name w:val="Body Text 3"/>
    <w:basedOn w:val="1"/>
    <w:qFormat/>
    <w:uiPriority w:val="0"/>
    <w:pPr>
      <w:spacing w:after="120"/>
    </w:pPr>
    <w:rPr>
      <w:sz w:val="16"/>
      <w:szCs w:val="16"/>
    </w:rPr>
  </w:style>
  <w:style w:type="paragraph" w:styleId="7">
    <w:name w:val="Body Text"/>
    <w:basedOn w:val="1"/>
    <w:link w:val="28"/>
    <w:uiPriority w:val="0"/>
    <w:pPr>
      <w:spacing w:after="120"/>
    </w:pPr>
  </w:style>
  <w:style w:type="paragraph" w:styleId="8">
    <w:name w:val="Body Text Indent"/>
    <w:basedOn w:val="1"/>
    <w:link w:val="29"/>
    <w:uiPriority w:val="0"/>
    <w:pPr>
      <w:spacing w:line="500" w:lineRule="exact"/>
      <w:ind w:left="420" w:leftChars="200" w:firstLine="480" w:firstLineChars="200"/>
    </w:pPr>
    <w:rPr>
      <w:rFonts w:ascii="Arial" w:hAnsi="Arial"/>
      <w:bCs/>
      <w:sz w:val="24"/>
      <w:szCs w:val="24"/>
    </w:rPr>
  </w:style>
  <w:style w:type="paragraph" w:styleId="9">
    <w:name w:val="toc 3"/>
    <w:basedOn w:val="1"/>
    <w:next w:val="1"/>
    <w:semiHidden/>
    <w:unhideWhenUsed/>
    <w:uiPriority w:val="39"/>
    <w:pPr>
      <w:ind w:left="840" w:leftChars="400"/>
    </w:pPr>
  </w:style>
  <w:style w:type="paragraph" w:styleId="10">
    <w:name w:val="Plain Text"/>
    <w:basedOn w:val="1"/>
    <w:link w:val="30"/>
    <w:uiPriority w:val="0"/>
    <w:rPr>
      <w:rFonts w:ascii="宋体" w:hAnsi="Courier New"/>
      <w:szCs w:val="21"/>
    </w:rPr>
  </w:style>
  <w:style w:type="paragraph" w:styleId="11">
    <w:name w:val="Body Text Indent 2"/>
    <w:basedOn w:val="1"/>
    <w:link w:val="31"/>
    <w:uiPriority w:val="0"/>
    <w:pPr>
      <w:spacing w:after="120" w:line="480" w:lineRule="auto"/>
      <w:ind w:left="420" w:leftChars="200"/>
    </w:pPr>
    <w:rPr>
      <w:szCs w:val="24"/>
    </w:rPr>
  </w:style>
  <w:style w:type="paragraph" w:styleId="12">
    <w:name w:val="Balloon Text"/>
    <w:basedOn w:val="1"/>
    <w:link w:val="49"/>
    <w:semiHidden/>
    <w:unhideWhenUsed/>
    <w:uiPriority w:val="99"/>
    <w:rPr>
      <w:sz w:val="18"/>
      <w:szCs w:val="18"/>
    </w:rPr>
  </w:style>
  <w:style w:type="paragraph" w:styleId="13">
    <w:name w:val="footer"/>
    <w:basedOn w:val="1"/>
    <w:link w:val="32"/>
    <w:uiPriority w:val="99"/>
    <w:pPr>
      <w:tabs>
        <w:tab w:val="center" w:pos="4153"/>
        <w:tab w:val="right" w:pos="8306"/>
      </w:tabs>
      <w:snapToGrid w:val="0"/>
      <w:jc w:val="left"/>
    </w:pPr>
    <w:rPr>
      <w:sz w:val="18"/>
    </w:rPr>
  </w:style>
  <w:style w:type="paragraph" w:styleId="14">
    <w:name w:val="header"/>
    <w:basedOn w:val="1"/>
    <w:link w:val="33"/>
    <w:uiPriority w:val="0"/>
    <w:pPr>
      <w:pBdr>
        <w:bottom w:val="single" w:color="auto" w:sz="6" w:space="1"/>
      </w:pBdr>
      <w:tabs>
        <w:tab w:val="center" w:pos="4153"/>
        <w:tab w:val="right" w:pos="8306"/>
      </w:tabs>
      <w:snapToGrid w:val="0"/>
      <w:jc w:val="center"/>
    </w:pPr>
    <w:rPr>
      <w:sz w:val="18"/>
    </w:rPr>
  </w:style>
  <w:style w:type="paragraph" w:styleId="15">
    <w:name w:val="toc 1"/>
    <w:basedOn w:val="1"/>
    <w:next w:val="1"/>
    <w:semiHidden/>
    <w:qFormat/>
    <w:uiPriority w:val="0"/>
    <w:pPr>
      <w:tabs>
        <w:tab w:val="right" w:leader="dot" w:pos="8296"/>
      </w:tabs>
      <w:spacing w:line="400" w:lineRule="exact"/>
    </w:pPr>
  </w:style>
  <w:style w:type="paragraph" w:styleId="16">
    <w:name w:val="toc 2"/>
    <w:basedOn w:val="1"/>
    <w:next w:val="1"/>
    <w:semiHidden/>
    <w:unhideWhenUsed/>
    <w:uiPriority w:val="39"/>
    <w:pPr>
      <w:ind w:left="420" w:leftChars="200"/>
    </w:pPr>
  </w:style>
  <w:style w:type="paragraph" w:styleId="17">
    <w:name w:val="Body Text 2"/>
    <w:basedOn w:val="1"/>
    <w:link w:val="34"/>
    <w:uiPriority w:val="0"/>
    <w:pPr>
      <w:spacing w:after="120" w:line="480" w:lineRule="auto"/>
    </w:pPr>
    <w:rPr>
      <w:szCs w:val="24"/>
    </w:rPr>
  </w:style>
  <w:style w:type="paragraph" w:styleId="18">
    <w:name w:val="Normal (Web)"/>
    <w:basedOn w:val="1"/>
    <w:uiPriority w:val="0"/>
    <w:pPr>
      <w:widowControl/>
      <w:spacing w:before="100" w:beforeAutospacing="1" w:after="100" w:afterAutospacing="1"/>
      <w:jc w:val="left"/>
    </w:pPr>
    <w:rPr>
      <w:rFonts w:ascii="宋体" w:hAnsi="宋体"/>
      <w:color w:val="FFFF99"/>
      <w:kern w:val="0"/>
      <w:sz w:val="24"/>
      <w:szCs w:val="24"/>
    </w:rPr>
  </w:style>
  <w:style w:type="paragraph" w:styleId="19">
    <w:name w:val="Body Text First Indent"/>
    <w:basedOn w:val="7"/>
    <w:link w:val="37"/>
    <w:unhideWhenUsed/>
    <w:uiPriority w:val="0"/>
    <w:pPr>
      <w:ind w:firstLine="420" w:firstLineChars="100"/>
    </w:pPr>
    <w:rPr>
      <w:szCs w:val="24"/>
    </w:rPr>
  </w:style>
  <w:style w:type="character" w:styleId="22">
    <w:name w:val="page number"/>
    <w:uiPriority w:val="0"/>
  </w:style>
  <w:style w:type="character" w:styleId="23">
    <w:name w:val="Hyperlink"/>
    <w:qFormat/>
    <w:uiPriority w:val="0"/>
    <w:rPr>
      <w:color w:val="0000FF"/>
      <w:u w:val="single"/>
    </w:rPr>
  </w:style>
  <w:style w:type="character" w:customStyle="1" w:styleId="24">
    <w:name w:val="标题 1 字符"/>
    <w:link w:val="2"/>
    <w:uiPriority w:val="0"/>
    <w:rPr>
      <w:rFonts w:ascii="Times New Roman" w:hAnsi="Times New Roman" w:eastAsia="黑体"/>
      <w:kern w:val="44"/>
      <w:sz w:val="36"/>
    </w:rPr>
  </w:style>
  <w:style w:type="character" w:customStyle="1" w:styleId="25">
    <w:name w:val="标题 2 字符"/>
    <w:link w:val="3"/>
    <w:uiPriority w:val="0"/>
    <w:rPr>
      <w:rFonts w:ascii="Arial" w:hAnsi="Arial" w:eastAsia="黑体"/>
      <w:sz w:val="28"/>
    </w:rPr>
  </w:style>
  <w:style w:type="character" w:customStyle="1" w:styleId="26">
    <w:name w:val="标题 3 字符"/>
    <w:link w:val="4"/>
    <w:uiPriority w:val="0"/>
    <w:rPr>
      <w:rFonts w:ascii="Times New Roman" w:hAnsi="Times New Roman" w:eastAsia="黑体"/>
      <w:sz w:val="24"/>
    </w:rPr>
  </w:style>
  <w:style w:type="character" w:customStyle="1" w:styleId="27">
    <w:name w:val="批注文字 字符"/>
    <w:link w:val="5"/>
    <w:uiPriority w:val="99"/>
  </w:style>
  <w:style w:type="character" w:customStyle="1" w:styleId="28">
    <w:name w:val="正文文本 字符1"/>
    <w:link w:val="7"/>
    <w:uiPriority w:val="0"/>
    <w:rPr>
      <w:kern w:val="2"/>
      <w:sz w:val="21"/>
    </w:rPr>
  </w:style>
  <w:style w:type="character" w:customStyle="1" w:styleId="29">
    <w:name w:val="正文文本缩进 字符1"/>
    <w:link w:val="8"/>
    <w:uiPriority w:val="0"/>
    <w:rPr>
      <w:rFonts w:ascii="Arial" w:hAnsi="Arial"/>
      <w:bCs/>
      <w:kern w:val="2"/>
      <w:sz w:val="24"/>
      <w:szCs w:val="24"/>
    </w:rPr>
  </w:style>
  <w:style w:type="character" w:customStyle="1" w:styleId="30">
    <w:name w:val="纯文本 字符1"/>
    <w:link w:val="10"/>
    <w:uiPriority w:val="0"/>
    <w:rPr>
      <w:rFonts w:ascii="宋体" w:hAnsi="Courier New"/>
      <w:kern w:val="2"/>
      <w:sz w:val="21"/>
      <w:szCs w:val="21"/>
    </w:rPr>
  </w:style>
  <w:style w:type="character" w:customStyle="1" w:styleId="31">
    <w:name w:val="正文文本缩进 2 字符1"/>
    <w:link w:val="11"/>
    <w:uiPriority w:val="0"/>
    <w:rPr>
      <w:kern w:val="2"/>
      <w:sz w:val="21"/>
      <w:szCs w:val="24"/>
    </w:rPr>
  </w:style>
  <w:style w:type="character" w:customStyle="1" w:styleId="32">
    <w:name w:val="页脚 字符"/>
    <w:link w:val="13"/>
    <w:uiPriority w:val="99"/>
    <w:rPr>
      <w:kern w:val="2"/>
      <w:sz w:val="18"/>
    </w:rPr>
  </w:style>
  <w:style w:type="character" w:customStyle="1" w:styleId="33">
    <w:name w:val="页眉 字符"/>
    <w:link w:val="14"/>
    <w:uiPriority w:val="0"/>
    <w:rPr>
      <w:kern w:val="2"/>
      <w:sz w:val="18"/>
    </w:rPr>
  </w:style>
  <w:style w:type="character" w:customStyle="1" w:styleId="34">
    <w:name w:val="正文文本 2 字符1"/>
    <w:link w:val="17"/>
    <w:uiPriority w:val="0"/>
    <w:rPr>
      <w:kern w:val="2"/>
      <w:sz w:val="21"/>
      <w:szCs w:val="24"/>
    </w:rPr>
  </w:style>
  <w:style w:type="character" w:customStyle="1" w:styleId="35">
    <w:name w:val="正文文本首行缩进 字符"/>
    <w:link w:val="19"/>
    <w:semiHidden/>
    <w:uiPriority w:val="99"/>
  </w:style>
  <w:style w:type="character" w:customStyle="1" w:styleId="36">
    <w:name w:val="正文文本 字符"/>
    <w:semiHidden/>
    <w:uiPriority w:val="99"/>
    <w:rPr>
      <w:kern w:val="2"/>
      <w:sz w:val="21"/>
    </w:rPr>
  </w:style>
  <w:style w:type="character" w:customStyle="1" w:styleId="37">
    <w:name w:val="正文首行缩进 Char"/>
    <w:link w:val="19"/>
    <w:uiPriority w:val="0"/>
    <w:rPr>
      <w:kern w:val="2"/>
      <w:sz w:val="21"/>
      <w:szCs w:val="24"/>
    </w:rPr>
  </w:style>
  <w:style w:type="character" w:customStyle="1" w:styleId="38">
    <w:name w:val="正文文本 2 字符"/>
    <w:semiHidden/>
    <w:uiPriority w:val="99"/>
    <w:rPr>
      <w:kern w:val="2"/>
      <w:sz w:val="21"/>
    </w:rPr>
  </w:style>
  <w:style w:type="paragraph" w:customStyle="1" w:styleId="39">
    <w:name w:val="_Style 31"/>
    <w:basedOn w:val="7"/>
    <w:next w:val="19"/>
    <w:uiPriority w:val="0"/>
    <w:pPr>
      <w:ind w:firstLine="420" w:firstLineChars="100"/>
    </w:pPr>
    <w:rPr>
      <w:szCs w:val="24"/>
    </w:rPr>
  </w:style>
  <w:style w:type="character" w:customStyle="1" w:styleId="40">
    <w:name w:val="正文文本缩进 2 字符"/>
    <w:semiHidden/>
    <w:uiPriority w:val="99"/>
    <w:rPr>
      <w:kern w:val="2"/>
      <w:sz w:val="21"/>
    </w:rPr>
  </w:style>
  <w:style w:type="character" w:customStyle="1" w:styleId="41">
    <w:name w:val="纯文本 字符"/>
    <w:semiHidden/>
    <w:uiPriority w:val="99"/>
    <w:rPr>
      <w:rFonts w:ascii="宋体" w:hAnsi="Courier New" w:cs="Courier New"/>
      <w:kern w:val="2"/>
      <w:sz w:val="21"/>
      <w:szCs w:val="21"/>
    </w:rPr>
  </w:style>
  <w:style w:type="character" w:customStyle="1" w:styleId="42">
    <w:name w:val="正文文本缩进 字符"/>
    <w:semiHidden/>
    <w:uiPriority w:val="99"/>
    <w:rPr>
      <w:kern w:val="2"/>
      <w:sz w:val="21"/>
    </w:rPr>
  </w:style>
  <w:style w:type="paragraph" w:customStyle="1" w:styleId="43">
    <w:name w:val="reader-word-lay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44">
    <w:name w:val="列出段落2"/>
    <w:basedOn w:val="1"/>
    <w:uiPriority w:val="0"/>
    <w:pPr>
      <w:ind w:firstLine="420" w:firstLineChars="200"/>
    </w:pPr>
    <w:rPr>
      <w:szCs w:val="24"/>
    </w:rPr>
  </w:style>
  <w:style w:type="paragraph" w:customStyle="1" w:styleId="45">
    <w:name w:val="主文"/>
    <w:basedOn w:val="1"/>
    <w:qFormat/>
    <w:uiPriority w:val="0"/>
    <w:pPr>
      <w:spacing w:line="360" w:lineRule="auto"/>
    </w:pPr>
    <w:rPr>
      <w:sz w:val="24"/>
    </w:rPr>
  </w:style>
  <w:style w:type="paragraph" w:customStyle="1" w:styleId="46">
    <w:name w:val="WPSOffice手动目录 1"/>
    <w:uiPriority w:val="0"/>
    <w:rPr>
      <w:rFonts w:ascii="Times New Roman" w:hAnsi="Times New Roman" w:eastAsia="宋体" w:cs="Times New Roman"/>
      <w:lang w:val="en-US" w:eastAsia="zh-CN" w:bidi="ar-SA"/>
    </w:rPr>
  </w:style>
  <w:style w:type="paragraph" w:customStyle="1" w:styleId="47">
    <w:name w:val="WPSOffice手动目录 2"/>
    <w:uiPriority w:val="0"/>
    <w:pPr>
      <w:ind w:leftChars="200"/>
    </w:pPr>
    <w:rPr>
      <w:rFonts w:ascii="Times New Roman" w:hAnsi="Times New Roman" w:eastAsia="宋体" w:cs="Times New Roman"/>
      <w:lang w:val="en-US" w:eastAsia="zh-CN" w:bidi="ar-SA"/>
    </w:rPr>
  </w:style>
  <w:style w:type="paragraph" w:customStyle="1" w:styleId="48">
    <w:name w:val="WPSOffice手动目录 3"/>
    <w:uiPriority w:val="0"/>
    <w:pPr>
      <w:ind w:leftChars="400"/>
    </w:pPr>
    <w:rPr>
      <w:rFonts w:ascii="Times New Roman" w:hAnsi="Times New Roman" w:eastAsia="宋体" w:cs="Times New Roman"/>
      <w:lang w:val="en-US" w:eastAsia="zh-CN" w:bidi="ar-SA"/>
    </w:rPr>
  </w:style>
  <w:style w:type="character" w:customStyle="1" w:styleId="49">
    <w:name w:val="批注框文本 Char"/>
    <w:link w:val="12"/>
    <w:semiHidden/>
    <w:uiPriority w:val="99"/>
    <w:rPr>
      <w:kern w:val="2"/>
      <w:sz w:val="18"/>
      <w:szCs w:val="18"/>
    </w:rPr>
  </w:style>
  <w:style w:type="character" w:customStyle="1" w:styleId="50">
    <w:name w:val="页脚 Char"/>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21150;&#20844;&#29992;\&#25991;&#20214;&#27169;&#26495;\&#20844;&#2599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70"/>
    <customShpInfo spid="_x0000_s1071"/>
    <customShpInfo spid="_x0000_s1060"/>
    <customShpInfo spid="_x0000_s1062"/>
    <customShpInfo spid="_x0000_s1068"/>
    <customShpInfo spid="_x0000_s1047"/>
    <customShpInfo spid="_x0000_s1069"/>
    <customShpInfo spid="_x0000_s1042"/>
    <customShpInfo spid="_x0000_s1043"/>
    <customShpInfo spid="_x0000_s104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公文</Template>
  <Pages>50</Pages>
  <Words>762</Words>
  <Characters>4344</Characters>
  <Lines>36</Lines>
  <Paragraphs>10</Paragraphs>
  <TotalTime>0</TotalTime>
  <ScaleCrop>false</ScaleCrop>
  <LinksUpToDate>false</LinksUpToDate>
  <CharactersWithSpaces>5096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2025-10-11T01:48:00Z</dcterms:created>
  <dc:creator>秦凤</dc:creator>
  <cp:lastModifiedBy>Administrator</cp:lastModifiedBy>
  <cp:lastPrinted>2001-01-04T07:59:00Z</cp:lastPrinted>
  <dcterms:modified xsi:type="dcterms:W3CDTF">2026-10-18T02:22:28Z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F20ECA8975404C849C7689391D367195_13</vt:lpwstr>
  </property>
</Properties>
</file>