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50DF9">
      <w:pPr>
        <w:spacing w:line="300" w:lineRule="auto"/>
        <w:jc w:val="center"/>
        <w:rPr>
          <w:rFonts w:hint="eastAsia"/>
          <w:b/>
          <w:bCs/>
          <w:sz w:val="36"/>
        </w:rPr>
      </w:pPr>
      <w:bookmarkStart w:id="0" w:name="_GoBack"/>
      <w:bookmarkEnd w:id="0"/>
      <w:r>
        <w:rPr>
          <w:rFonts w:hint="eastAsia"/>
          <w:b/>
          <w:bCs/>
          <w:sz w:val="36"/>
        </w:rPr>
        <w:t>上海应用技术大学毕业设计（论文）任务书</w:t>
      </w:r>
    </w:p>
    <w:tbl>
      <w:tblPr>
        <w:tblStyle w:val="7"/>
        <w:tblW w:w="96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7923"/>
      </w:tblGrid>
      <w:tr w14:paraId="7BB2D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9648" w:type="dxa"/>
            <w:gridSpan w:val="2"/>
            <w:noWrap w:val="0"/>
            <w:vAlign w:val="center"/>
          </w:tcPr>
          <w:p w14:paraId="242FEC69">
            <w:pPr>
              <w:pStyle w:val="2"/>
              <w:spacing w:line="300" w:lineRule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题目： 基于事件驱动与市场情绪的A股仓位决策闭环与刻度校准研究——StockSignal平台的设计与实现</w:t>
            </w:r>
          </w:p>
          <w:p w14:paraId="4CA64CED">
            <w:pPr>
              <w:pStyle w:val="2"/>
              <w:spacing w:line="300" w:lineRule="auto"/>
              <w:rPr>
                <w:rFonts w:hint="eastAsia"/>
                <w:sz w:val="24"/>
                <w:lang w:eastAsia="zh-CN"/>
              </w:rPr>
            </w:pPr>
          </w:p>
        </w:tc>
      </w:tr>
      <w:tr w14:paraId="438D3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9648" w:type="dxa"/>
            <w:gridSpan w:val="2"/>
            <w:noWrap w:val="0"/>
            <w:vAlign w:val="top"/>
          </w:tcPr>
          <w:p w14:paraId="725DFE6A">
            <w:pPr>
              <w:pStyle w:val="2"/>
              <w:spacing w:line="300" w:lineRule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学生姓名： 黄子州        学号： 231042Y133           专业： 计算机科学与技术</w:t>
            </w:r>
          </w:p>
          <w:p w14:paraId="41F0F8CD">
            <w:pPr>
              <w:pStyle w:val="2"/>
              <w:spacing w:line="300" w:lineRule="auto"/>
              <w:rPr>
                <w:rFonts w:hint="eastAsia"/>
                <w:sz w:val="24"/>
                <w:lang w:eastAsia="zh-CN"/>
              </w:rPr>
            </w:pPr>
          </w:p>
        </w:tc>
      </w:tr>
      <w:tr w14:paraId="39504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9648" w:type="dxa"/>
            <w:gridSpan w:val="2"/>
            <w:noWrap w:val="0"/>
            <w:vAlign w:val="center"/>
          </w:tcPr>
          <w:p w14:paraId="5AA3A804">
            <w:pPr>
              <w:pStyle w:val="2"/>
              <w:spacing w:line="300" w:lineRule="auto"/>
              <w:rPr>
                <w:rFonts w:hint="eastAsia"/>
                <w:sz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任务起止日期： 2025-11 至 2026-06</w:t>
            </w:r>
          </w:p>
          <w:p w14:paraId="1294B606">
            <w:pPr>
              <w:pStyle w:val="2"/>
              <w:spacing w:line="300" w:lineRule="auto"/>
              <w:rPr>
                <w:rFonts w:hint="eastAsia"/>
                <w:sz w:val="24"/>
                <w:lang w:eastAsia="zh-CN"/>
              </w:rPr>
            </w:pPr>
          </w:p>
        </w:tc>
      </w:tr>
      <w:tr w14:paraId="739C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2" w:hRule="atLeast"/>
        </w:trPr>
        <w:tc>
          <w:tcPr>
            <w:tcW w:w="9648" w:type="dxa"/>
            <w:gridSpan w:val="2"/>
            <w:noWrap w:val="0"/>
            <w:vAlign w:val="top"/>
          </w:tcPr>
          <w:p w14:paraId="2348E05F">
            <w:pPr>
              <w:pStyle w:val="2"/>
              <w:numPr>
                <w:ilvl w:val="0"/>
                <w:numId w:val="1"/>
              </w:num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课题的任务内容：</w:t>
            </w:r>
          </w:p>
          <w:p w14:paraId="232B0045">
            <w:pPr>
              <w:widowControl/>
              <w:adjustRightInd w:val="0"/>
              <w:snapToGrid w:val="0"/>
              <w:spacing w:line="300" w:lineRule="auto"/>
              <w:ind w:firstLine="480" w:firstLineChars="200"/>
              <w:rPr>
                <w:rFonts w:hint="eastAsia"/>
                <w:sz w:val="24"/>
                <w:szCs w:val="28"/>
              </w:rPr>
            </w:pPr>
          </w:p>
          <w:p w14:paraId="5CC10F2A">
            <w:pPr>
              <w:widowControl/>
              <w:adjustRightInd w:val="0"/>
              <w:snapToGrid w:val="0"/>
              <w:spacing w:line="300" w:lineRule="auto"/>
              <w:ind w:firstLine="420" w:firstLineChars="200"/>
              <w:rPr>
                <w:rFonts w:hint="eastAsia" w:eastAsia="宋体"/>
                <w:sz w:val="24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8"/>
                <w:lang w:eastAsia="zh-CN"/>
              </w:rPr>
              <w:t>设计并实现一个面向 A 股个人投资者的事件驱动投资分析与仓位决策平台（StockSignal）。平台以"多源行情采集 → 事件追踪与情绪量化 → 决策闭环（可解释仓位建议）→ 刻度校准（小样本不表态的自纠偏）→ 回测验证（真实成本模型）"为主线，完成从数据基础设施到交互前端的完整工程化实现，并以 4092 个交易日的全市场广度历史对完整决策链路进行实证评估。</w:t>
            </w:r>
          </w:p>
        </w:tc>
      </w:tr>
      <w:tr w14:paraId="16088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atLeast"/>
        </w:trPr>
        <w:tc>
          <w:tcPr>
            <w:tcW w:w="9648" w:type="dxa"/>
            <w:gridSpan w:val="2"/>
            <w:noWrap w:val="0"/>
            <w:vAlign w:val="top"/>
          </w:tcPr>
          <w:p w14:paraId="29FC7A69">
            <w:pPr>
              <w:pStyle w:val="2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二、原始条件及数据：</w:t>
            </w:r>
          </w:p>
          <w:p w14:paraId="7CF008E3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  <w:p w14:paraId="54D986DA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1. 行情数据：AKShare / BaoStock / 新浪财经 / 东方财富四级数据源（自动降级链），本地 SQLite 缓存；</w:t>
            </w:r>
          </w:p>
          <w:p w14:paraId="72D24336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2. 历史广度数据：重建 2007–2026 年共 4798 个交易日的全市场广度与情绪历史（离线可复现、防覆盖双备份）；</w:t>
            </w:r>
          </w:p>
          <w:p w14:paraId="14BE8CD7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3. 技术底座：Python 3.13 + Streamlit + Flask/FastAPI + SQLite；平台已实现 68 个功能页面、自动化测试 3300+ 条、75 个 REST 端点（真实工程环境，非玩具原型）。</w:t>
            </w:r>
          </w:p>
        </w:tc>
      </w:tr>
      <w:tr w14:paraId="404A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1" w:hRule="atLeast"/>
        </w:trPr>
        <w:tc>
          <w:tcPr>
            <w:tcW w:w="9648" w:type="dxa"/>
            <w:gridSpan w:val="2"/>
            <w:noWrap w:val="0"/>
            <w:vAlign w:val="top"/>
          </w:tcPr>
          <w:p w14:paraId="0732388D">
            <w:pPr>
              <w:pStyle w:val="2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三、设计的技术要求（论文的研究要求）：</w:t>
            </w:r>
          </w:p>
          <w:p w14:paraId="6C2220D5">
            <w:pPr>
              <w:spacing w:line="300" w:lineRule="auto"/>
              <w:rPr>
                <w:rFonts w:hint="eastAsia" w:ascii="宋体" w:hAnsi="宋体"/>
                <w:sz w:val="24"/>
              </w:rPr>
            </w:pPr>
          </w:p>
          <w:p w14:paraId="280032AE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1. 决策单一实现入口：仓位建议必须收敛到唯一函数 derive_position（clamp 5~95），每个建议可分解到逐因子贡献；</w:t>
            </w:r>
          </w:p>
          <w:p w14:paraId="4D8C139E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2. 诚实数据语义：数据不可得时如实返回 unavailable，绝不编造、绝不默认 0；小样本时校准机制拒绝表态；</w:t>
            </w:r>
          </w:p>
          <w:p w14:paraId="600CE748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3. 成本模型：回测必须内置佣金/滑点/印花税，业绩归因区分"信号收益"与"执行损耗"；</w:t>
            </w:r>
          </w:p>
          <w:p w14:paraId="3BD6FFF2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4. 可验证性：关键数字由自动化对账守卫与论文正文逐项比对，防止数据漂移。</w:t>
            </w:r>
          </w:p>
        </w:tc>
      </w:tr>
      <w:tr w14:paraId="7A91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5" w:hRule="atLeast"/>
        </w:trPr>
        <w:tc>
          <w:tcPr>
            <w:tcW w:w="9648" w:type="dxa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4E35F9DD">
            <w:pPr>
              <w:pStyle w:val="2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四、毕业设计（论文）应完成的具体工作：</w:t>
            </w:r>
          </w:p>
          <w:p w14:paraId="76B596FC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  <w:p w14:paraId="694CC29F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1. 完成平台核心模块设计与实现（行情看板、事件追踪、回测引擎、决策闭环、多源治理）；</w:t>
            </w:r>
          </w:p>
          <w:p w14:paraId="300B6D72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2. 完成大规模历史广度回测实证（4092 交易日），验证"方向预测≈随机、仓位刻度价值"的核心命题；</w:t>
            </w:r>
          </w:p>
          <w:p w14:paraId="704BD196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3. 完成决策闭环与刻度校准机制的真实数据评估（n=17 快照持续累积）；</w:t>
            </w:r>
          </w:p>
          <w:p w14:paraId="56145D7A">
            <w:pPr>
              <w:pStyle w:val="2"/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4. 完成论文撰写（含摘要、正文七章、参考文献不少于 10 篇其中外文不少于 2 篇）与答辩准备。</w:t>
            </w:r>
          </w:p>
          <w:p w14:paraId="2EF089DE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  <w:p w14:paraId="301BC84C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  <w:p w14:paraId="7C01DBF2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  <w:p w14:paraId="50547ADD">
            <w:pPr>
              <w:pStyle w:val="2"/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软硬件名称、内容及主要的技术指标（可按以下类型选择）：</w:t>
            </w:r>
          </w:p>
        </w:tc>
      </w:tr>
      <w:tr w14:paraId="0547B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25" w:type="dxa"/>
            <w:noWrap w:val="0"/>
            <w:vAlign w:val="center"/>
          </w:tcPr>
          <w:p w14:paraId="4B1F6380">
            <w:pPr>
              <w:pStyle w:val="2"/>
              <w:spacing w:line="300" w:lineRule="auto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计算机软件</w:t>
            </w:r>
          </w:p>
        </w:tc>
        <w:tc>
          <w:tcPr>
            <w:tcW w:w="7923" w:type="dxa"/>
            <w:noWrap w:val="0"/>
            <w:vAlign w:val="top"/>
          </w:tcPr>
          <w:p w14:paraId="01C31D17">
            <w:pPr>
              <w:pStyle w:val="2"/>
              <w:spacing w:line="300" w:lineRule="auto"/>
              <w:ind w:left="7512"/>
              <w:rPr>
                <w:rFonts w:hint="eastAsia"/>
                <w:sz w:val="24"/>
              </w:rPr>
            </w:pPr>
          </w:p>
        </w:tc>
      </w:tr>
      <w:tr w14:paraId="63C2C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25" w:type="dxa"/>
            <w:noWrap w:val="0"/>
            <w:vAlign w:val="center"/>
          </w:tcPr>
          <w:p w14:paraId="1A9185DB">
            <w:pPr>
              <w:pStyle w:val="2"/>
              <w:spacing w:line="300" w:lineRule="auto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      纸</w:t>
            </w:r>
          </w:p>
        </w:tc>
        <w:tc>
          <w:tcPr>
            <w:tcW w:w="7923" w:type="dxa"/>
            <w:noWrap w:val="0"/>
            <w:vAlign w:val="top"/>
          </w:tcPr>
          <w:p w14:paraId="0A7EAE9B">
            <w:pPr>
              <w:pStyle w:val="2"/>
              <w:spacing w:line="300" w:lineRule="auto"/>
              <w:ind w:left="7392"/>
              <w:rPr>
                <w:rFonts w:hint="eastAsia"/>
                <w:sz w:val="24"/>
              </w:rPr>
            </w:pPr>
          </w:p>
        </w:tc>
      </w:tr>
      <w:tr w14:paraId="0328F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25" w:type="dxa"/>
            <w:noWrap w:val="0"/>
            <w:vAlign w:val="center"/>
          </w:tcPr>
          <w:p w14:paraId="0A04B8BA">
            <w:pPr>
              <w:pStyle w:val="2"/>
              <w:spacing w:line="300" w:lineRule="auto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  路  板</w:t>
            </w:r>
          </w:p>
        </w:tc>
        <w:tc>
          <w:tcPr>
            <w:tcW w:w="7923" w:type="dxa"/>
            <w:noWrap w:val="0"/>
            <w:vAlign w:val="top"/>
          </w:tcPr>
          <w:p w14:paraId="4C98A4E2">
            <w:pPr>
              <w:pStyle w:val="2"/>
              <w:spacing w:line="300" w:lineRule="auto"/>
              <w:ind w:left="7632"/>
              <w:rPr>
                <w:rFonts w:hint="eastAsia"/>
                <w:sz w:val="24"/>
              </w:rPr>
            </w:pPr>
          </w:p>
        </w:tc>
      </w:tr>
      <w:tr w14:paraId="6635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25" w:type="dxa"/>
            <w:noWrap w:val="0"/>
            <w:vAlign w:val="center"/>
          </w:tcPr>
          <w:p w14:paraId="149F1B46">
            <w:pPr>
              <w:pStyle w:val="2"/>
              <w:spacing w:line="300" w:lineRule="auto"/>
              <w:ind w:firstLine="120" w:firstLineChars="50"/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机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24"/>
              </w:rPr>
              <w:t>电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24"/>
              </w:rPr>
              <w:t>装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24"/>
              </w:rPr>
              <w:t>置</w:t>
            </w:r>
          </w:p>
        </w:tc>
        <w:tc>
          <w:tcPr>
            <w:tcW w:w="7923" w:type="dxa"/>
            <w:noWrap w:val="0"/>
            <w:vAlign w:val="top"/>
          </w:tcPr>
          <w:p w14:paraId="35FD3C47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</w:tc>
      </w:tr>
      <w:tr w14:paraId="34307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25" w:type="dxa"/>
            <w:noWrap w:val="0"/>
            <w:vAlign w:val="center"/>
          </w:tcPr>
          <w:p w14:paraId="7ED37666">
            <w:pPr>
              <w:pStyle w:val="2"/>
              <w:spacing w:line="300" w:lineRule="auto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新材料制剂</w:t>
            </w:r>
          </w:p>
        </w:tc>
        <w:tc>
          <w:tcPr>
            <w:tcW w:w="7923" w:type="dxa"/>
            <w:noWrap w:val="0"/>
            <w:vAlign w:val="top"/>
          </w:tcPr>
          <w:p w14:paraId="429A701D">
            <w:pPr>
              <w:pStyle w:val="2"/>
              <w:spacing w:line="300" w:lineRule="auto"/>
              <w:ind w:left="7392"/>
              <w:rPr>
                <w:rFonts w:hint="eastAsia"/>
                <w:sz w:val="24"/>
              </w:rPr>
            </w:pPr>
          </w:p>
        </w:tc>
      </w:tr>
      <w:tr w14:paraId="69D8D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725" w:type="dxa"/>
            <w:noWrap w:val="0"/>
            <w:vAlign w:val="center"/>
          </w:tcPr>
          <w:p w14:paraId="233F4556">
            <w:pPr>
              <w:pStyle w:val="2"/>
              <w:spacing w:line="300" w:lineRule="auto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24"/>
              </w:rPr>
              <w:t>构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24"/>
              </w:rPr>
              <w:t>模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24"/>
              </w:rPr>
              <w:t>型</w:t>
            </w:r>
          </w:p>
        </w:tc>
        <w:tc>
          <w:tcPr>
            <w:tcW w:w="7923" w:type="dxa"/>
            <w:noWrap w:val="0"/>
            <w:vAlign w:val="top"/>
          </w:tcPr>
          <w:p w14:paraId="044D5C4A">
            <w:pPr>
              <w:pStyle w:val="2"/>
              <w:spacing w:line="300" w:lineRule="auto"/>
              <w:ind w:left="7392"/>
              <w:rPr>
                <w:rFonts w:hint="eastAsia"/>
                <w:sz w:val="24"/>
              </w:rPr>
            </w:pPr>
          </w:p>
        </w:tc>
      </w:tr>
      <w:tr w14:paraId="44BEC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725" w:type="dxa"/>
            <w:noWrap w:val="0"/>
            <w:vAlign w:val="center"/>
          </w:tcPr>
          <w:p w14:paraId="176B27EE">
            <w:pPr>
              <w:pStyle w:val="2"/>
              <w:spacing w:line="300" w:lineRule="auto"/>
              <w:ind w:firstLine="120" w:firstLineChars="5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      他</w:t>
            </w:r>
          </w:p>
        </w:tc>
        <w:tc>
          <w:tcPr>
            <w:tcW w:w="7923" w:type="dxa"/>
            <w:noWrap w:val="0"/>
            <w:vAlign w:val="top"/>
          </w:tcPr>
          <w:p w14:paraId="76102112">
            <w:pPr>
              <w:pStyle w:val="2"/>
              <w:spacing w:line="300" w:lineRule="auto"/>
              <w:rPr>
                <w:rFonts w:hint="eastAsia"/>
                <w:sz w:val="24"/>
              </w:rPr>
            </w:pPr>
          </w:p>
        </w:tc>
      </w:tr>
      <w:tr w14:paraId="6F96F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5" w:hRule="atLeast"/>
        </w:trPr>
        <w:tc>
          <w:tcPr>
            <w:tcW w:w="9648" w:type="dxa"/>
            <w:gridSpan w:val="2"/>
            <w:noWrap w:val="0"/>
            <w:vAlign w:val="top"/>
          </w:tcPr>
          <w:p w14:paraId="5B22E6B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szCs w:val="28"/>
              </w:rPr>
              <w:t>五、</w:t>
            </w:r>
            <w:r>
              <w:rPr>
                <w:rFonts w:hint="eastAsia"/>
                <w:sz w:val="24"/>
              </w:rPr>
              <w:t>查阅文献要求及主要的参考文献：</w:t>
            </w:r>
          </w:p>
          <w:p w14:paraId="50BB4822">
            <w:pPr>
              <w:spacing w:line="300" w:lineRule="auto"/>
              <w:rPr>
                <w:rFonts w:hint="eastAsia"/>
                <w:sz w:val="24"/>
              </w:rPr>
            </w:pPr>
          </w:p>
          <w:p w14:paraId="4B22BC91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查阅文献不少于 10 篇（外文不少于 2 篇），按 GB7714-2005 著录。主要参考文献：</w:t>
            </w:r>
          </w:p>
          <w:p w14:paraId="3AD1CED6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[1] MacKinlay A C. Event Studies in Economics and Finance[J]. Journal of Economic Literature, 1997, 35(1): 13-39.</w:t>
            </w:r>
          </w:p>
          <w:p w14:paraId="49F66690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[2] Brown S J, Warner J B. Using Daily Stock Returns: The Case of Event Studies[J]. Journal of Financial Economics, 1985, 14(1): 3-31.</w:t>
            </w:r>
          </w:p>
          <w:p w14:paraId="345A5907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[3] Markowitz H. Portfolio Selection[J]. Journal of Finance, 1952, 7(1): 77-91.</w:t>
            </w:r>
          </w:p>
          <w:p w14:paraId="4CC6BA53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[4] 赵宇龙. 会计盈余披露的信息含量——来自上海股市的经验证据[J]. 经济研究, 1998(7): 41-49.</w:t>
            </w:r>
          </w:p>
          <w:p w14:paraId="423C789A">
            <w:pPr>
              <w:spacing w:line="300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[5] Perold A F. The Implementation Gap: A Reexamination of Buy-and-Hold Returns[J]. Journal of Portfolio Management, 1988, 14(2): 12-19.</w:t>
            </w:r>
          </w:p>
        </w:tc>
      </w:tr>
      <w:tr w14:paraId="73538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4" w:hRule="atLeast"/>
        </w:trPr>
        <w:tc>
          <w:tcPr>
            <w:tcW w:w="9648" w:type="dxa"/>
            <w:gridSpan w:val="2"/>
            <w:noWrap w:val="0"/>
            <w:vAlign w:val="top"/>
          </w:tcPr>
          <w:p w14:paraId="4095C02C">
            <w:pPr>
              <w:spacing w:line="300" w:lineRule="auto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六、进度安排：（设计或论文各阶段的要求，时间安排）：</w:t>
            </w:r>
          </w:p>
          <w:p w14:paraId="48847AC0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/>
                <w:sz w:val="24"/>
              </w:rPr>
            </w:pPr>
          </w:p>
          <w:p w14:paraId="25959FF4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2025-11：选题、文献调研、开题报告；</w:t>
            </w:r>
          </w:p>
          <w:p w14:paraId="34D8F20E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2025-12 ~ 2026-01：需求分析与总体设计（架构/数据库/数据源降级链）；</w:t>
            </w:r>
          </w:p>
          <w:p w14:paraId="1F632E4C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2026-02 ~ 2026-03：核心模块实现（行情看板、事件追踪、回测引擎、决策闭环）；</w:t>
            </w:r>
          </w:p>
          <w:p w14:paraId="0D7ED172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2026-04：创新点深化（刻度校准）与大规模回测实证；</w:t>
            </w:r>
          </w:p>
          <w:p w14:paraId="2409A388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2026-05：系统测试与评估、论文初稿撰写；</w:t>
            </w:r>
          </w:p>
          <w:p w14:paraId="3D53B8B8">
            <w:pPr>
              <w:tabs>
                <w:tab w:val="left" w:pos="540"/>
                <w:tab w:val="left" w:pos="840"/>
              </w:tabs>
              <w:spacing w:after="62" w:afterLines="20" w:line="276" w:lineRule="auto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lang w:eastAsia="zh-CN"/>
              </w:rPr>
              <w:t>2026-06：论文修改定稿、答辩准备与答辩。</w:t>
            </w:r>
          </w:p>
        </w:tc>
      </w:tr>
      <w:tr w14:paraId="7191B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6" w:hRule="atLeast"/>
        </w:trPr>
        <w:tc>
          <w:tcPr>
            <w:tcW w:w="9648" w:type="dxa"/>
            <w:gridSpan w:val="2"/>
            <w:noWrap w:val="0"/>
            <w:vAlign w:val="top"/>
          </w:tcPr>
          <w:p w14:paraId="490ACEA3">
            <w:pPr>
              <w:spacing w:line="300" w:lineRule="auto"/>
              <w:rPr>
                <w:rFonts w:hint="eastAsia"/>
                <w:sz w:val="24"/>
                <w:szCs w:val="18"/>
              </w:rPr>
            </w:pPr>
            <w:r>
              <w:rPr>
                <w:rFonts w:hint="eastAsia"/>
                <w:sz w:val="24"/>
                <w:szCs w:val="28"/>
              </w:rPr>
              <w:t xml:space="preserve">指导教师： </w:t>
            </w:r>
            <w:r>
              <w:rPr>
                <w:rFonts w:hint="eastAsia"/>
                <w:sz w:val="24"/>
                <w:szCs w:val="28"/>
                <w:u w:val="single"/>
              </w:rPr>
              <w:t xml:space="preserve">                </w:t>
            </w:r>
            <w:r>
              <w:rPr>
                <w:rFonts w:hint="eastAsia"/>
                <w:sz w:val="24"/>
                <w:szCs w:val="28"/>
              </w:rPr>
              <w:t xml:space="preserve">                        年    月   日</w:t>
            </w:r>
            <w:r>
              <w:rPr>
                <w:rFonts w:hint="eastAsia"/>
                <w:sz w:val="24"/>
                <w:szCs w:val="18"/>
              </w:rPr>
              <w:t xml:space="preserve">  </w:t>
            </w:r>
          </w:p>
        </w:tc>
      </w:tr>
      <w:tr w14:paraId="39E29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9648" w:type="dxa"/>
            <w:gridSpan w:val="2"/>
            <w:noWrap w:val="0"/>
            <w:vAlign w:val="top"/>
          </w:tcPr>
          <w:p w14:paraId="7E1F46BF">
            <w:pPr>
              <w:spacing w:line="300" w:lineRule="auto"/>
              <w:rPr>
                <w:rFonts w:hint="eastAsia"/>
                <w:sz w:val="24"/>
                <w:szCs w:val="18"/>
              </w:rPr>
            </w:pPr>
            <w:r>
              <w:rPr>
                <w:rFonts w:hint="eastAsia"/>
                <w:sz w:val="24"/>
                <w:szCs w:val="18"/>
              </w:rPr>
              <w:t xml:space="preserve">审核意见： </w:t>
            </w:r>
          </w:p>
          <w:p w14:paraId="0D169A54">
            <w:pPr>
              <w:spacing w:line="300" w:lineRule="auto"/>
              <w:rPr>
                <w:rFonts w:hint="eastAsia"/>
                <w:sz w:val="24"/>
                <w:szCs w:val="18"/>
              </w:rPr>
            </w:pPr>
            <w:r>
              <w:rPr>
                <w:rFonts w:hint="eastAsia"/>
                <w:sz w:val="24"/>
                <w:szCs w:val="18"/>
              </w:rPr>
              <w:t xml:space="preserve">教研室主任： </w:t>
            </w:r>
            <w:r>
              <w:rPr>
                <w:rFonts w:hint="eastAsia"/>
                <w:sz w:val="24"/>
                <w:szCs w:val="18"/>
                <w:u w:val="single"/>
              </w:rPr>
              <w:t xml:space="preserve">            </w:t>
            </w:r>
            <w:r>
              <w:rPr>
                <w:rFonts w:hint="eastAsia"/>
                <w:sz w:val="24"/>
                <w:szCs w:val="18"/>
              </w:rPr>
              <w:t xml:space="preserve">                          年    月   日</w:t>
            </w:r>
          </w:p>
        </w:tc>
      </w:tr>
    </w:tbl>
    <w:p w14:paraId="1694E744">
      <w:pPr>
        <w:spacing w:line="300" w:lineRule="auto"/>
        <w:rPr>
          <w:rFonts w:hint="eastAsia"/>
        </w:rPr>
      </w:pPr>
    </w:p>
    <w:sectPr>
      <w:pgSz w:w="11906" w:h="16838"/>
      <w:pgMar w:top="1402" w:right="1247" w:bottom="1091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24193"/>
    <w:multiLevelType w:val="multilevel"/>
    <w:tmpl w:val="04C24193"/>
    <w:lvl w:ilvl="0" w:tentative="0">
      <w:start w:val="1"/>
      <w:numFmt w:val="none"/>
      <w:lvlText w:val="一、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929DC"/>
    <w:rsid w:val="000009FC"/>
    <w:rsid w:val="0001342D"/>
    <w:rsid w:val="000742F7"/>
    <w:rsid w:val="00080E93"/>
    <w:rsid w:val="00082AEC"/>
    <w:rsid w:val="000A126B"/>
    <w:rsid w:val="000B0F95"/>
    <w:rsid w:val="000B5BEC"/>
    <w:rsid w:val="000C5B0B"/>
    <w:rsid w:val="00102B89"/>
    <w:rsid w:val="00144611"/>
    <w:rsid w:val="001929DC"/>
    <w:rsid w:val="001B2621"/>
    <w:rsid w:val="001C19D0"/>
    <w:rsid w:val="001E56FB"/>
    <w:rsid w:val="00200459"/>
    <w:rsid w:val="00224C5C"/>
    <w:rsid w:val="00263F21"/>
    <w:rsid w:val="002643BC"/>
    <w:rsid w:val="00276A63"/>
    <w:rsid w:val="002828C8"/>
    <w:rsid w:val="002B2AB0"/>
    <w:rsid w:val="002D3C30"/>
    <w:rsid w:val="0033153F"/>
    <w:rsid w:val="00350125"/>
    <w:rsid w:val="00350A65"/>
    <w:rsid w:val="003526F3"/>
    <w:rsid w:val="0038534D"/>
    <w:rsid w:val="0039340F"/>
    <w:rsid w:val="003E3308"/>
    <w:rsid w:val="003E6728"/>
    <w:rsid w:val="00401C2D"/>
    <w:rsid w:val="00407E0C"/>
    <w:rsid w:val="00446767"/>
    <w:rsid w:val="0045349C"/>
    <w:rsid w:val="004A27CF"/>
    <w:rsid w:val="004A7C97"/>
    <w:rsid w:val="004C30D1"/>
    <w:rsid w:val="004D5EA0"/>
    <w:rsid w:val="00503D03"/>
    <w:rsid w:val="00525AFD"/>
    <w:rsid w:val="0054427C"/>
    <w:rsid w:val="00546C6C"/>
    <w:rsid w:val="006106EA"/>
    <w:rsid w:val="0062626F"/>
    <w:rsid w:val="00627722"/>
    <w:rsid w:val="006962E3"/>
    <w:rsid w:val="006A56A8"/>
    <w:rsid w:val="006A7110"/>
    <w:rsid w:val="006F7883"/>
    <w:rsid w:val="00716EF7"/>
    <w:rsid w:val="00724FF0"/>
    <w:rsid w:val="00773078"/>
    <w:rsid w:val="0079737E"/>
    <w:rsid w:val="00814330"/>
    <w:rsid w:val="008317A4"/>
    <w:rsid w:val="00844AFA"/>
    <w:rsid w:val="008656A1"/>
    <w:rsid w:val="00877365"/>
    <w:rsid w:val="008A048D"/>
    <w:rsid w:val="008F167D"/>
    <w:rsid w:val="00907FEA"/>
    <w:rsid w:val="00944084"/>
    <w:rsid w:val="00946DF1"/>
    <w:rsid w:val="0095261A"/>
    <w:rsid w:val="00975797"/>
    <w:rsid w:val="00975C73"/>
    <w:rsid w:val="00984711"/>
    <w:rsid w:val="00996F99"/>
    <w:rsid w:val="009D0761"/>
    <w:rsid w:val="009F5D75"/>
    <w:rsid w:val="009F6982"/>
    <w:rsid w:val="009F7077"/>
    <w:rsid w:val="00A030D2"/>
    <w:rsid w:val="00A2782F"/>
    <w:rsid w:val="00A313CC"/>
    <w:rsid w:val="00A315C5"/>
    <w:rsid w:val="00A31C96"/>
    <w:rsid w:val="00A37B47"/>
    <w:rsid w:val="00A407D0"/>
    <w:rsid w:val="00A60F8C"/>
    <w:rsid w:val="00A6675B"/>
    <w:rsid w:val="00A97B87"/>
    <w:rsid w:val="00AC08FC"/>
    <w:rsid w:val="00B0732A"/>
    <w:rsid w:val="00B217C2"/>
    <w:rsid w:val="00B22216"/>
    <w:rsid w:val="00B52F9A"/>
    <w:rsid w:val="00B7196C"/>
    <w:rsid w:val="00B759F3"/>
    <w:rsid w:val="00BA629E"/>
    <w:rsid w:val="00BC6341"/>
    <w:rsid w:val="00BC68D5"/>
    <w:rsid w:val="00C008CE"/>
    <w:rsid w:val="00C05306"/>
    <w:rsid w:val="00C37205"/>
    <w:rsid w:val="00C65D64"/>
    <w:rsid w:val="00C81C17"/>
    <w:rsid w:val="00C873C7"/>
    <w:rsid w:val="00C911FF"/>
    <w:rsid w:val="00CA0DDF"/>
    <w:rsid w:val="00CE0152"/>
    <w:rsid w:val="00CF08FA"/>
    <w:rsid w:val="00CF0CF6"/>
    <w:rsid w:val="00D03A49"/>
    <w:rsid w:val="00D12523"/>
    <w:rsid w:val="00D15D73"/>
    <w:rsid w:val="00D34A7F"/>
    <w:rsid w:val="00D35BE9"/>
    <w:rsid w:val="00DD13E3"/>
    <w:rsid w:val="00E20584"/>
    <w:rsid w:val="00E6324D"/>
    <w:rsid w:val="00E82B49"/>
    <w:rsid w:val="00EC2E58"/>
    <w:rsid w:val="00EC4EE9"/>
    <w:rsid w:val="00EC65FD"/>
    <w:rsid w:val="00EE272E"/>
    <w:rsid w:val="00F343AD"/>
    <w:rsid w:val="00F3600B"/>
    <w:rsid w:val="00FE5D05"/>
    <w:rsid w:val="43041807"/>
    <w:rsid w:val="58085681"/>
    <w:rsid w:val="5C412C7B"/>
    <w:rsid w:val="648916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28"/>
      <w:szCs w:val="28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2"/>
    <w:basedOn w:val="1"/>
    <w:uiPriority w:val="0"/>
    <w:rPr>
      <w:color w:val="FF0000"/>
      <w:sz w:val="18"/>
      <w:szCs w:val="21"/>
    </w:rPr>
  </w:style>
  <w:style w:type="character" w:styleId="9">
    <w:name w:val="Hyperlink"/>
    <w:unhideWhenUsed/>
    <w:uiPriority w:val="99"/>
    <w:rPr>
      <w:color w:val="003366"/>
      <w:u w:val="none"/>
    </w:rPr>
  </w:style>
  <w:style w:type="paragraph" w:customStyle="1" w:styleId="10">
    <w:name w:val="List Paragraph1"/>
    <w:basedOn w:val="1"/>
    <w:uiPriority w:val="0"/>
    <w:pPr>
      <w:ind w:firstLine="420" w:firstLineChars="200"/>
    </w:pPr>
    <w:rPr>
      <w:szCs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SIT</Company>
  <Pages>2</Pages>
  <Words>75</Words>
  <Characters>431</Characters>
  <Lines>3</Lines>
  <Paragraphs>1</Paragraphs>
  <TotalTime>0</TotalTime>
  <ScaleCrop>false</ScaleCrop>
  <LinksUpToDate>false</LinksUpToDate>
  <CharactersWithSpaces>505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2011-01-07T10:22:00Z</dcterms:created>
  <dc:creator>mazc</dc:creator>
  <cp:lastModifiedBy>Administrator</cp:lastModifiedBy>
  <cp:lastPrinted>2007-12-03T01:36:00Z</cp:lastPrinted>
  <dcterms:modified xsi:type="dcterms:W3CDTF">2026-10-17T09:40:25Z</dcterms:modified>
  <dc:title>上海应用技术学院课程设计任务书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876C8A5A809341C890A821B95C12AC48_13</vt:lpwstr>
  </property>
</Properties>
</file>