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
        <w:rPr>
          <w:b/>
          <w:sz w:val="24"/>
        </w:rPr>
        <w:t>一、开题依据</w:t>
      </w:r>
    </w:p>
    <w:p>
      <w:pPr/>
      <w:r>
        <w:rPr>
          <w:sz w:val="24"/>
        </w:rPr>
        <w:t>A 股市场以个人投资者为主体，情绪驱动特征显著：涨停板梯队、连板高度、炸板率、红盘率等市场广度信号在日内高频涌现，普通投资者面对“信息过载、决策凭感”与“决策不可复盘”两大困境。既有的量化工具多聚焦于收益预测，而学术研究与实证均表明 A 股日频方向的可预测性有限，把有限精力投入方向预测的军备竞赛对个人投资者并不经济。</w:t>
      </w:r>
    </w:p>
    <w:p>
      <w:pPr/>
      <w:r>
        <w:rPr>
          <w:sz w:val="24"/>
        </w:rPr>
        <w:t>本课题的立意因此区别于常见的“预测涨跌”类系统：承认方向预测接近随机的市场现实，把工程资源集中到更稳健的“仓位刻度”维度——在情绪周期的不同阶段给出可解释、可复盘、可校准的仓位建议。这一思路与事件研究法（Event Study）的经典脉络一脉相承：不押注单日方向，而是系统化地度量事件窗口内的状态分布并管理风险敞口。</w:t>
      </w:r>
    </w:p>
    <w:p>
      <w:pPr/>
      <w:r>
        <w:rPr>
          <w:sz w:val="24"/>
        </w:rPr>
        <w:t>工程可行性方面，A 股公开数据源（AKShare、BaoStock、新浪财经、东方财富）已能覆盖行情、板块、涨停梯队与情绪指标的免费获取；Python 生态（pandas、Streamlit、Flask）足以支撑从数据基础设施到交互前端的单人全栈实现。课题已具备真实数据与工程底座，具备开题条件。</w:t>
      </w:r>
    </w:p>
    <w:p>
      <w:pPr/>
      <w:r>
        <w:rPr>
          <w:b/>
          <w:sz w:val="24"/>
        </w:rPr>
        <w:t>二、文献综述</w:t>
      </w:r>
    </w:p>
    <w:p>
      <w:pPr/>
      <w:r>
        <w:rPr>
          <w:sz w:val="24"/>
        </w:rPr>
        <w:t>1. 事件研究法脉络：MacKinlay[1] 系统综述了事件研究在经济学与金融学中的方法体系；Brown &amp; Warner[2] 以日频收益验证了事件窗口的统计检验功效。国内方面，赵宇龙[3] 以上海股市经验证据讨论了会计盈余披露的信息含量，是 A 股事件研究的早期代表。</w:t>
      </w:r>
    </w:p>
    <w:p>
      <w:pPr/>
      <w:r>
        <w:rPr>
          <w:sz w:val="24"/>
        </w:rPr>
        <w:t>2. 仓位与组合理论：Markowitz[4] 的均值-方差框架确立了“收益与风险共同决定仓位”的基础；Perold[5] 提出“实现缺口”（Implementation Gap）概念，指出理论收益与实际执行收益之间存在由交易成本造成的系统性落差——这直接启发了本课题对回测成本模型的严格内置。</w:t>
      </w:r>
    </w:p>
    <w:p>
      <w:pPr/>
      <w:r>
        <w:rPr>
          <w:sz w:val="24"/>
        </w:rPr>
        <w:t>3. 工程与实践文献：凯利公式[6] 给出了在胜率与赔率已知时最优下注比例的理论边界，是仓位刻度设计的数学参照；国内量化实践类文献与开源社区（AKShare、BaoStock、Backtrader 等）提供了 A 股数据接口与回测框架的工程参照。</w:t>
      </w:r>
    </w:p>
    <w:p>
      <w:pPr/>
      <w:r>
        <w:rPr>
          <w:sz w:val="24"/>
        </w:rPr>
        <w:t>4. 综述小结：现有研究在“方向预测”与“组合选择”两端均有成熟积累，但对“情绪周期驱动的可解释仓位刻度 + 小样本自纠偏校准”这一工程化闭环的讨论较少——这正是本课题拟填补的位置。</w:t>
      </w:r>
    </w:p>
    <w:p>
      <w:pPr/>
      <w:r>
        <w:rPr>
          <w:b/>
          <w:sz w:val="24"/>
        </w:rPr>
        <w:t>三、方案论证</w:t>
      </w:r>
    </w:p>
    <w:p>
      <w:pPr/>
      <w:r>
        <w:rPr>
          <w:sz w:val="24"/>
        </w:rPr>
        <w:t>方案一（被采纳）：事件驱动 + 情绪量化的多源平台方案。以四级数据源自动降级链（AKShare → BaoStock → 新浪 → 东方财富）保证数据可得性；以涨停梯队/红盘率/炸板率等广度指标量化市场情绪；以“温度→周期→仓位”的可解释映射生成建议；以每日快照落盘积累真实评估样本。优点：数据可得性强、决策链路全程可解释、样本可随运行自然累积。</w:t>
      </w:r>
    </w:p>
    <w:p>
      <w:pPr/>
      <w:r>
        <w:rPr>
          <w:sz w:val="24"/>
        </w:rPr>
        <w:t>方案二（备选，部分吸收）：纯机器学习端到端预测方案（LSTM/Transformer 直接预测次日涨跌）。优点是建模直接；缺点是黑箱不可解释、小样本易过拟合，且与“方向≈随机”的实证相悖——故仅作为对照基线保留（论文中有 Transformer/GNN/RL 对照章节），不作为主方案。</w:t>
      </w:r>
    </w:p>
    <w:p>
      <w:pPr/>
      <w:r>
        <w:rPr>
          <w:sz w:val="24"/>
        </w:rPr>
        <w:t>方案三（备选，部分吸收）：传统均线/动量规则方案。实现简单但刻度粗糙，无法表达“主升高潮减半仓、退潮清仓”这类状态依赖的仓位语义——其回测引擎思想被吸收进方案一。</w:t>
      </w:r>
    </w:p>
    <w:p>
      <w:pPr/>
      <w:r>
        <w:rPr>
          <w:sz w:val="24"/>
        </w:rPr>
        <w:t>综合论证：方案一在可解释性、诚实性（小样本不表态）、工程可控性三方面均优于备选方案，且其“决策闭环 + 刻度校准”两段式设计把“拍脑袋经验”转化为可验证、可校准的闭环，是本课题的技术核心路线。</w:t>
      </w:r>
    </w:p>
    <w:p>
      <w:pPr/>
      <w:r>
        <w:rPr>
          <w:b/>
          <w:sz w:val="24"/>
        </w:rPr>
        <w:t>四、毕业设计（论文）内容</w:t>
      </w:r>
    </w:p>
    <w:p>
      <w:pPr/>
      <w:r>
        <w:rPr>
          <w:sz w:val="24"/>
        </w:rPr>
        <w:t>基本内容：① 多源行情采集与四级降级链的数据基础设施；② 行情看板、事件追踪与板块详情、策略回测引擎、个股分析、持仓管理等核心模块；③ 决策闭环：市场温度→情绪周期→仓位建议的可解释映射（单一实现入口 derive_position，clamp 5~95）；④ 刻度校准：基于每日快照的回测反推建议量与“三条铁律”（小样本不表态、有界调整、人在回路）；⑤ 大规模历史回测实证。</w:t>
      </w:r>
    </w:p>
    <w:p>
      <w:pPr/>
      <w:r>
        <w:rPr>
          <w:sz w:val="24"/>
        </w:rPr>
        <w:t>重点内容：决策闭环与刻度校准是本课题的技术核心——前者把四维输入（市场温度、次日方向、情绪周期、梯队状态）收敛为一个可解释的仓位建议并逐因子归因；后者以小样本保守校准实现“可自纠偏而不过拟合”，二者共同构成论文的创新支柱。</w:t>
      </w:r>
    </w:p>
    <w:p>
      <w:pPr/>
      <w:r>
        <w:rPr>
          <w:sz w:val="24"/>
        </w:rPr>
        <w:t>难点内容：① 情绪量化指标体系的设计与防呆（假新鲜/陈旧数据的诚实处理）；② 回测中真实成本（佣金/滑点/印花税）的严格建模与实现缺口的量级度量；③ 长周期全市场广度历史（4092 个可评分交易日）的重建与防覆盖双备份；④ 小样本评估的统计诚实性——如何在样本不足时让系统“拒绝表态”而非输出假阳性结论。</w:t>
      </w:r>
    </w:p>
    <w:p>
      <w:pPr/>
      <w:r>
        <w:rPr>
          <w:b/>
          <w:sz w:val="24"/>
        </w:rPr>
        <w:t>五、工作进度安排</w:t>
      </w:r>
    </w:p>
    <w:p>
      <w:pPr/>
      <w:r>
        <w:rPr>
          <w:sz w:val="24"/>
        </w:rPr>
        <w:t>2025-11：选题、文献调研与数据源可用性验证，完成开题报告；</w:t>
      </w:r>
    </w:p>
    <w:p>
      <w:pPr/>
      <w:r>
        <w:rPr>
          <w:sz w:val="24"/>
        </w:rPr>
        <w:t>2025-12 ~ 2026-01：需求分析与总体设计（分层架构、数据库、数据源降级链、UI 信息架构）；</w:t>
      </w:r>
    </w:p>
    <w:p>
      <w:pPr/>
      <w:r>
        <w:rPr>
          <w:sz w:val="24"/>
        </w:rPr>
        <w:t>2026-02 ~ 2026-03：核心模块实现——行情看板、事件追踪、回测引擎（成本模型）、决策闭环（derive_position 落地与快照落盘）；</w:t>
      </w:r>
    </w:p>
    <w:p>
      <w:pPr/>
      <w:r>
        <w:rPr>
          <w:sz w:val="24"/>
        </w:rPr>
        <w:t>2026-04：刻度校准机制实现与每日快照评估流水线；大规模历史广度回测实证（4092 交易日全链路回测）；</w:t>
      </w:r>
    </w:p>
    <w:p>
      <w:pPr/>
      <w:r>
        <w:rPr>
          <w:sz w:val="24"/>
        </w:rPr>
        <w:t>2026-05：系统测试与质量门禁（安全基线回归、覆盖率门禁、AST 守卫）、论文初稿撰写；</w:t>
      </w:r>
    </w:p>
    <w:p>
      <w:pPr/>
      <w:r>
        <w:rPr>
          <w:sz w:val="24"/>
        </w:rPr>
        <w:t>2026-06：论文修改定稿、答辩材料准备与答辩。</w:t>
      </w:r>
    </w:p>
    <w:p>
      <w:pPr/>
      <w:r>
        <w:rPr>
          <w:b/>
          <w:sz w:val="24"/>
        </w:rPr>
        <w:t>六、参考资料</w:t>
      </w:r>
    </w:p>
    <w:p>
      <w:pPr/>
      <w:r>
        <w:rPr>
          <w:sz w:val="24"/>
        </w:rPr>
        <w:t>[1] MacKinlay A C. Event Studies in Economics and Finance[J]. Journal of Economic Literature, 1997, 35(1): 13-39.</w:t>
      </w:r>
    </w:p>
    <w:p>
      <w:pPr/>
      <w:r>
        <w:rPr>
          <w:sz w:val="24"/>
        </w:rPr>
        <w:t>[2] Brown S J, Warner J B. Using Daily Stock Returns: The Case of Event Studies[J]. Journal of Financial Economics, 1985, 14(1): 3-31.</w:t>
      </w:r>
    </w:p>
    <w:p>
      <w:pPr/>
      <w:r>
        <w:rPr>
          <w:sz w:val="24"/>
        </w:rPr>
        <w:t>[3] 赵宇龙. 会计盈余披露的信息含量——来自上海股市的经验证据[J]. 经济研究, 1998(7): 41-49.</w:t>
      </w:r>
    </w:p>
    <w:p>
      <w:pPr/>
      <w:r>
        <w:rPr>
          <w:sz w:val="24"/>
        </w:rPr>
        <w:t>[4] Markowitz H. Portfolio Selection[J]. Journal of Finance, 1952, 7(1): 77-91.</w:t>
      </w:r>
    </w:p>
    <w:p>
      <w:pPr/>
      <w:r>
        <w:rPr>
          <w:sz w:val="24"/>
        </w:rPr>
        <w:t>[5] Perold A F. The Implementation Gap: A Reexamination of Buy-and-Hold Returns[J]. Journal of Portfolio Management, 1988, 14(2): 12-19.</w:t>
      </w:r>
    </w:p>
    <w:p>
      <w:pPr/>
      <w:r>
        <w:rPr>
          <w:sz w:val="24"/>
        </w:rPr>
        <w:t>[6] Kelly J L. A New Interpretation of Information Rate[J]. Bell System Technical Journal, 1956, 35(4): 917-926.</w:t>
      </w:r>
    </w:p>
    <w:p>
      <w:pPr/>
      <w:r>
        <w:rPr>
          <w:sz w:val="24"/>
        </w:rPr>
        <w:t>[7] 上海应用技术大学. 本科生毕业设计（论文）工作管理办法（上应教〔2023〕35号）. 2023.</w:t>
      </w:r>
    </w:p>
    <w:p w14:paraId="3567C48F">
      <w:pPr>
        <w:rPr>
          <w:rFonts w:ascii="仿宋_GB2312"/>
          <w:b/>
          <w:color w:val="FF0000"/>
          <w:szCs w:val="24"/>
        </w:rPr>
      </w:pPr>
      <w:r>
        <w:rPr>
          <w:rFonts w:hint="eastAsia" w:ascii="仿宋_GB2312"/>
          <w:b/>
          <w:sz w:val="32"/>
          <w:szCs w:val="32"/>
        </w:rPr>
        <w:t>课题</w:t>
      </w:r>
      <w:r>
        <w:rPr>
          <w:rFonts w:ascii="仿宋_GB2312"/>
          <w:b/>
          <w:sz w:val="32"/>
          <w:szCs w:val="32"/>
        </w:rPr>
        <w:t>情况</w:t>
      </w:r>
      <w:r>
        <w:rPr>
          <w:rFonts w:ascii="仿宋_GB2312"/>
          <w:b/>
          <w:color w:val="FF0000"/>
          <w:szCs w:val="24"/>
        </w:rPr>
        <w:t>（</w:t>
      </w:r>
      <w:r>
        <w:rPr>
          <w:rFonts w:hint="eastAsia" w:ascii="仿宋_GB2312"/>
          <w:b/>
          <w:color w:val="FF0000"/>
          <w:szCs w:val="24"/>
        </w:rPr>
        <w:t>学院</w:t>
      </w:r>
      <w:r>
        <w:rPr>
          <w:rFonts w:ascii="仿宋_GB2312"/>
          <w:b/>
          <w:color w:val="FF0000"/>
          <w:szCs w:val="24"/>
        </w:rPr>
        <w:t>根据专业情况做</w:t>
      </w:r>
      <w:r>
        <w:rPr>
          <w:rFonts w:hint="eastAsia" w:ascii="仿宋_GB2312"/>
          <w:b/>
          <w:color w:val="FF0000"/>
          <w:szCs w:val="24"/>
        </w:rPr>
        <w:t>具体</w:t>
      </w:r>
      <w:r>
        <w:rPr>
          <w:rFonts w:ascii="仿宋_GB2312"/>
          <w:b/>
          <w:color w:val="FF0000"/>
          <w:szCs w:val="24"/>
        </w:rPr>
        <w:t>规定）</w:t>
      </w:r>
      <w:r>
        <w:rPr>
          <w:rFonts w:hint="eastAsia" w:ascii="仿宋_GB2312"/>
          <w:b/>
          <w:color w:val="FF0000"/>
          <w:szCs w:val="24"/>
        </w:rPr>
        <w:t>，字体格式可参照</w:t>
      </w:r>
      <w:r>
        <w:rPr>
          <w:rFonts w:ascii="仿宋_GB2312"/>
          <w:b/>
          <w:color w:val="FF0000"/>
          <w:szCs w:val="24"/>
        </w:rPr>
        <w:t>《</w:t>
      </w:r>
      <w:r>
        <w:rPr>
          <w:rFonts w:hint="eastAsia" w:ascii="仿宋_GB2312"/>
          <w:b/>
          <w:color w:val="FF0000"/>
          <w:szCs w:val="24"/>
        </w:rPr>
        <w:t>本科生</w:t>
      </w:r>
      <w:r>
        <w:rPr>
          <w:rFonts w:ascii="仿宋_GB2312"/>
          <w:b/>
          <w:color w:val="FF0000"/>
          <w:szCs w:val="24"/>
        </w:rPr>
        <w:t>毕业设计（论文）</w:t>
      </w:r>
      <w:r>
        <w:rPr>
          <w:rFonts w:hint="eastAsia" w:ascii="仿宋_GB2312"/>
          <w:b/>
          <w:color w:val="FF0000"/>
          <w:szCs w:val="24"/>
        </w:rPr>
        <w:t>工作</w:t>
      </w:r>
      <w:r>
        <w:rPr>
          <w:rFonts w:ascii="仿宋_GB2312"/>
          <w:b/>
          <w:color w:val="FF0000"/>
          <w:szCs w:val="24"/>
        </w:rPr>
        <w:t>管理办法》</w:t>
      </w:r>
      <w:r>
        <w:rPr>
          <w:rFonts w:hint="eastAsia" w:ascii="仿宋_GB2312"/>
          <w:b/>
          <w:color w:val="FF0000"/>
          <w:szCs w:val="24"/>
        </w:rPr>
        <w:t>中的规定要求。</w:t>
      </w:r>
    </w:p>
    <w:tbl>
      <w:tblPr>
        <w:tblStyle w:val="11"/>
        <w:tblW w:w="0" w:type="auto"/>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40"/>
      </w:tblGrid>
      <w:tr w14:paraId="552F1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93" w:hRule="atLeast"/>
        </w:trPr>
        <w:tc>
          <w:tcPr>
            <w:tcW w:w="8240" w:type="dxa"/>
            <w:tcBorders>
              <w:top w:val="single" w:color="auto" w:sz="4" w:space="0"/>
              <w:left w:val="single" w:color="auto" w:sz="12" w:space="0"/>
              <w:bottom w:val="single" w:color="auto" w:sz="4" w:space="0"/>
              <w:right w:val="single" w:color="auto" w:sz="12" w:space="0"/>
            </w:tcBorders>
            <w:noWrap w:val="0"/>
            <w:vAlign w:val="top"/>
          </w:tcPr>
          <w:p w14:paraId="7C3D38F0">
            <w:pPr>
              <w:rPr>
                <w:rFonts w:hint="eastAsia"/>
                <w:b/>
                <w:sz w:val="28"/>
                <w:szCs w:val="28"/>
              </w:rPr>
            </w:pPr>
            <w:r>
              <w:rPr>
                <w:rFonts w:hint="eastAsia"/>
                <w:b/>
                <w:sz w:val="28"/>
                <w:szCs w:val="28"/>
              </w:rPr>
              <w:t>导教师</w:t>
            </w:r>
            <w:r>
              <w:rPr>
                <w:b/>
                <w:sz w:val="28"/>
                <w:szCs w:val="28"/>
              </w:rPr>
              <w:t>意见：</w:t>
            </w:r>
          </w:p>
          <w:p w14:paraId="3A48F858">
            <w:pPr>
              <w:rPr>
                <w:rFonts w:hint="eastAsia"/>
              </w:rPr>
            </w:pPr>
          </w:p>
          <w:p w14:paraId="4E62E5E1">
            <w:pPr>
              <w:ind w:firstLine="560" w:firstLineChars="200"/>
              <w:rPr>
                <w:rFonts w:hint="eastAsia"/>
                <w:sz w:val="28"/>
              </w:rPr>
            </w:pPr>
            <w:r>
              <w:rPr>
                <w:rFonts w:hint="eastAsia"/>
                <w:sz w:val="28"/>
              </w:rPr>
              <w:t>教师必须对毕业设计（论文）开题报告写出评语意见。</w:t>
            </w:r>
          </w:p>
          <w:p w14:paraId="3062D0AA">
            <w:pPr>
              <w:rPr>
                <w:rFonts w:hint="eastAsia"/>
              </w:rPr>
            </w:pPr>
            <w:r>
              <w:rPr>
                <w:rFonts w:hint="eastAsia"/>
                <w:sz w:val="28"/>
              </w:rPr>
              <w:t xml:space="preserve">   </w:t>
            </w:r>
            <w:r>
              <w:rPr>
                <w:rFonts w:hint="eastAsia"/>
                <w:color w:val="FF0000"/>
                <w:sz w:val="28"/>
              </w:rPr>
              <w:t>（装订开题报告时把评语表格装订在最后一页）</w:t>
            </w:r>
          </w:p>
          <w:p w14:paraId="192E72D4">
            <w:pPr>
              <w:rPr>
                <w:rFonts w:hint="eastAsia"/>
              </w:rPr>
            </w:pPr>
          </w:p>
          <w:p w14:paraId="737E5A47">
            <w:pPr>
              <w:rPr>
                <w:rFonts w:hint="eastAsia"/>
              </w:rPr>
            </w:pPr>
          </w:p>
          <w:p w14:paraId="671B0305">
            <w:pPr>
              <w:rPr>
                <w:rFonts w:hint="eastAsia"/>
              </w:rPr>
            </w:pPr>
          </w:p>
          <w:p w14:paraId="7FC7EE0C">
            <w:pPr>
              <w:rPr>
                <w:rFonts w:hint="eastAsia"/>
              </w:rPr>
            </w:pPr>
          </w:p>
          <w:p w14:paraId="5BEB0104">
            <w:pPr>
              <w:rPr>
                <w:rFonts w:hint="eastAsia"/>
              </w:rPr>
            </w:pPr>
          </w:p>
          <w:p w14:paraId="1420C30A">
            <w:pPr>
              <w:rPr>
                <w:rFonts w:hint="eastAsia"/>
                <w:sz w:val="28"/>
                <w:u w:val="single"/>
              </w:rPr>
            </w:pPr>
            <w:r>
              <w:rPr>
                <w:rFonts w:hint="eastAsia"/>
              </w:rPr>
              <w:t xml:space="preserve">                                 </w:t>
            </w:r>
            <w:r>
              <w:rPr>
                <w:rFonts w:hint="eastAsia"/>
                <w:sz w:val="28"/>
              </w:rPr>
              <w:t xml:space="preserve">指导教师签名： </w:t>
            </w:r>
            <w:r>
              <w:rPr>
                <w:rFonts w:hint="eastAsia"/>
                <w:sz w:val="28"/>
                <w:u w:val="single"/>
              </w:rPr>
              <w:t xml:space="preserve">      </w:t>
            </w:r>
          </w:p>
          <w:p w14:paraId="2BD5693B">
            <w:r>
              <w:rPr>
                <w:rFonts w:hint="eastAsia"/>
              </w:rPr>
              <w:t xml:space="preserve">                                         </w:t>
            </w:r>
            <w:r>
              <w:t xml:space="preserve">年   月   日    </w:t>
            </w:r>
          </w:p>
          <w:p w14:paraId="49E8B32D">
            <w:pPr>
              <w:rPr>
                <w:rFonts w:hint="eastAsia"/>
              </w:rPr>
            </w:pPr>
          </w:p>
        </w:tc>
      </w:tr>
      <w:tr w14:paraId="2DD32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8" w:hRule="atLeast"/>
        </w:trPr>
        <w:tc>
          <w:tcPr>
            <w:tcW w:w="8240" w:type="dxa"/>
            <w:tcBorders>
              <w:top w:val="single" w:color="auto" w:sz="4" w:space="0"/>
              <w:left w:val="single" w:color="auto" w:sz="12" w:space="0"/>
              <w:bottom w:val="single" w:color="auto" w:sz="12" w:space="0"/>
              <w:right w:val="single" w:color="auto" w:sz="12" w:space="0"/>
            </w:tcBorders>
            <w:noWrap w:val="0"/>
            <w:vAlign w:val="top"/>
          </w:tcPr>
          <w:p w14:paraId="0A3646E4">
            <w:pPr>
              <w:rPr>
                <w:rFonts w:hint="eastAsia"/>
              </w:rPr>
            </w:pPr>
            <w:r>
              <w:rPr>
                <w:rFonts w:hint="eastAsia"/>
                <w:b/>
                <w:sz w:val="28"/>
                <w:szCs w:val="28"/>
              </w:rPr>
              <w:t>毕业设计（论文）指导小组意见：</w:t>
            </w:r>
          </w:p>
          <w:p w14:paraId="319C1DBA">
            <w:pPr>
              <w:rPr>
                <w:rFonts w:hint="eastAsia"/>
              </w:rPr>
            </w:pPr>
          </w:p>
          <w:p w14:paraId="5F8ECC90">
            <w:pPr>
              <w:rPr>
                <w:rFonts w:hint="eastAsia"/>
                <w:color w:val="FF0000"/>
                <w:sz w:val="28"/>
                <w:szCs w:val="28"/>
              </w:rPr>
            </w:pPr>
            <w:r>
              <w:rPr>
                <w:rFonts w:hint="eastAsia"/>
                <w:color w:val="FF0000"/>
                <w:sz w:val="28"/>
                <w:szCs w:val="28"/>
              </w:rPr>
              <w:t>毕业设计（论文）指导小组必须对毕业设计（论文）开题报告写出意见。</w:t>
            </w:r>
          </w:p>
          <w:p w14:paraId="0F2D603E">
            <w:pPr>
              <w:rPr>
                <w:rFonts w:hint="eastAsia"/>
              </w:rPr>
            </w:pPr>
            <w:r>
              <w:rPr>
                <w:rFonts w:hint="eastAsia"/>
                <w:color w:val="FF0000"/>
                <w:sz w:val="28"/>
              </w:rPr>
              <w:t>（装订开题报告时把评语表格装订在最后一页）</w:t>
            </w:r>
          </w:p>
          <w:p w14:paraId="43C55F8A">
            <w:pPr>
              <w:rPr>
                <w:rFonts w:hint="eastAsia"/>
              </w:rPr>
            </w:pPr>
          </w:p>
          <w:p w14:paraId="0D8F183A">
            <w:pPr>
              <w:rPr>
                <w:rFonts w:hint="eastAsia"/>
                <w:color w:val="0000FF"/>
                <w:u w:val="single"/>
              </w:rPr>
            </w:pPr>
            <w:r>
              <w:rPr>
                <w:rFonts w:hint="eastAsia"/>
              </w:rPr>
              <w:t xml:space="preserve">                          </w:t>
            </w:r>
            <w:r>
              <w:rPr>
                <w:rFonts w:hint="eastAsia"/>
                <w:sz w:val="28"/>
              </w:rPr>
              <w:t xml:space="preserve">    审核人签名</w:t>
            </w:r>
            <w:r>
              <w:rPr>
                <w:rFonts w:hint="eastAsia"/>
              </w:rPr>
              <w:t>：</w:t>
            </w:r>
            <w:r>
              <w:rPr>
                <w:rFonts w:hint="eastAsia"/>
                <w:u w:val="single"/>
              </w:rPr>
              <w:t xml:space="preserve">             </w:t>
            </w:r>
          </w:p>
          <w:p w14:paraId="1379ADE5">
            <w:pPr>
              <w:rPr>
                <w:rFonts w:hint="eastAsia"/>
                <w:szCs w:val="24"/>
              </w:rPr>
            </w:pPr>
            <w:r>
              <w:rPr>
                <w:rFonts w:hint="eastAsia"/>
              </w:rPr>
              <w:t xml:space="preserve">                               </w:t>
            </w:r>
            <w:r>
              <w:rPr>
                <w:rFonts w:hint="eastAsia"/>
                <w:szCs w:val="24"/>
              </w:rPr>
              <w:t xml:space="preserve">        年   月   日</w:t>
            </w:r>
          </w:p>
          <w:p w14:paraId="5BF126CC">
            <w:pPr>
              <w:rPr>
                <w:rFonts w:hint="eastAsia"/>
              </w:rPr>
            </w:pPr>
          </w:p>
        </w:tc>
      </w:tr>
    </w:tbl>
    <w:bookmarkEnd w:id="0"/>
    <w:bookmarkEnd w:id="1"/>
    <w:bookmarkEnd w:id="2"/>
    <w:bookmarkEnd w:id="3"/>
    <w:bookmarkEnd w:id="4"/>
    <w:bookmarkEnd w:id="5"/>
    <w:bookmarkEnd w:id="6"/>
    <w:sectPr>
      <w:footerReference r:id="rId6" w:type="default"/>
      <w:footerReference r:id="rId7" w:type="even"/>
      <w:pgSz w:w="11906" w:h="16838"/>
      <w:pgMar w:top="1440" w:right="1797" w:bottom="1440" w:left="1797" w:header="851" w:footer="992" w:gutter="0"/>
      <w:pgNumType w:start="1"/>
      <w:cols w:space="720"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行楷">
    <w:panose1 w:val="02010800040101010101"/>
    <w:charset w:val="86"/>
    <w:family w:val="auto"/>
    <w:pitch w:val="default"/>
    <w:sig w:usb0="00000001" w:usb1="080F0000" w:usb2="00000000" w:usb3="00000000" w:csb0="00040000" w:csb1="00000000"/>
  </w:font>
  <w:font w:name="隶书">
    <w:panose1 w:val="02010509060101010101"/>
    <w:charset w:val="86"/>
    <w:family w:val="modern"/>
    <w:pitch w:val="default"/>
    <w:sig w:usb0="00000001" w:usb1="080E0000" w:usb2="00000000" w:usb3="00000000" w:csb0="00040000"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A414FA">
    <w:pPr>
      <w:pStyle w:val="8"/>
      <w:ind w:right="180"/>
      <w:jc w:val="right"/>
      <w:rPr>
        <w:sz w:val="21"/>
        <w:szCs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D8EF41">
    <w:pPr>
      <w:pStyle w:val="8"/>
      <w:ind w:right="180"/>
      <w:jc w:val="right"/>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eastAsia="zh-CN"/>
      </w:rPr>
      <w:t>3</w:t>
    </w:r>
    <w:r>
      <w:rPr>
        <w:sz w:val="21"/>
        <w:szCs w:val="21"/>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BD5EBD">
    <w:pPr>
      <w:pStyle w:val="8"/>
      <w:ind w:firstLine="210" w:firstLineChars="100"/>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eastAsia="zh-CN"/>
      </w:rPr>
      <w:t>2</w:t>
    </w:r>
    <w:r>
      <w:rPr>
        <w:sz w:val="21"/>
        <w:szCs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BA278A"/>
    <w:multiLevelType w:val="multilevel"/>
    <w:tmpl w:val="19BA278A"/>
    <w:lvl w:ilvl="0" w:tentative="0">
      <w:start w:val="1"/>
      <w:numFmt w:val="decimal"/>
      <w:pStyle w:val="30"/>
      <w:lvlText w:val="[%1]"/>
      <w:lvlJc w:val="left"/>
      <w:pPr>
        <w:tabs>
          <w:tab w:val="left" w:pos="454"/>
        </w:tabs>
        <w:ind w:left="454" w:hanging="454"/>
      </w:pPr>
      <w:rPr>
        <w:rFonts w:hint="eastAsia"/>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evenAndOddHeaders w:val="1"/>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078A6"/>
    <w:rsid w:val="00037CF7"/>
    <w:rsid w:val="000E4E5C"/>
    <w:rsid w:val="001078A6"/>
    <w:rsid w:val="00177340"/>
    <w:rsid w:val="001D6C08"/>
    <w:rsid w:val="001F38FF"/>
    <w:rsid w:val="002219D4"/>
    <w:rsid w:val="002333EB"/>
    <w:rsid w:val="003541B6"/>
    <w:rsid w:val="004559D5"/>
    <w:rsid w:val="004C3BD0"/>
    <w:rsid w:val="004E5704"/>
    <w:rsid w:val="0052651B"/>
    <w:rsid w:val="005342C2"/>
    <w:rsid w:val="005F561F"/>
    <w:rsid w:val="006C5BC5"/>
    <w:rsid w:val="00705BF0"/>
    <w:rsid w:val="007469F9"/>
    <w:rsid w:val="008039CA"/>
    <w:rsid w:val="008A44F4"/>
    <w:rsid w:val="008F4856"/>
    <w:rsid w:val="009639C8"/>
    <w:rsid w:val="009E280B"/>
    <w:rsid w:val="009E4792"/>
    <w:rsid w:val="00A1433C"/>
    <w:rsid w:val="00B766E8"/>
    <w:rsid w:val="00B91FA3"/>
    <w:rsid w:val="00C46698"/>
    <w:rsid w:val="00C60C2D"/>
    <w:rsid w:val="00C9398D"/>
    <w:rsid w:val="00CE0EAF"/>
    <w:rsid w:val="00CE509F"/>
    <w:rsid w:val="00D2132D"/>
    <w:rsid w:val="00DB00A5"/>
    <w:rsid w:val="00E60AEA"/>
    <w:rsid w:val="00EB481C"/>
    <w:rsid w:val="00EC4844"/>
    <w:rsid w:val="00F03A11"/>
    <w:rsid w:val="00FC3623"/>
    <w:rsid w:val="00FC7907"/>
    <w:rsid w:val="0AA95016"/>
    <w:rsid w:val="47D40A31"/>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jc w:val="both"/>
    </w:pPr>
    <w:rPr>
      <w:rFonts w:ascii="Times New Roman" w:hAnsi="Times New Roman" w:eastAsia="宋体" w:cs="Times New Roman"/>
      <w:kern w:val="2"/>
      <w:sz w:val="24"/>
      <w:lang w:val="en-US" w:eastAsia="zh-CN" w:bidi="ar-SA"/>
    </w:rPr>
  </w:style>
  <w:style w:type="paragraph" w:styleId="2">
    <w:name w:val="heading 1"/>
    <w:basedOn w:val="1"/>
    <w:next w:val="1"/>
    <w:link w:val="18"/>
    <w:qFormat/>
    <w:uiPriority w:val="0"/>
    <w:pPr>
      <w:keepNext/>
      <w:keepLines/>
      <w:pageBreakBefore/>
      <w:adjustRightInd w:val="0"/>
      <w:snapToGrid w:val="0"/>
      <w:spacing w:before="100" w:beforeLines="100" w:after="100" w:afterLines="100"/>
      <w:ind w:firstLine="200" w:firstLineChars="200"/>
      <w:jc w:val="center"/>
      <w:outlineLvl w:val="0"/>
    </w:pPr>
    <w:rPr>
      <w:rFonts w:eastAsia="黑体"/>
      <w:bCs/>
      <w:color w:val="000000"/>
      <w:kern w:val="44"/>
      <w:sz w:val="28"/>
      <w:szCs w:val="44"/>
    </w:rPr>
  </w:style>
  <w:style w:type="paragraph" w:styleId="3">
    <w:name w:val="heading 2"/>
    <w:basedOn w:val="1"/>
    <w:next w:val="1"/>
    <w:link w:val="19"/>
    <w:qFormat/>
    <w:uiPriority w:val="0"/>
    <w:pPr>
      <w:keepNext/>
      <w:keepLines/>
      <w:spacing w:before="260" w:after="260" w:line="416" w:lineRule="auto"/>
      <w:outlineLvl w:val="1"/>
    </w:pPr>
    <w:rPr>
      <w:rFonts w:ascii="Cambria" w:hAnsi="Cambria"/>
      <w:b/>
      <w:bCs/>
      <w:sz w:val="32"/>
      <w:szCs w:val="32"/>
    </w:rPr>
  </w:style>
  <w:style w:type="paragraph" w:styleId="4">
    <w:name w:val="heading 3"/>
    <w:basedOn w:val="1"/>
    <w:next w:val="1"/>
    <w:link w:val="24"/>
    <w:qFormat/>
    <w:uiPriority w:val="0"/>
    <w:pPr>
      <w:keepNext/>
      <w:keepLines/>
      <w:spacing w:before="260" w:after="260" w:line="416" w:lineRule="auto"/>
      <w:outlineLvl w:val="2"/>
    </w:pPr>
    <w:rPr>
      <w:b/>
      <w:bCs/>
      <w:sz w:val="32"/>
      <w:szCs w:val="32"/>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5">
    <w:name w:val="Body Text"/>
    <w:basedOn w:val="1"/>
    <w:link w:val="15"/>
    <w:uiPriority w:val="0"/>
    <w:pPr>
      <w:spacing w:after="120"/>
    </w:pPr>
    <w:rPr>
      <w:rFonts w:eastAsia="Times New Roman"/>
      <w:sz w:val="21"/>
    </w:rPr>
  </w:style>
  <w:style w:type="paragraph" w:styleId="6">
    <w:name w:val="Date"/>
    <w:basedOn w:val="1"/>
    <w:next w:val="1"/>
    <w:uiPriority w:val="0"/>
    <w:pPr>
      <w:ind w:left="100" w:leftChars="2500"/>
    </w:pPr>
  </w:style>
  <w:style w:type="paragraph" w:styleId="7">
    <w:name w:val="Balloon Text"/>
    <w:basedOn w:val="1"/>
    <w:link w:val="23"/>
    <w:semiHidden/>
    <w:unhideWhenUsed/>
    <w:uiPriority w:val="0"/>
    <w:pPr>
      <w:spacing w:line="240" w:lineRule="auto"/>
    </w:pPr>
    <w:rPr>
      <w:sz w:val="18"/>
      <w:szCs w:val="18"/>
    </w:rPr>
  </w:style>
  <w:style w:type="paragraph" w:styleId="8">
    <w:name w:val="footer"/>
    <w:basedOn w:val="1"/>
    <w:link w:val="16"/>
    <w:uiPriority w:val="99"/>
    <w:pPr>
      <w:tabs>
        <w:tab w:val="center" w:pos="4153"/>
        <w:tab w:val="right" w:pos="8306"/>
      </w:tabs>
      <w:snapToGrid w:val="0"/>
      <w:jc w:val="left"/>
    </w:pPr>
    <w:rPr>
      <w:rFonts w:eastAsia="Times New Roman"/>
      <w:sz w:val="18"/>
    </w:rPr>
  </w:style>
  <w:style w:type="paragraph" w:styleId="9">
    <w:name w:val="header"/>
    <w:basedOn w:val="1"/>
    <w:link w:val="17"/>
    <w:uiPriority w:val="0"/>
    <w:pPr>
      <w:pBdr>
        <w:bottom w:val="single" w:color="auto" w:sz="6" w:space="1"/>
      </w:pBdr>
      <w:tabs>
        <w:tab w:val="center" w:pos="4153"/>
        <w:tab w:val="right" w:pos="8306"/>
      </w:tabs>
      <w:snapToGrid w:val="0"/>
      <w:jc w:val="center"/>
    </w:pPr>
    <w:rPr>
      <w:rFonts w:eastAsia="Times New Roman"/>
      <w:sz w:val="18"/>
    </w:rPr>
  </w:style>
  <w:style w:type="paragraph" w:styleId="10">
    <w:name w:val="Normal (Web)"/>
    <w:basedOn w:val="1"/>
    <w:uiPriority w:val="0"/>
    <w:pPr>
      <w:widowControl/>
      <w:spacing w:before="100" w:beforeAutospacing="1" w:after="100" w:afterAutospacing="1"/>
      <w:jc w:val="left"/>
    </w:pPr>
    <w:rPr>
      <w:rFonts w:ascii="宋体" w:hAnsi="宋体"/>
      <w:kern w:val="0"/>
    </w:rPr>
  </w:style>
  <w:style w:type="character" w:styleId="13">
    <w:name w:val="Strong"/>
    <w:qFormat/>
    <w:uiPriority w:val="0"/>
    <w:rPr>
      <w:rFonts w:eastAsia="黑体"/>
      <w:bCs/>
      <w:sz w:val="28"/>
    </w:rPr>
  </w:style>
  <w:style w:type="character" w:styleId="14">
    <w:name w:val="Hyperlink"/>
    <w:uiPriority w:val="0"/>
    <w:rPr>
      <w:color w:val="3366CC"/>
      <w:u w:val="single"/>
    </w:rPr>
  </w:style>
  <w:style w:type="character" w:customStyle="1" w:styleId="15">
    <w:name w:val="正文文本 Char"/>
    <w:link w:val="5"/>
    <w:uiPriority w:val="0"/>
    <w:rPr>
      <w:kern w:val="2"/>
      <w:sz w:val="21"/>
      <w:lang w:bidi="ar-SA"/>
    </w:rPr>
  </w:style>
  <w:style w:type="character" w:customStyle="1" w:styleId="16">
    <w:name w:val="页脚 Char"/>
    <w:link w:val="8"/>
    <w:qFormat/>
    <w:uiPriority w:val="99"/>
    <w:rPr>
      <w:kern w:val="2"/>
      <w:sz w:val="18"/>
      <w:lang w:bidi="ar-SA"/>
    </w:rPr>
  </w:style>
  <w:style w:type="character" w:customStyle="1" w:styleId="17">
    <w:name w:val="页眉 Char"/>
    <w:link w:val="9"/>
    <w:qFormat/>
    <w:uiPriority w:val="0"/>
    <w:rPr>
      <w:kern w:val="2"/>
      <w:sz w:val="18"/>
      <w:lang w:bidi="ar-SA"/>
    </w:rPr>
  </w:style>
  <w:style w:type="character" w:customStyle="1" w:styleId="18">
    <w:name w:val="标题 1 Char"/>
    <w:link w:val="2"/>
    <w:qFormat/>
    <w:uiPriority w:val="0"/>
    <w:rPr>
      <w:rFonts w:eastAsia="黑体"/>
      <w:bCs/>
      <w:color w:val="000000"/>
      <w:kern w:val="44"/>
      <w:sz w:val="28"/>
      <w:szCs w:val="44"/>
      <w:lang w:val="en-US" w:eastAsia="zh-CN" w:bidi="ar-SA"/>
    </w:rPr>
  </w:style>
  <w:style w:type="character" w:customStyle="1" w:styleId="19">
    <w:name w:val="标题 2 Char"/>
    <w:link w:val="3"/>
    <w:qFormat/>
    <w:uiPriority w:val="0"/>
    <w:rPr>
      <w:rFonts w:ascii="Cambria" w:hAnsi="Cambria" w:eastAsia="宋体"/>
      <w:b/>
      <w:bCs/>
      <w:kern w:val="2"/>
      <w:sz w:val="32"/>
      <w:szCs w:val="32"/>
      <w:lang w:val="en-US" w:eastAsia="zh-CN" w:bidi="ar-SA"/>
    </w:rPr>
  </w:style>
  <w:style w:type="paragraph" w:customStyle="1" w:styleId="20">
    <w:name w:val="图 中文"/>
    <w:basedOn w:val="1"/>
    <w:qFormat/>
    <w:uiPriority w:val="0"/>
    <w:pPr>
      <w:adjustRightInd w:val="0"/>
      <w:jc w:val="center"/>
    </w:pPr>
    <w:rPr>
      <w:b/>
      <w:color w:val="000000"/>
      <w:szCs w:val="24"/>
    </w:rPr>
  </w:style>
  <w:style w:type="paragraph" w:customStyle="1" w:styleId="21">
    <w:name w:val="图 英文"/>
    <w:basedOn w:val="1"/>
    <w:qFormat/>
    <w:uiPriority w:val="0"/>
    <w:pPr>
      <w:adjustRightInd w:val="0"/>
      <w:jc w:val="center"/>
    </w:pPr>
    <w:rPr>
      <w:color w:val="000000"/>
      <w:szCs w:val="24"/>
    </w:rPr>
  </w:style>
  <w:style w:type="paragraph" w:customStyle="1" w:styleId="22">
    <w:name w:val="无间隔"/>
    <w:qFormat/>
    <w:uiPriority w:val="0"/>
    <w:pPr>
      <w:widowControl w:val="0"/>
      <w:spacing w:before="100" w:beforeLines="100" w:after="100" w:afterLines="100"/>
      <w:jc w:val="both"/>
    </w:pPr>
    <w:rPr>
      <w:rFonts w:ascii="Times New Roman" w:hAnsi="Times New Roman" w:eastAsia="黑体" w:cs="Times New Roman"/>
      <w:kern w:val="2"/>
      <w:sz w:val="36"/>
      <w:lang w:val="en-US" w:eastAsia="zh-CN" w:bidi="ar-SA"/>
    </w:rPr>
  </w:style>
  <w:style w:type="character" w:customStyle="1" w:styleId="23">
    <w:name w:val="批注框文本 Char"/>
    <w:link w:val="7"/>
    <w:semiHidden/>
    <w:qFormat/>
    <w:uiPriority w:val="0"/>
    <w:rPr>
      <w:rFonts w:eastAsia="宋体"/>
      <w:kern w:val="2"/>
      <w:sz w:val="18"/>
      <w:szCs w:val="18"/>
      <w:lang w:val="en-US" w:eastAsia="zh-CN" w:bidi="ar-SA"/>
    </w:rPr>
  </w:style>
  <w:style w:type="character" w:customStyle="1" w:styleId="24">
    <w:name w:val="标题 3 Char"/>
    <w:link w:val="4"/>
    <w:semiHidden/>
    <w:qFormat/>
    <w:uiPriority w:val="0"/>
    <w:rPr>
      <w:rFonts w:eastAsia="宋体"/>
      <w:b/>
      <w:bCs/>
      <w:kern w:val="2"/>
      <w:sz w:val="32"/>
      <w:szCs w:val="32"/>
      <w:lang w:val="en-US" w:eastAsia="zh-CN" w:bidi="ar-SA"/>
    </w:rPr>
  </w:style>
  <w:style w:type="character" w:customStyle="1" w:styleId="25">
    <w:name w:val="text_img"/>
    <w:qFormat/>
    <w:uiPriority w:val="0"/>
  </w:style>
  <w:style w:type="character" w:customStyle="1" w:styleId="26">
    <w:name w:val="hps"/>
    <w:qFormat/>
    <w:uiPriority w:val="0"/>
  </w:style>
  <w:style w:type="paragraph" w:customStyle="1" w:styleId="27">
    <w:name w:val="reader-word-layer reader-word-s1-11"/>
    <w:basedOn w:val="1"/>
    <w:qFormat/>
    <w:uiPriority w:val="0"/>
    <w:pPr>
      <w:widowControl/>
      <w:spacing w:before="100" w:beforeAutospacing="1" w:after="100" w:afterAutospacing="1" w:line="240" w:lineRule="auto"/>
      <w:jc w:val="left"/>
    </w:pPr>
    <w:rPr>
      <w:rFonts w:ascii="宋体" w:hAnsi="宋体" w:cs="宋体"/>
      <w:kern w:val="0"/>
      <w:szCs w:val="24"/>
    </w:rPr>
  </w:style>
  <w:style w:type="paragraph" w:customStyle="1" w:styleId="28">
    <w:name w:val="reader-word-layer reader-word-s1-13"/>
    <w:basedOn w:val="1"/>
    <w:qFormat/>
    <w:uiPriority w:val="0"/>
    <w:pPr>
      <w:widowControl/>
      <w:spacing w:before="100" w:beforeAutospacing="1" w:after="100" w:afterAutospacing="1" w:line="240" w:lineRule="auto"/>
      <w:jc w:val="left"/>
    </w:pPr>
    <w:rPr>
      <w:rFonts w:ascii="宋体" w:hAnsi="宋体" w:cs="宋体"/>
      <w:kern w:val="0"/>
      <w:szCs w:val="24"/>
    </w:rPr>
  </w:style>
  <w:style w:type="character" w:customStyle="1" w:styleId="29">
    <w:name w:val="apple-converted-space"/>
    <w:basedOn w:val="12"/>
    <w:qFormat/>
    <w:uiPriority w:val="0"/>
  </w:style>
  <w:style w:type="paragraph" w:customStyle="1" w:styleId="30">
    <w:name w:val="参考文献"/>
    <w:basedOn w:val="1"/>
    <w:qFormat/>
    <w:uiPriority w:val="0"/>
    <w:pPr>
      <w:numPr>
        <w:ilvl w:val="0"/>
        <w:numId w:val="1"/>
      </w:numPr>
      <w:spacing w:line="240" w:lineRule="auto"/>
    </w:pPr>
    <w:rPr>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5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9</Pages>
  <Words>377</Words>
  <Characters>2153</Characters>
  <Lines>17</Lines>
  <Paragraphs>5</Paragraphs>
  <TotalTime>0</TotalTime>
  <ScaleCrop>false</ScaleCrop>
  <LinksUpToDate>false</LinksUpToDate>
  <CharactersWithSpaces>2525</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2018-03-01T02:08:00Z</dcterms:created>
  <dc:creator>何嫣娇</dc:creator>
  <cp:lastModifiedBy>Administrator</cp:lastModifiedBy>
  <dcterms:modified xsi:type="dcterms:W3CDTF">2026-10-18T02:07:31Z</dcterms:modified>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A7383BA6A40047AE86F6DE6E92A20F16_13</vt:lpwstr>
  </property>
</Properties>
</file>