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B3CE4">
      <w:pPr>
        <w:spacing w:line="240" w:lineRule="auto"/>
        <w:jc w:val="center"/>
      </w:pPr>
      <w:r>
        <w:rPr>
          <w:rFonts w:ascii="宋体" w:hAnsi="宋体" w:eastAsia="宋体"/>
          <w:b/>
          <w:sz w:val="36"/>
        </w:rPr>
        <w:t>国际</w:t>
      </w:r>
      <w:r>
        <w:rPr>
          <w:rFonts w:hint="eastAsia"/>
          <w:b/>
          <w:sz w:val="36"/>
          <w:lang w:val="en-US" w:eastAsia="zh-CN"/>
        </w:rPr>
        <w:t>交流</w:t>
      </w:r>
      <w:r>
        <w:rPr>
          <w:rFonts w:ascii="宋体" w:hAnsi="宋体" w:eastAsia="宋体"/>
          <w:b/>
          <w:sz w:val="36"/>
        </w:rPr>
        <w:t>学院</w:t>
      </w:r>
    </w:p>
    <w:p w14:paraId="76AFDC67">
      <w:pPr>
        <w:spacing w:line="240" w:lineRule="auto"/>
        <w:jc w:val="center"/>
      </w:pPr>
      <w:r>
        <w:rPr>
          <w:rFonts w:ascii="宋体" w:hAnsi="宋体" w:eastAsia="宋体"/>
          <w:b/>
          <w:sz w:val="48"/>
        </w:rPr>
        <w:t>党员积分制量化考核实施方案（修订版）</w:t>
      </w:r>
    </w:p>
    <w:p w14:paraId="527F3FB4">
      <w:pPr>
        <w:spacing w:line="240" w:lineRule="auto"/>
      </w:pPr>
    </w:p>
    <w:p w14:paraId="4F33503A">
      <w:pPr>
        <w:spacing w:line="240" w:lineRule="auto"/>
        <w:rPr>
          <w:b/>
          <w:bCs/>
        </w:rPr>
      </w:pPr>
      <w:r>
        <w:rPr>
          <w:rFonts w:ascii="宋体" w:hAnsi="宋体" w:eastAsia="宋体"/>
          <w:b/>
          <w:bCs/>
          <w:sz w:val="24"/>
        </w:rPr>
        <w:t>一、实施背景</w:t>
      </w:r>
    </w:p>
    <w:p w14:paraId="11C21A4F">
      <w:pPr>
        <w:spacing w:line="240" w:lineRule="auto"/>
        <w:ind w:firstLine="480"/>
      </w:pPr>
      <w:r>
        <w:rPr>
          <w:rFonts w:ascii="宋体" w:hAnsi="宋体" w:eastAsia="宋体"/>
          <w:b w:val="0"/>
          <w:sz w:val="24"/>
        </w:rPr>
        <w:t>为贯彻落实习近平新时代中国特色社会主义思想，响应全面从严治党要求，规范国际教育学院学生党员发展工作，持续增强党员的先进性和模范性，特制定本党员积分制实施方案。本方案以"纪律、荣耀、回归"为主题，结合国际教育学院的国际化特色，引导学生从思想入党到行动入党，做到组织上过硬、信念上坚定、肩负民族复兴重任、具备全球视野和跨文化沟通能力的新时代青年。</w:t>
      </w:r>
    </w:p>
    <w:p w14:paraId="5EF2B84E">
      <w:pPr>
        <w:spacing w:line="240" w:lineRule="auto"/>
        <w:ind w:firstLine="480"/>
      </w:pPr>
      <w:r>
        <w:rPr>
          <w:rFonts w:ascii="宋体" w:hAnsi="宋体" w:eastAsia="宋体"/>
          <w:b w:val="0"/>
          <w:sz w:val="24"/>
        </w:rPr>
        <w:t>本方案旨在通过制度化、规范化、常态化、可持续化的积分管理体系，推进公开透明和高质量的学生党员发展工作机制。</w:t>
      </w:r>
    </w:p>
    <w:p w14:paraId="7EDFF005">
      <w:pPr>
        <w:spacing w:line="240" w:lineRule="auto"/>
      </w:pPr>
      <w:r>
        <w:rPr>
          <w:rFonts w:ascii="宋体" w:hAnsi="宋体" w:eastAsia="宋体"/>
          <w:b w:val="0"/>
          <w:sz w:val="24"/>
        </w:rPr>
        <w:t>二</w:t>
      </w:r>
      <w:r>
        <w:rPr>
          <w:rFonts w:ascii="宋体" w:hAnsi="宋体" w:eastAsia="宋体"/>
          <w:b/>
          <w:bCs/>
          <w:sz w:val="24"/>
        </w:rPr>
        <w:t>、核心目标</w:t>
      </w:r>
    </w:p>
    <w:p w14:paraId="01E1D1C6">
      <w:pPr>
        <w:spacing w:line="240" w:lineRule="auto"/>
        <w:ind w:firstLine="480"/>
      </w:pPr>
      <w:r>
        <w:rPr>
          <w:rFonts w:ascii="宋体" w:hAnsi="宋体" w:eastAsia="宋体"/>
          <w:b w:val="0"/>
          <w:sz w:val="24"/>
        </w:rPr>
        <w:t>通过制度化、规范化的积分管理体系，覆盖党员发展全过程（入党申请人→入党积极分子→发展对象→预备党员→正式党员），建立涵盖学业发展、思想成长、实践锻炼、纪律约束的系统化、规范化、可持续化的积分考核机制，确保党员发展的公平、公正、公开，同时注重国际教育学院的多元文化特色，培养具有国际视野和家国情怀的优秀学生党员。</w:t>
      </w:r>
    </w:p>
    <w:p w14:paraId="0451527D">
      <w:pPr>
        <w:spacing w:line="240" w:lineRule="auto"/>
        <w:rPr>
          <w:rFonts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三、积分指标体系</w:t>
      </w:r>
    </w:p>
    <w:p w14:paraId="59252265">
      <w:pPr>
        <w:spacing w:line="240" w:lineRule="auto"/>
        <w:ind w:firstLine="480"/>
      </w:pPr>
      <w:r>
        <w:rPr>
          <w:rFonts w:ascii="宋体" w:hAnsi="宋体" w:eastAsia="宋体"/>
          <w:b w:val="0"/>
          <w:sz w:val="24"/>
        </w:rPr>
        <w:t>积分体系采用100分基础分制，其中学业能力满分40分，党性成长满分60分，纪律约束为扣分项。积分结果作为党员发展、转预、转正、评优评先的重要依据。</w:t>
      </w:r>
    </w:p>
    <w:p w14:paraId="004CBD56">
      <w:pPr>
        <w:spacing w:line="240" w:lineRule="auto"/>
      </w:pPr>
      <w:r>
        <w:rPr>
          <w:rFonts w:ascii="宋体" w:hAnsi="宋体" w:eastAsia="宋体"/>
          <w:b w:val="0"/>
          <w:sz w:val="24"/>
        </w:rPr>
        <w:t>（一）学业能力（总分不超过40分）</w:t>
      </w:r>
    </w:p>
    <w:tbl>
      <w:tblPr>
        <w:tblStyle w:val="33"/>
        <w:tblW w:w="9070" w:type="dxa"/>
        <w:tblInd w:w="2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3892"/>
        <w:gridCol w:w="3786"/>
      </w:tblGrid>
      <w:tr w14:paraId="28926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392" w:type="dxa"/>
            <w:vAlign w:val="center"/>
          </w:tcPr>
          <w:p w14:paraId="3E97A5DF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</w:t>
            </w:r>
          </w:p>
        </w:tc>
        <w:tc>
          <w:tcPr>
            <w:tcW w:w="3892" w:type="dxa"/>
            <w:vAlign w:val="center"/>
          </w:tcPr>
          <w:p w14:paraId="63E867C3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指标细则</w:t>
            </w:r>
          </w:p>
        </w:tc>
        <w:tc>
          <w:tcPr>
            <w:tcW w:w="3786" w:type="dxa"/>
            <w:vAlign w:val="center"/>
          </w:tcPr>
          <w:p w14:paraId="1B9974F6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分值说明</w:t>
            </w:r>
          </w:p>
        </w:tc>
      </w:tr>
      <w:tr w14:paraId="6974E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2" w:type="dxa"/>
            <w:vAlign w:val="center"/>
          </w:tcPr>
          <w:p w14:paraId="0ED1D855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学业成绩</w:t>
            </w:r>
          </w:p>
        </w:tc>
        <w:tc>
          <w:tcPr>
            <w:tcW w:w="3892" w:type="dxa"/>
            <w:vAlign w:val="center"/>
          </w:tcPr>
          <w:p w14:paraId="66804626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学生学业成绩排名</w:t>
            </w:r>
          </w:p>
        </w:tc>
        <w:tc>
          <w:tcPr>
            <w:tcW w:w="3786" w:type="dxa"/>
            <w:vAlign w:val="center"/>
          </w:tcPr>
          <w:p w14:paraId="35E83D9D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年级前5%：6分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前10%：3分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前20%：1分</w:t>
            </w:r>
          </w:p>
        </w:tc>
      </w:tr>
      <w:tr w14:paraId="017B4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2" w:type="dxa"/>
            <w:vAlign w:val="center"/>
          </w:tcPr>
          <w:p w14:paraId="651078ED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综合测评</w:t>
            </w:r>
          </w:p>
        </w:tc>
        <w:tc>
          <w:tcPr>
            <w:tcW w:w="3892" w:type="dxa"/>
            <w:vAlign w:val="center"/>
          </w:tcPr>
          <w:p w14:paraId="03F5B83F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学生综合测评排名</w:t>
            </w:r>
          </w:p>
        </w:tc>
        <w:tc>
          <w:tcPr>
            <w:tcW w:w="3786" w:type="dxa"/>
            <w:vAlign w:val="center"/>
          </w:tcPr>
          <w:p w14:paraId="2A620A99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年级前5%：6分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前10%：3分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前20%：1分</w:t>
            </w:r>
          </w:p>
        </w:tc>
      </w:tr>
      <w:tr w14:paraId="46D5B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2" w:type="dxa"/>
            <w:vAlign w:val="center"/>
          </w:tcPr>
          <w:p w14:paraId="4EAF59FE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社会工作</w:t>
            </w:r>
          </w:p>
        </w:tc>
        <w:tc>
          <w:tcPr>
            <w:tcW w:w="3892" w:type="dxa"/>
            <w:vAlign w:val="center"/>
          </w:tcPr>
          <w:p w14:paraId="54092F07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担任学生干部职务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（一人多职取最高分，不累加）</w:t>
            </w:r>
          </w:p>
        </w:tc>
        <w:tc>
          <w:tcPr>
            <w:tcW w:w="3786" w:type="dxa"/>
            <w:vAlign w:val="center"/>
          </w:tcPr>
          <w:p w14:paraId="3286B8D0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校级0-5分，院级0-4分，班级0-3分，视具体表现加分，同时担任多职位不累计</w:t>
            </w:r>
          </w:p>
        </w:tc>
      </w:tr>
      <w:tr w14:paraId="4CF15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2" w:type="dxa"/>
            <w:vAlign w:val="center"/>
          </w:tcPr>
          <w:p w14:paraId="52681AF7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学科竞赛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（含论文、专利）</w:t>
            </w:r>
          </w:p>
        </w:tc>
        <w:tc>
          <w:tcPr>
            <w:tcW w:w="3892" w:type="dxa"/>
            <w:vAlign w:val="center"/>
          </w:tcPr>
          <w:p w14:paraId="4BE4C67E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学科竞赛获奖、发表论文、获得专利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（同一赛事/成果取最高等级，不重复计分；团体奖与个人奖同等分值）</w:t>
            </w:r>
          </w:p>
        </w:tc>
        <w:tc>
          <w:tcPr>
            <w:tcW w:w="3786" w:type="dxa"/>
            <w:vAlign w:val="center"/>
          </w:tcPr>
          <w:p w14:paraId="6CFB9BE4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国家级：8分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省级：6分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市级：4分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校级/协会级：3分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院级：2分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论文/专利等级对应：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SCI/EI期刊/核心期刊/发明专利→国家级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普通期刊/会议论文/实用新型专利→省级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外观设计专利/软件著作权→校级/协会级</w:t>
            </w:r>
          </w:p>
        </w:tc>
      </w:tr>
      <w:tr w14:paraId="0A71B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2" w:type="dxa"/>
            <w:vAlign w:val="center"/>
          </w:tcPr>
          <w:p w14:paraId="56CD662A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创新创业</w:t>
            </w:r>
          </w:p>
        </w:tc>
        <w:tc>
          <w:tcPr>
            <w:tcW w:w="3892" w:type="dxa"/>
            <w:vAlign w:val="center"/>
          </w:tcPr>
          <w:p w14:paraId="3B128BDF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创新创业类竞赛获奖</w:t>
            </w:r>
          </w:p>
        </w:tc>
        <w:tc>
          <w:tcPr>
            <w:tcW w:w="3786" w:type="dxa"/>
            <w:vAlign w:val="center"/>
          </w:tcPr>
          <w:p w14:paraId="509EA96A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国家级：8分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省级：6分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市级：4分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校级/协会级：3分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院级：2分</w:t>
            </w:r>
          </w:p>
        </w:tc>
      </w:tr>
      <w:tr w14:paraId="796C8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92" w:type="dxa"/>
            <w:vAlign w:val="center"/>
          </w:tcPr>
          <w:p w14:paraId="1C94740B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奖学金/荣誉</w:t>
            </w:r>
          </w:p>
        </w:tc>
        <w:tc>
          <w:tcPr>
            <w:tcW w:w="3892" w:type="dxa"/>
            <w:vAlign w:val="center"/>
          </w:tcPr>
          <w:p w14:paraId="08EAEF6B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获得奖学金、荣誉称号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、体育赛事获奖</w:t>
            </w:r>
          </w:p>
        </w:tc>
        <w:tc>
          <w:tcPr>
            <w:tcW w:w="3786" w:type="dxa"/>
            <w:vAlign w:val="center"/>
          </w:tcPr>
          <w:p w14:paraId="4BAF26E9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国家奖学金：8分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国家励志奖学金：6分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校一等奖学金：4分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校二等奖学金：3分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校三等奖学金：2分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优秀团员/团干/学生骨干/三好学生：3分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优秀学员：2分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志愿者之星/优秀志愿者：2分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标兵/十佳：4分</w:t>
            </w:r>
          </w:p>
          <w:p w14:paraId="7C9C47CE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国家级：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省级：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市级：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校级/协会级：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院级：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分</w:t>
            </w:r>
          </w:p>
        </w:tc>
      </w:tr>
    </w:tbl>
    <w:p w14:paraId="60DD6408">
      <w:pPr>
        <w:spacing w:line="240" w:lineRule="auto"/>
      </w:pPr>
    </w:p>
    <w:p w14:paraId="1CCBFF02">
      <w:pPr>
        <w:spacing w:line="240" w:lineRule="auto"/>
      </w:pPr>
      <w:r>
        <w:rPr>
          <w:rFonts w:ascii="宋体" w:hAnsi="宋体" w:eastAsia="宋体"/>
          <w:b w:val="0"/>
          <w:sz w:val="24"/>
        </w:rPr>
        <w:t>（二）党性成长（总分不超过60分）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118"/>
        <w:gridCol w:w="4535"/>
      </w:tblGrid>
      <w:tr w14:paraId="7C5ED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F63B51F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模块</w:t>
            </w:r>
          </w:p>
        </w:tc>
        <w:tc>
          <w:tcPr>
            <w:tcW w:w="3118" w:type="dxa"/>
            <w:vAlign w:val="center"/>
          </w:tcPr>
          <w:p w14:paraId="037CF525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指标细则</w:t>
            </w:r>
          </w:p>
        </w:tc>
        <w:tc>
          <w:tcPr>
            <w:tcW w:w="4535" w:type="dxa"/>
            <w:vAlign w:val="center"/>
          </w:tcPr>
          <w:p w14:paraId="224106C8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分值说明</w:t>
            </w:r>
          </w:p>
        </w:tc>
      </w:tr>
      <w:tr w14:paraId="00EAD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8E8DF36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党课学习</w:t>
            </w:r>
          </w:p>
        </w:tc>
        <w:tc>
          <w:tcPr>
            <w:tcW w:w="3118" w:type="dxa"/>
            <w:vAlign w:val="center"/>
          </w:tcPr>
          <w:p w14:paraId="298121B6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作为党课的组织管理者宣讲者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（含党课培训中组织的参观学习活动）</w:t>
            </w:r>
          </w:p>
        </w:tc>
        <w:tc>
          <w:tcPr>
            <w:tcW w:w="4535" w:type="dxa"/>
            <w:vAlign w:val="center"/>
          </w:tcPr>
          <w:p w14:paraId="40D70745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每次5分</w:t>
            </w:r>
          </w:p>
        </w:tc>
      </w:tr>
      <w:tr w14:paraId="1499E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B794E2C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志愿服务</w:t>
            </w:r>
          </w:p>
        </w:tc>
        <w:tc>
          <w:tcPr>
            <w:tcW w:w="3118" w:type="dxa"/>
            <w:vAlign w:val="center"/>
          </w:tcPr>
          <w:p w14:paraId="28693F24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参加各级各类志愿服务活动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（按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将成为入党积极分子以来总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活动服务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时长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计分，总分上限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分）</w:t>
            </w:r>
          </w:p>
        </w:tc>
        <w:tc>
          <w:tcPr>
            <w:tcW w:w="4535" w:type="dxa"/>
            <w:vAlign w:val="center"/>
          </w:tcPr>
          <w:p w14:paraId="715C67FB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总服务时长×0.25（每小时）</w:t>
            </w:r>
          </w:p>
        </w:tc>
      </w:tr>
      <w:tr w14:paraId="61E67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923C37F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红色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活动</w:t>
            </w:r>
          </w:p>
        </w:tc>
        <w:tc>
          <w:tcPr>
            <w:tcW w:w="3118" w:type="dxa"/>
            <w:vAlign w:val="center"/>
          </w:tcPr>
          <w:p w14:paraId="11122097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参加党团活动：升旗仪式、植树活动、敬老院慰问、祭扫烈士陵园等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参观红色教育基地：纪念馆、博物馆、党史馆、革命旧址等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参加思想政治教育：形势政策课、主题团日、主题班会、青年大学习等</w:t>
            </w:r>
          </w:p>
        </w:tc>
        <w:tc>
          <w:tcPr>
            <w:tcW w:w="4535" w:type="dxa"/>
            <w:vAlign w:val="center"/>
          </w:tcPr>
          <w:p w14:paraId="695F84E4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每次3分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（党课培训中组织的参观已计入党课学习，不重复计算）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线上红色资源学习（学习强国、红色影视、党史读物等）：每次1分，累计不超过5分</w:t>
            </w:r>
          </w:p>
        </w:tc>
      </w:tr>
      <w:tr w14:paraId="177AE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4124436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社会实践</w:t>
            </w:r>
          </w:p>
        </w:tc>
        <w:tc>
          <w:tcPr>
            <w:tcW w:w="3118" w:type="dxa"/>
            <w:vAlign w:val="center"/>
          </w:tcPr>
          <w:p w14:paraId="4B176AE0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参与"三下乡"、乡村振兴、百千万工程、千股工程、双百行动、支教、调研等社会实践活动</w:t>
            </w:r>
          </w:p>
        </w:tc>
        <w:tc>
          <w:tcPr>
            <w:tcW w:w="4535" w:type="dxa"/>
            <w:vAlign w:val="center"/>
          </w:tcPr>
          <w:p w14:paraId="1DB0823E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参与基础分：每次5分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成果获奖（同一项目取最高等级）：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国家级：8分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省级：6分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市级：4分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校级/协会级：3分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院级：2分</w:t>
            </w:r>
          </w:p>
        </w:tc>
      </w:tr>
      <w:tr w14:paraId="710DA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AED1134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国际交流</w:t>
            </w:r>
          </w:p>
        </w:tc>
        <w:tc>
          <w:tcPr>
            <w:tcW w:w="3118" w:type="dxa"/>
            <w:vAlign w:val="center"/>
          </w:tcPr>
          <w:p w14:paraId="1AE8801A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参加中外文化交流活动、国际学术会议、留学生交流活动等</w:t>
            </w:r>
          </w:p>
        </w:tc>
        <w:tc>
          <w:tcPr>
            <w:tcW w:w="4535" w:type="dxa"/>
            <w:vAlign w:val="center"/>
          </w:tcPr>
          <w:p w14:paraId="60A32CE0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每次2分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总分上限8分</w:t>
            </w:r>
          </w:p>
        </w:tc>
      </w:tr>
      <w:tr w14:paraId="6CFA0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3AF9B33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同辈互助</w:t>
            </w:r>
          </w:p>
        </w:tc>
        <w:tc>
          <w:tcPr>
            <w:tcW w:w="3118" w:type="dxa"/>
            <w:vAlign w:val="center"/>
          </w:tcPr>
          <w:p w14:paraId="61D36B58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参加迎新活动、运动会、晚会、讲座（含学术讲座）、献血、校园巡逻、食堂协助、查寝、体检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协助、职业规划活动、社团活动、体育比赛、文艺演出、辩论赛、演讲比赛等</w:t>
            </w:r>
          </w:p>
        </w:tc>
        <w:tc>
          <w:tcPr>
            <w:tcW w:w="4535" w:type="dxa"/>
            <w:vAlign w:val="center"/>
          </w:tcPr>
          <w:p w14:paraId="4FA79F78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每次2分</w:t>
            </w:r>
          </w:p>
        </w:tc>
      </w:tr>
    </w:tbl>
    <w:p w14:paraId="4AA2A1E4">
      <w:pPr>
        <w:spacing w:line="240" w:lineRule="auto"/>
      </w:pPr>
    </w:p>
    <w:p w14:paraId="44F4AB4B">
      <w:pPr>
        <w:spacing w:line="240" w:lineRule="auto"/>
        <w:ind w:firstLine="480"/>
      </w:pPr>
      <w:r>
        <w:rPr>
          <w:rFonts w:ascii="宋体" w:hAnsi="宋体" w:eastAsia="宋体"/>
          <w:b w:val="0"/>
          <w:sz w:val="24"/>
        </w:rPr>
        <w:t>成果加分要求：需提交证书、证明、聘书、课题报告或发表期刊等佐证材料。</w:t>
      </w:r>
    </w:p>
    <w:p w14:paraId="4339CDF6">
      <w:pPr>
        <w:spacing w:line="240" w:lineRule="auto"/>
      </w:pPr>
      <w:r>
        <w:rPr>
          <w:rFonts w:ascii="宋体" w:hAnsi="宋体" w:eastAsia="宋体"/>
          <w:b w:val="0"/>
          <w:sz w:val="24"/>
        </w:rPr>
        <w:t>（三）纪律约束（扣分项）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388C0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E819D81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扣分项目</w:t>
            </w:r>
          </w:p>
        </w:tc>
        <w:tc>
          <w:tcPr>
            <w:tcW w:w="6803" w:type="dxa"/>
            <w:vAlign w:val="center"/>
          </w:tcPr>
          <w:p w14:paraId="4CEFBEA7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扣分说明</w:t>
            </w:r>
          </w:p>
        </w:tc>
      </w:tr>
      <w:tr w14:paraId="6E6DF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74BD6EE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缺勤</w:t>
            </w:r>
          </w:p>
        </w:tc>
        <w:tc>
          <w:tcPr>
            <w:tcW w:w="6803" w:type="dxa"/>
            <w:vAlign w:val="center"/>
          </w:tcPr>
          <w:p w14:paraId="4C00556C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每次扣2分；迟到累计3次按1次缺勤计</w:t>
            </w:r>
          </w:p>
        </w:tc>
      </w:tr>
      <w:tr w14:paraId="32977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3C5ABF8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不当言论</w:t>
            </w:r>
          </w:p>
        </w:tc>
        <w:tc>
          <w:tcPr>
            <w:tcW w:w="6803" w:type="dxa"/>
            <w:vAlign w:val="center"/>
          </w:tcPr>
          <w:p w14:paraId="6B99943C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发表不符合事实言论、传播谣言等，视情节扣2-5分</w:t>
            </w:r>
          </w:p>
        </w:tc>
      </w:tr>
      <w:tr w14:paraId="37F78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93972B8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挂科</w:t>
            </w:r>
          </w:p>
        </w:tc>
        <w:tc>
          <w:tcPr>
            <w:tcW w:w="6803" w:type="dxa"/>
            <w:vAlign w:val="center"/>
          </w:tcPr>
          <w:p w14:paraId="30070730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每门扣3分；挂科超过3门，暂停或取消发展党员资格</w:t>
            </w:r>
          </w:p>
        </w:tc>
      </w:tr>
      <w:tr w14:paraId="705EC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CD9D42F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无故缺席</w:t>
            </w:r>
          </w:p>
        </w:tc>
        <w:tc>
          <w:tcPr>
            <w:tcW w:w="6803" w:type="dxa"/>
            <w:vAlign w:val="center"/>
          </w:tcPr>
          <w:p w14:paraId="4E19B0D9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无故缺席组织活动，每次扣2分</w:t>
            </w:r>
          </w:p>
        </w:tc>
      </w:tr>
      <w:tr w14:paraId="2F152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D9A7715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网络违纪</w:t>
            </w:r>
          </w:p>
        </w:tc>
        <w:tc>
          <w:tcPr>
            <w:tcW w:w="6803" w:type="dxa"/>
            <w:vAlign w:val="center"/>
          </w:tcPr>
          <w:p w14:paraId="3D98524C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浏览非法网站、传播有害信息等，扣2-5分</w:t>
            </w:r>
          </w:p>
        </w:tc>
      </w:tr>
      <w:tr w14:paraId="7420D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B47F44F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纪律处分</w:t>
            </w:r>
          </w:p>
        </w:tc>
        <w:tc>
          <w:tcPr>
            <w:tcW w:w="6803" w:type="dxa"/>
            <w:vAlign w:val="center"/>
          </w:tcPr>
          <w:p w14:paraId="4E84E4C1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通报批评：扣5分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警告：扣10分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严重警告/记过及以上：扣20分</w:t>
            </w:r>
          </w:p>
        </w:tc>
      </w:tr>
      <w:tr w14:paraId="2BB5B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49F62E2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一票否决</w:t>
            </w:r>
          </w:p>
        </w:tc>
        <w:tc>
          <w:tcPr>
            <w:tcW w:w="6803" w:type="dxa"/>
            <w:vAlign w:val="center"/>
          </w:tcPr>
          <w:p w14:paraId="47D0FA1B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违反政治纪律和政治规矩、参加非法组织、有重大违纪违法行为等，扣除全部积分，取消发展资格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投诉核实流程：提交投诉材料→学院党委核实→必要时组织听证</w:t>
            </w:r>
          </w:p>
        </w:tc>
      </w:tr>
    </w:tbl>
    <w:p w14:paraId="6589519F">
      <w:pPr>
        <w:keepNext w:val="0"/>
        <w:keepLines w:val="0"/>
        <w:widowControl/>
        <w:suppressLineNumbers w:val="0"/>
        <w:spacing w:after="0" w:line="240" w:lineRule="auto"/>
        <w:jc w:val="left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336AEA6E">
      <w:pPr>
        <w:spacing w:line="240" w:lineRule="auto"/>
        <w:rPr>
          <w:rFonts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四、结果应用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4F044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FD0A342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应用场景</w:t>
            </w:r>
          </w:p>
        </w:tc>
        <w:tc>
          <w:tcPr>
            <w:tcW w:w="7370" w:type="dxa"/>
            <w:vAlign w:val="center"/>
          </w:tcPr>
          <w:p w14:paraId="370971CC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说明</w:t>
            </w:r>
          </w:p>
        </w:tc>
      </w:tr>
      <w:tr w14:paraId="3A8DE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5FE6089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发展/转正</w:t>
            </w:r>
          </w:p>
        </w:tc>
        <w:tc>
          <w:tcPr>
            <w:tcW w:w="7370" w:type="dxa"/>
            <w:vAlign w:val="center"/>
          </w:tcPr>
          <w:p w14:paraId="04514CBB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积分结果作为入党积极分子确定、发展对象确定、预备党员转正的重要参考；积分过低者暂缓发展或转正</w:t>
            </w:r>
          </w:p>
        </w:tc>
      </w:tr>
      <w:tr w14:paraId="50B45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D4CB04C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星级评定</w:t>
            </w:r>
          </w:p>
        </w:tc>
        <w:tc>
          <w:tcPr>
            <w:tcW w:w="7370" w:type="dxa"/>
            <w:vAlign w:val="center"/>
          </w:tcPr>
          <w:p w14:paraId="5BB98275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★★★★★（5星）：积分排名前10%，优先推荐校级及以上荣誉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★★★★（4星）：积分排名前20%，可参与学院重点项目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★★及以下：接受警示谈话，制定改进计划</w:t>
            </w:r>
          </w:p>
        </w:tc>
      </w:tr>
      <w:tr w14:paraId="5BB06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25CA5DF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动态公示</w:t>
            </w:r>
          </w:p>
        </w:tc>
        <w:tc>
          <w:tcPr>
            <w:tcW w:w="7370" w:type="dxa"/>
            <w:vAlign w:val="center"/>
          </w:tcPr>
          <w:p w14:paraId="36597AD0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每学期通过学院官网、微信公众号公示积分明细，接受师生监督</w:t>
            </w:r>
          </w:p>
        </w:tc>
      </w:tr>
      <w:tr w14:paraId="615B4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D3DD27E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申诉机制</w:t>
            </w:r>
          </w:p>
        </w:tc>
        <w:tc>
          <w:tcPr>
            <w:tcW w:w="7370" w:type="dxa"/>
            <w:vAlign w:val="center"/>
          </w:tcPr>
          <w:p w14:paraId="3A61D1BC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学生对积分有异议可向学院党委提出申诉，5个工作日内处理答复</w:t>
            </w:r>
          </w:p>
        </w:tc>
      </w:tr>
    </w:tbl>
    <w:p w14:paraId="5FC9F498">
      <w:pPr>
        <w:spacing w:line="240" w:lineRule="auto"/>
      </w:pPr>
    </w:p>
    <w:p w14:paraId="1DEAF77F">
      <w:pPr>
        <w:spacing w:line="240" w:lineRule="auto"/>
        <w:rPr>
          <w:rFonts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五、动态运行保障</w:t>
      </w:r>
    </w:p>
    <w:p w14:paraId="0C737D06">
      <w:pPr>
        <w:spacing w:line="240" w:lineRule="auto"/>
        <w:ind w:firstLine="480"/>
      </w:pPr>
      <w:r>
        <w:rPr>
          <w:rFonts w:ascii="宋体" w:hAnsi="宋体" w:eastAsia="宋体"/>
          <w:b w:val="0"/>
          <w:sz w:val="24"/>
        </w:rPr>
        <w:t>1. 评估与反馈：每学期末对积分制进行评估，收集党员、支部干部意见，适时调整指标和分值。</w:t>
      </w:r>
    </w:p>
    <w:p w14:paraId="7C02E301">
      <w:pPr>
        <w:spacing w:line="240" w:lineRule="auto"/>
        <w:ind w:firstLine="480"/>
      </w:pPr>
      <w:r>
        <w:rPr>
          <w:rFonts w:ascii="宋体" w:hAnsi="宋体" w:eastAsia="宋体"/>
          <w:b w:val="0"/>
          <w:sz w:val="24"/>
        </w:rPr>
        <w:t>2. 特殊情况处理：因病、因事等不可抗力无法参加活动的，积分不扣除。</w:t>
      </w:r>
    </w:p>
    <w:p w14:paraId="32BF56E8">
      <w:pPr>
        <w:spacing w:line="240" w:lineRule="auto"/>
        <w:ind w:firstLine="480"/>
      </w:pPr>
      <w:r>
        <w:rPr>
          <w:rFonts w:ascii="宋体" w:hAnsi="宋体" w:eastAsia="宋体"/>
          <w:b w:val="0"/>
          <w:sz w:val="24"/>
        </w:rPr>
        <w:t>3. 培训与指导：对党支部干部进行积分制操作培训，确保评分标准统一；每学期开展积分制工作交流会，收集党员意见优化方案。</w:t>
      </w:r>
    </w:p>
    <w:p w14:paraId="07A76FCD">
      <w:pPr>
        <w:spacing w:line="240" w:lineRule="auto"/>
        <w:rPr>
          <w:rFonts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六、附则</w:t>
      </w:r>
    </w:p>
    <w:p w14:paraId="407B364B">
      <w:pPr>
        <w:spacing w:line="240" w:lineRule="auto"/>
        <w:ind w:firstLine="480"/>
      </w:pPr>
      <w:r>
        <w:rPr>
          <w:rFonts w:ascii="宋体" w:hAnsi="宋体" w:eastAsia="宋体"/>
          <w:b w:val="0"/>
          <w:sz w:val="24"/>
        </w:rPr>
        <w:t>1. 本方案由国际教育学院党委负责解释。</w:t>
      </w:r>
    </w:p>
    <w:p w14:paraId="358F994B">
      <w:pPr>
        <w:spacing w:line="240" w:lineRule="auto"/>
        <w:ind w:firstLine="480"/>
      </w:pPr>
      <w:r>
        <w:rPr>
          <w:rFonts w:ascii="宋体" w:hAnsi="宋体" w:eastAsia="宋体"/>
          <w:b w:val="0"/>
          <w:sz w:val="24"/>
        </w:rPr>
        <w:t>2. 本方案适用对象为国际教育学院党员发展过程中的全体学生。</w:t>
      </w:r>
    </w:p>
    <w:p w14:paraId="4F049947">
      <w:pPr>
        <w:spacing w:line="240" w:lineRule="auto"/>
        <w:ind w:firstLine="480"/>
      </w:pPr>
      <w:r>
        <w:rPr>
          <w:rFonts w:ascii="宋体" w:hAnsi="宋体" w:eastAsia="宋体"/>
          <w:b w:val="0"/>
          <w:sz w:val="24"/>
        </w:rPr>
        <w:t>3. 本方案积分起算时间确定为入党申请日期。</w:t>
      </w:r>
    </w:p>
    <w:p w14:paraId="6A65DDDF">
      <w:pPr>
        <w:spacing w:line="240" w:lineRule="auto"/>
        <w:ind w:firstLine="480"/>
      </w:pPr>
      <w:r>
        <w:rPr>
          <w:rFonts w:ascii="宋体" w:hAnsi="宋体" w:eastAsia="宋体"/>
          <w:b w:val="0"/>
          <w:sz w:val="24"/>
        </w:rPr>
        <w:t>4. 在院内成为积极分子后，但截至2024年9月1日前尚未成为国际教育学院党委在册学生，期间提交的材料计分按原分值的60%统计。</w:t>
      </w:r>
    </w:p>
    <w:p w14:paraId="11165292">
      <w:pPr>
        <w:spacing w:line="240" w:lineRule="auto"/>
        <w:ind w:firstLine="480"/>
      </w:pPr>
      <w:r>
        <w:rPr>
          <w:rFonts w:ascii="宋体" w:hAnsi="宋体" w:eastAsia="宋体"/>
          <w:b w:val="0"/>
          <w:sz w:val="24"/>
        </w:rPr>
        <w:t>5. 本方案自发布之日起施行。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309"/>
    <w:rsid w:val="00AA1D8D"/>
    <w:rsid w:val="00B47730"/>
    <w:rsid w:val="00CB0664"/>
    <w:rsid w:val="00FC693F"/>
    <w:rsid w:val="0DCE635B"/>
    <w:rsid w:val="28083C89"/>
    <w:rsid w:val="2D503453"/>
    <w:rsid w:val="5F1F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1826</Words>
  <Characters>1862</Characters>
  <Lines>0</Lines>
  <Paragraphs>0</Paragraphs>
  <TotalTime>5</TotalTime>
  <ScaleCrop>false</ScaleCrop>
  <LinksUpToDate>false</LinksUpToDate>
  <CharactersWithSpaces>1862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christine</cp:lastModifiedBy>
  <dcterms:modified xsi:type="dcterms:W3CDTF">2026-06-08T03:18:44Z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eyJoZGlkIjoiODViY2JkMjU3NGYzZTEwMzZmMGFkZWViYmNkYWU3NDIiLCJ1c2VySWQiOiI1NjQ5OTc3OTgifQ==</vt:lpwstr>
  </property>
  <property fmtid="{D5CDD505-2E9C-101B-9397-08002B2CF9AE}" pid="3" name="KSOProductBuildVer">
    <vt:lpwstr>2052-12.1.0.22529</vt:lpwstr>
  </property>
  <property fmtid="{D5CDD505-2E9C-101B-9397-08002B2CF9AE}" pid="4" name="ICV">
    <vt:lpwstr>C1E027FA212149758B6CA560DC10A7FE_12</vt:lpwstr>
  </property>
</Properties>
</file>