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spacing w:after="300"/>
        <w:jc w:val="center"/>
      </w:pPr>
      <w:r>
        <w:drawing>
          <wp:inline distT="0" distB="0" distL="0" distR="0">
            <wp:extent cx="1619250" cy="1619250"/>
            <wp:effectExtent t="0" r="0" b="0" l="0"/>
            <wp:docPr id="1" name="logo" descr="Logo Maternal AI" title="Logo Maternal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19250" cy="1619250"/>
                    </a:xfrm>
                    <a:prstGeom prst="rect">
                      <a:avLst/>
                    </a:prstGeom>
                  </pic:spPr>
                </pic:pic>
              </a:graphicData>
            </a:graphic>
          </wp:inline>
        </w:drawing>
      </w:r>
    </w:p>
    <w:p>
      <w:pPr>
        <w:spacing w:after="120"/>
        <w:jc w:val="center"/>
      </w:pPr>
      <w:r>
        <w:rPr>
          <w:b/>
          <w:bCs/>
          <w:color w:val="D85C5C"/>
          <w:sz w:val="50"/>
          <w:szCs w:val="50"/>
        </w:rPr>
        <w:t xml:space="preserve">Cahier des charges</w:t>
      </w:r>
    </w:p>
    <w:p>
      <w:pPr>
        <w:spacing w:after="100"/>
        <w:jc w:val="center"/>
      </w:pPr>
      <w:r>
        <w:rPr>
          <w:sz w:val="30"/>
          <w:szCs w:val="30"/>
        </w:rPr>
        <w:t xml:space="preserve">Carnet de grossesse connecté et digitalisation des CSB sur DHIS2</w:t>
      </w:r>
    </w:p>
    <w:p>
      <w:pPr>
        <w:spacing w:after="100"/>
        <w:jc w:val="center"/>
      </w:pPr>
      <w:r>
        <w:rPr>
          <w:color w:val="6B6B6B"/>
          <w:sz w:val="22"/>
          <w:szCs w:val="22"/>
        </w:rPr>
        <w:t xml:space="preserve">Architecture IA, services de données et surveillance de la santé maternelle et infantile</w:t>
      </w:r>
    </w:p>
    <w:p>
      <w:pPr>
        <w:spacing w:after="500"/>
        <w:jc w:val="center"/>
      </w:pPr>
      <w:r>
        <w:rPr>
          <w:color w:val="6B6B6B"/>
          <w:sz w:val="20"/>
          <w:szCs w:val="20"/>
        </w:rPr>
        <w:t xml:space="preserve">Nom de travail du produit : HealthFlow (provisoire)</w:t>
      </w:r>
    </w:p>
    <w:p>
      <w:pPr>
        <w:pBdr>
          <w:top w:val="single" w:color="D85C5C" w:sz="6" w:space="14"/>
        </w:pBdr>
        <w:spacing w:after="60" w:before="200"/>
        <w:jc w:val="center"/>
      </w:pPr>
      <w:r>
        <w:rPr>
          <w:b/>
          <w:bCs/>
          <w:sz w:val="22"/>
          <w:szCs w:val="22"/>
        </w:rPr>
        <w:t xml:space="preserve">Maternal AI  |  Version 1.0  |  Septembre 2026</w:t>
      </w:r>
    </w:p>
    <w:p>
      <w:pPr>
        <w:spacing w:after="60"/>
        <w:jc w:val="center"/>
      </w:pPr>
      <w:r>
        <w:rPr>
          <w:color w:val="6B6B6B"/>
          <w:sz w:val="19"/>
          <w:szCs w:val="19"/>
        </w:rPr>
        <w:t xml:space="preserve">Fait suite au cahier de projet v0.2. Destiné à l'équipe produit, au CTO, aux experts médicaux, à l'équipe terrain et aux partenaires des premiers pilotes.</w:t>
      </w:r>
    </w:p>
    <w:p>
      <w:pPr>
        <w:jc w:val="center"/>
      </w:pPr>
      <w:r>
        <w:rPr>
          <w:color w:val="6B6B6B"/>
          <w:sz w:val="19"/>
          <w:szCs w:val="19"/>
        </w:rPr>
        <w:t xml:space="preserve">Les choix cliniques, réglementaires et techniques restent à valider avec les autorités et les experts compétents avant déploiement.</w:t>
      </w:r>
    </w:p>
    <w:p>
      <w:r>
        <w:br w:type="page"/>
      </w:r>
    </w:p>
    <w:p>
      <w:pPr>
        <w:pStyle w:val="Heading1"/>
        <w:keepNext/>
      </w:pPr>
      <w:r>
        <w:t xml:space="preserve">1. Objet du document et décisions structurantes</w:t>
      </w:r>
    </w:p>
    <w:p>
      <w:pPr>
        <w:spacing w:after="130" w:line="288"/>
      </w:pPr>
      <w:r>
        <w:t xml:space="preserve">Ce cahier des charges traduit la stratégie du cahier de projet v0.2 en exigences opérationnelles : ce qu'il faut construire, avec quelles technologies, sous quelles contraintes, selon quelle méthode, en combien de temps et dans quel ordre de priorité. Il couvre le carnet de grossesse à QR code, la digitalisation des CSB et des cabinets privés, la messagerie vers les femmes, l'architecture de l'IA et, dès maintenant, les futurs services de données et de surveillance qui en découlent.</w:t>
      </w:r>
    </w:p>
    <w:p>
      <w:pPr>
        <w:spacing w:after="130" w:line="288"/>
      </w:pPr>
      <w:r>
        <w:t xml:space="preserve">Sept décisions structurent tout le reste.</w:t>
      </w:r>
    </w:p>
    <w:p>
      <w:pPr>
        <w:pStyle w:val="ListParagraph"/>
        <w:numPr>
          <w:ilvl w:val="0"/>
          <w:numId w:val="2"/>
        </w:numPr>
        <w:spacing w:after="60" w:line="276"/>
      </w:pPr>
      <w:r>
        <w:t xml:space="preserve">DHIS2 est le seul socle open source retenu. Le dossier, les formulaires, les règles, les notifications, l'application Android, les tableaux de bord et les échanges de données reposent sur DHIS2 (Tracker, Android Capture, module SMS, analytique). Les autres plateformes de collecte ne sont pas utilisées.</w:t>
      </w:r>
    </w:p>
    <w:p>
      <w:pPr>
        <w:pStyle w:val="ListParagraph"/>
        <w:numPr>
          <w:ilvl w:val="0"/>
          <w:numId w:val="2"/>
        </w:numPr>
        <w:spacing w:after="60" w:line="276"/>
      </w:pPr>
      <w:r>
        <w:t xml:space="preserve">Deux modes de déploiement coexistent : se raccorder à l'instance DHIS2 du ministère quand un programme ou un district l'autorise, et disposer d'une instance Maternal AI pour les cabinets et cliniques privés, avec échange de données agrégées vers le système national.</w:t>
      </w:r>
    </w:p>
    <w:p>
      <w:pPr>
        <w:pStyle w:val="ListParagraph"/>
        <w:numPr>
          <w:ilvl w:val="0"/>
          <w:numId w:val="2"/>
        </w:numPr>
        <w:spacing w:after="60" w:line="276"/>
      </w:pPr>
      <w:r>
        <w:t xml:space="preserve">Le carnet papier à QR code est la base pour la femme. Le QR contient un identifiant opaque, jamais de donnée médicale.</w:t>
      </w:r>
    </w:p>
    <w:p>
      <w:pPr>
        <w:pStyle w:val="ListParagraph"/>
        <w:numPr>
          <w:ilvl w:val="0"/>
          <w:numId w:val="2"/>
        </w:numPr>
        <w:spacing w:after="60" w:line="276"/>
      </w:pPr>
      <w:r>
        <w:t xml:space="preserve">Les femmes sont d'abord jointes par le carnet, le relais, le SMS et la voix. Messenger et l'application sont des options.</w:t>
      </w:r>
    </w:p>
    <w:p>
      <w:pPr>
        <w:pStyle w:val="ListParagraph"/>
        <w:numPr>
          <w:ilvl w:val="0"/>
          <w:numId w:val="2"/>
        </w:numPr>
        <w:spacing w:after="60" w:line="276"/>
      </w:pPr>
      <w:r>
        <w:t xml:space="preserve">On configure avant de programmer. Du code sur mesure n'est écrit que pour ce que DHIS2 ne fait pas : génération des carnets, routeur de messages, services d'IA, helpdesk.</w:t>
      </w:r>
    </w:p>
    <w:p>
      <w:pPr>
        <w:pStyle w:val="ListParagraph"/>
        <w:numPr>
          <w:ilvl w:val="0"/>
          <w:numId w:val="2"/>
        </w:numPr>
        <w:spacing w:after="60" w:line="276"/>
      </w:pPr>
      <w:r>
        <w:t xml:space="preserve">L'IA est encadrée et progressive : règles et messages validés d'abord, génération libre jamais sans validation, aucun diagnostic.</w:t>
      </w:r>
    </w:p>
    <w:p>
      <w:pPr>
        <w:pStyle w:val="ListParagraph"/>
        <w:numPr>
          <w:ilvl w:val="0"/>
          <w:numId w:val="2"/>
        </w:numPr>
        <w:spacing w:after="60" w:line="276"/>
      </w:pPr>
      <w:r>
        <w:t xml:space="preserve">Les services de données pour les politiques publiques reposent sur des données agrégées. Aucune donnée individuelle n'est vendue.</w:t>
      </w:r>
    </w:p>
    <w:p>
      <w:pPr>
        <w:spacing w:after="60"/>
      </w:pPr>
    </w:p>
    <w:p>
      <w:pPr>
        <w:pStyle w:val="Heading1"/>
        <w:keepNext/>
      </w:pPr>
      <w:r>
        <w:t xml:space="preserve">2. Objectifs et résultats attendus</w:t>
      </w:r>
    </w:p>
    <w:p>
      <w:pPr>
        <w:spacing w:after="130" w:line="288"/>
      </w:pPr>
      <w:r>
        <w:t xml:space="preserve">Les seuils marqués « proposé » sont des propositions de départ. Ils sont à confirmer avec l'équipe médicale et les partenaires après la mesure de départ réalisée à l'étape 0.</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2900"/>
        <w:gridCol w:w="2506"/>
        <w:gridCol w:w="1200"/>
      </w:tblGrid>
      <w:tr>
        <w:trPr>
          <w:cantSplit/>
          <w:tblHeader/>
        </w:trPr>
        <w:tc>
          <w:tcPr>
            <w:tcW w:type="dxa" w:w="500"/>
            <w:tcBorders>
              <w:top w:val="single" w:color="E6CFCF" w:sz="4"/>
              <w:left w:val="single" w:color="E6CFCF" w:sz="4"/>
              <w:bottom w:val="single" w:color="E6CFCF" w:sz="4"/>
              <w:right w:val="single" w:color="E6CFCF" w:sz="4"/>
            </w:tcBorders>
            <w:shd w:fill="FBEBEB" w:color="auto" w:val="clear"/>
            <w:tcMar>
              <w:top w:type="dxa" w:w="60"/>
              <w:left w:type="dxa" w:w="80"/>
              <w:bottom w:type="dxa" w:w="60"/>
              <w:right w:type="dxa" w:w="80"/>
            </w:tcMar>
          </w:tcPr>
          <w:p>
            <w:pPr>
              <w:spacing w:after="0"/>
            </w:pPr>
            <w:r>
              <w:rPr>
                <w:b/>
                <w:bCs/>
                <w:color w:val="D85C5C"/>
                <w:sz w:val="18"/>
                <w:szCs w:val="18"/>
              </w:rPr>
              <w:t xml:space="preserve">N°</w:t>
            </w:r>
          </w:p>
        </w:tc>
        <w:tc>
          <w:tcPr>
            <w:tcW w:type="dxa" w:w="2300"/>
            <w:tcBorders>
              <w:top w:val="single" w:color="E6CFCF" w:sz="4"/>
              <w:left w:val="single" w:color="E6CFCF" w:sz="4"/>
              <w:bottom w:val="single" w:color="E6CFCF" w:sz="4"/>
              <w:right w:val="single" w:color="E6CFCF" w:sz="4"/>
            </w:tcBorders>
            <w:shd w:fill="FBEBEB" w:color="auto" w:val="clear"/>
            <w:tcMar>
              <w:top w:type="dxa" w:w="60"/>
              <w:left w:type="dxa" w:w="80"/>
              <w:bottom w:type="dxa" w:w="60"/>
              <w:right w:type="dxa" w:w="80"/>
            </w:tcMar>
          </w:tcPr>
          <w:p>
            <w:pPr>
              <w:spacing w:after="0"/>
            </w:pPr>
            <w:r>
              <w:rPr>
                <w:b/>
                <w:bCs/>
                <w:color w:val="D85C5C"/>
                <w:sz w:val="18"/>
                <w:szCs w:val="18"/>
              </w:rPr>
              <w:t xml:space="preserve">Objectif</w:t>
            </w:r>
          </w:p>
        </w:tc>
        <w:tc>
          <w:tcPr>
            <w:tcW w:type="dxa" w:w="2900"/>
            <w:tcBorders>
              <w:top w:val="single" w:color="E6CFCF" w:sz="4"/>
              <w:left w:val="single" w:color="E6CFCF" w:sz="4"/>
              <w:bottom w:val="single" w:color="E6CFCF" w:sz="4"/>
              <w:right w:val="single" w:color="E6CFCF" w:sz="4"/>
            </w:tcBorders>
            <w:shd w:fill="FBEBEB" w:color="auto" w:val="clear"/>
            <w:tcMar>
              <w:top w:type="dxa" w:w="60"/>
              <w:left w:type="dxa" w:w="80"/>
              <w:bottom w:type="dxa" w:w="60"/>
              <w:right w:type="dxa" w:w="80"/>
            </w:tcMar>
          </w:tcPr>
          <w:p>
            <w:pPr>
              <w:spacing w:after="0"/>
            </w:pPr>
            <w:r>
              <w:rPr>
                <w:b/>
                <w:bCs/>
                <w:color w:val="D85C5C"/>
                <w:sz w:val="18"/>
                <w:szCs w:val="18"/>
              </w:rPr>
              <w:t xml:space="preserve">Résultat attendu</w:t>
            </w:r>
          </w:p>
        </w:tc>
        <w:tc>
          <w:tcPr>
            <w:tcW w:type="dxa" w:w="2506"/>
            <w:tcBorders>
              <w:top w:val="single" w:color="E6CFCF" w:sz="4"/>
              <w:left w:val="single" w:color="E6CFCF" w:sz="4"/>
              <w:bottom w:val="single" w:color="E6CFCF" w:sz="4"/>
              <w:right w:val="single" w:color="E6CFCF" w:sz="4"/>
            </w:tcBorders>
            <w:shd w:fill="FBEBEB" w:color="auto" w:val="clear"/>
            <w:tcMar>
              <w:top w:type="dxa" w:w="60"/>
              <w:left w:type="dxa" w:w="80"/>
              <w:bottom w:type="dxa" w:w="60"/>
              <w:right w:type="dxa" w:w="80"/>
            </w:tcMar>
          </w:tcPr>
          <w:p>
            <w:pPr>
              <w:spacing w:after="0"/>
            </w:pPr>
            <w:r>
              <w:rPr>
                <w:b/>
                <w:bCs/>
                <w:color w:val="D85C5C"/>
                <w:sz w:val="18"/>
                <w:szCs w:val="18"/>
              </w:rPr>
              <w:t xml:space="preserve">Indicateur de succès</w:t>
            </w:r>
          </w:p>
        </w:tc>
        <w:tc>
          <w:tcPr>
            <w:tcW w:type="dxa" w:w="1200"/>
            <w:tcBorders>
              <w:top w:val="single" w:color="E6CFCF" w:sz="4"/>
              <w:left w:val="single" w:color="E6CFCF" w:sz="4"/>
              <w:bottom w:val="single" w:color="E6CFCF" w:sz="4"/>
              <w:right w:val="single" w:color="E6CFCF" w:sz="4"/>
            </w:tcBorders>
            <w:shd w:fill="FBEBEB" w:color="auto" w:val="clear"/>
            <w:tcMar>
              <w:top w:type="dxa" w:w="60"/>
              <w:left w:type="dxa" w:w="80"/>
              <w:bottom w:type="dxa" w:w="60"/>
              <w:right w:type="dxa" w:w="80"/>
            </w:tcMar>
          </w:tcPr>
          <w:p>
            <w:pPr>
              <w:spacing w:after="0"/>
            </w:pPr>
            <w:r>
              <w:rPr>
                <w:b/>
                <w:bCs/>
                <w:color w:val="D85C5C"/>
                <w:sz w:val="18"/>
                <w:szCs w:val="18"/>
              </w:rPr>
              <w:t xml:space="preserve">Échéance</w:t>
            </w:r>
          </w:p>
        </w:tc>
      </w:tr>
      <w:tr>
        <w:trPr>
          <w:cantSplit/>
        </w:trPr>
        <w:tc>
          <w:tcPr>
            <w:tcW w:type="dxa" w:w="5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O1</w:t>
            </w:r>
          </w:p>
        </w:tc>
        <w:tc>
          <w:tcPr>
            <w:tcW w:type="dxa" w:w="23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Prouver l'usage sur le terrain</w:t>
            </w:r>
          </w:p>
        </w:tc>
        <w:tc>
          <w:tcPr>
            <w:tcW w:type="dxa" w:w="2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Les agents utilisent le dossier DHIS2 configuré et le carnet à QR code dans leur travail quotidien.</w:t>
            </w:r>
          </w:p>
        </w:tc>
        <w:tc>
          <w:tcPr>
            <w:tcW w:type="dxa" w:w="25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Au moins 70 % des agents formés actifs chaque semaine (proposé)</w:t>
            </w:r>
          </w:p>
        </w:tc>
        <w:tc>
          <w:tcPr>
            <w:tcW w:type="dxa" w:w="12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Fin étape 1</w:t>
            </w:r>
          </w:p>
        </w:tc>
      </w:tr>
      <w:tr>
        <w:trPr>
          <w:cantSplit/>
        </w:trPr>
        <w:tc>
          <w:tcPr>
            <w:tcW w:type="dxa" w:w="5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O2</w:t>
            </w:r>
          </w:p>
        </w:tc>
        <w:tc>
          <w:tcPr>
            <w:tcW w:type="dxa" w:w="23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Améliorer la continuité du suivi</w:t>
            </w:r>
          </w:p>
        </w:tc>
        <w:tc>
          <w:tcPr>
            <w:tcW w:type="dxa" w:w="2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Plus de femmes atteignent la quatrième consultation prénatale et accouchent en structure.</w:t>
            </w:r>
          </w:p>
        </w:tc>
        <w:tc>
          <w:tcPr>
            <w:tcW w:type="dxa" w:w="25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Hausse du taux de CPN 4 par rapport à la mesure de départ des sites. Cible nationale de 80 % en 2029.</w:t>
            </w:r>
          </w:p>
        </w:tc>
        <w:tc>
          <w:tcPr>
            <w:tcW w:type="dxa" w:w="12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Fin étape 2 et étape 3</w:t>
            </w:r>
          </w:p>
        </w:tc>
      </w:tr>
      <w:tr>
        <w:trPr>
          <w:cantSplit/>
        </w:trPr>
        <w:tc>
          <w:tcPr>
            <w:tcW w:type="dxa" w:w="5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O3</w:t>
            </w:r>
          </w:p>
        </w:tc>
        <w:tc>
          <w:tcPr>
            <w:tcW w:type="dxa" w:w="23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Alléger le travail administratif</w:t>
            </w:r>
          </w:p>
        </w:tc>
        <w:tc>
          <w:tcPr>
            <w:tcW w:type="dxa" w:w="2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Le rapport mensuel est préparé automatiquement à partir des consultations saisies.</w:t>
            </w:r>
          </w:p>
        </w:tc>
        <w:tc>
          <w:tcPr>
            <w:tcW w:type="dxa" w:w="25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Temps de préparation réduit (à mesurer à l'étape 0). Chiffres du rapport égaux à un recomptage manuel.</w:t>
            </w:r>
          </w:p>
        </w:tc>
        <w:tc>
          <w:tcPr>
            <w:tcW w:type="dxa" w:w="12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Fin étape 2</w:t>
            </w:r>
          </w:p>
        </w:tc>
      </w:tr>
      <w:tr>
        <w:trPr>
          <w:cantSplit/>
        </w:trPr>
        <w:tc>
          <w:tcPr>
            <w:tcW w:type="dxa" w:w="5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O4</w:t>
            </w:r>
          </w:p>
        </w:tc>
        <w:tc>
          <w:tcPr>
            <w:tcW w:type="dxa" w:w="23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Garantir la qualité des données</w:t>
            </w:r>
          </w:p>
        </w:tc>
        <w:tc>
          <w:tcPr>
            <w:tcW w:type="dxa" w:w="2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Dossiers complets, peu de doublons, saisies à jour.</w:t>
            </w:r>
          </w:p>
        </w:tc>
        <w:tc>
          <w:tcPr>
            <w:tcW w:type="dxa" w:w="25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Doublons inférieurs à 2 % et champs obligatoires complétés à plus de 95 % (proposé)</w:t>
            </w:r>
          </w:p>
        </w:tc>
        <w:tc>
          <w:tcPr>
            <w:tcW w:type="dxa" w:w="12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Fin étape 2</w:t>
            </w:r>
          </w:p>
        </w:tc>
      </w:tr>
      <w:tr>
        <w:trPr>
          <w:cantSplit/>
        </w:trPr>
        <w:tc>
          <w:tcPr>
            <w:tcW w:type="dxa" w:w="5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O5</w:t>
            </w:r>
          </w:p>
        </w:tc>
        <w:tc>
          <w:tcPr>
            <w:tcW w:type="dxa" w:w="23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Établir la viabilité économique</w:t>
            </w:r>
          </w:p>
        </w:tc>
        <w:tc>
          <w:tcPr>
            <w:tcW w:type="dxa" w:w="2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Premiers revenus récurrents et coût par femme suivie connu.</w:t>
            </w:r>
          </w:p>
        </w:tc>
        <w:tc>
          <w:tcPr>
            <w:tcW w:type="dxa" w:w="25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Premiers abonnements privés signés. Un financement de programme signé ou en négociation avancée.</w:t>
            </w:r>
          </w:p>
        </w:tc>
        <w:tc>
          <w:tcPr>
            <w:tcW w:type="dxa" w:w="12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Fin étape 3</w:t>
            </w:r>
          </w:p>
        </w:tc>
      </w:tr>
      <w:tr>
        <w:trPr>
          <w:cantSplit/>
        </w:trPr>
        <w:tc>
          <w:tcPr>
            <w:tcW w:type="dxa" w:w="5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O6</w:t>
            </w:r>
          </w:p>
        </w:tc>
        <w:tc>
          <w:tcPr>
            <w:tcW w:type="dxa" w:w="23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Garantir la conformité</w:t>
            </w:r>
          </w:p>
        </w:tc>
        <w:tc>
          <w:tcPr>
            <w:tcW w:type="dxa" w:w="2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Consentement systématique, formalités accomplies, revue juridique faite.</w:t>
            </w:r>
          </w:p>
        </w:tc>
        <w:tc>
          <w:tcPr>
            <w:tcW w:type="dxa" w:w="25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100 % des dossiers avec consentement enregistré. Formalités déposées avant le premier pilote.</w:t>
            </w:r>
          </w:p>
        </w:tc>
        <w:tc>
          <w:tcPr>
            <w:tcW w:type="dxa" w:w="12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Avant étape 1</w:t>
            </w:r>
          </w:p>
        </w:tc>
      </w:tr>
      <w:tr>
        <w:trPr>
          <w:cantSplit/>
        </w:trPr>
        <w:tc>
          <w:tcPr>
            <w:tcW w:type="dxa" w:w="5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O7</w:t>
            </w:r>
          </w:p>
        </w:tc>
        <w:tc>
          <w:tcPr>
            <w:tcW w:type="dxa" w:w="23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Construire un socle IA sûr</w:t>
            </w:r>
          </w:p>
        </w:tc>
        <w:tc>
          <w:tcPr>
            <w:tcW w:type="dxa" w:w="2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Bibliothèque de messages validés, règles de sécurité, helpdesk humain, jeu de test.</w:t>
            </w:r>
          </w:p>
        </w:tc>
        <w:tc>
          <w:tcPr>
            <w:tcW w:type="dxa" w:w="25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Aucun cas de danger classé rassurant sur le jeu de test. Délai de réponse du helpdesk respecté.</w:t>
            </w:r>
          </w:p>
        </w:tc>
        <w:tc>
          <w:tcPr>
            <w:tcW w:type="dxa" w:w="12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Fin étape 2 (IA-1), étape 3 (IA-2)</w:t>
            </w:r>
          </w:p>
        </w:tc>
      </w:tr>
      <w:tr>
        <w:trPr>
          <w:cantSplit/>
        </w:trPr>
        <w:tc>
          <w:tcPr>
            <w:tcW w:type="dxa" w:w="5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O8</w:t>
            </w:r>
          </w:p>
        </w:tc>
        <w:tc>
          <w:tcPr>
            <w:tcW w:type="dxa" w:w="23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Préparer les services de données</w:t>
            </w:r>
          </w:p>
        </w:tc>
        <w:tc>
          <w:tcPr>
            <w:tcW w:type="dxa" w:w="2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Tableaux agrégés utilisés par un district ou un programme.</w:t>
            </w:r>
          </w:p>
        </w:tc>
        <w:tc>
          <w:tcPr>
            <w:tcW w:type="dxa" w:w="25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Au moins un district ou programme utilise un tableau mensuel</w:t>
            </w:r>
          </w:p>
        </w:tc>
        <w:tc>
          <w:tcPr>
            <w:tcW w:type="dxa" w:w="12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Fin étape 3</w:t>
            </w:r>
          </w:p>
        </w:tc>
      </w:tr>
    </w:tbl>
    <w:p>
      <w:pPr>
        <w:spacing w:after="130"/>
      </w:pPr>
    </w:p>
    <w:p>
      <w:pPr>
        <w:pStyle w:val="Heading1"/>
        <w:keepNext/>
      </w:pPr>
      <w:r>
        <w:t xml:space="preserve">3. Utilisateurs et périmètre</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2100"/>
        <w:gridCol w:w="2500"/>
        <w:gridCol w:w="2600"/>
        <w:gridCol w:w="2206"/>
      </w:tblGrid>
      <w:tr>
        <w:trPr>
          <w:cantSplit/>
          <w:tblHeader/>
        </w:trPr>
        <w:tc>
          <w:tcPr>
            <w:tcW w:type="dxa" w:w="2100"/>
            <w:tcBorders>
              <w:top w:val="single" w:color="E6CFCF" w:sz="4"/>
              <w:left w:val="single" w:color="E6CFCF" w:sz="4"/>
              <w:bottom w:val="single" w:color="E6CFCF" w:sz="4"/>
              <w:right w:val="single" w:color="E6CFCF" w:sz="4"/>
            </w:tcBorders>
            <w:shd w:fill="FBEBEB" w:color="auto" w:val="clear"/>
            <w:tcMar>
              <w:top w:type="dxa" w:w="60"/>
              <w:left w:type="dxa" w:w="80"/>
              <w:bottom w:type="dxa" w:w="60"/>
              <w:right w:type="dxa" w:w="80"/>
            </w:tcMar>
          </w:tcPr>
          <w:p>
            <w:pPr>
              <w:spacing w:after="0"/>
            </w:pPr>
            <w:r>
              <w:rPr>
                <w:b/>
                <w:bCs/>
                <w:color w:val="D85C5C"/>
                <w:sz w:val="18"/>
                <w:szCs w:val="18"/>
              </w:rPr>
              <w:t xml:space="preserve">Acteur</w:t>
            </w:r>
          </w:p>
        </w:tc>
        <w:tc>
          <w:tcPr>
            <w:tcW w:type="dxa" w:w="2500"/>
            <w:tcBorders>
              <w:top w:val="single" w:color="E6CFCF" w:sz="4"/>
              <w:left w:val="single" w:color="E6CFCF" w:sz="4"/>
              <w:bottom w:val="single" w:color="E6CFCF" w:sz="4"/>
              <w:right w:val="single" w:color="E6CFCF" w:sz="4"/>
            </w:tcBorders>
            <w:shd w:fill="FBEBEB" w:color="auto" w:val="clear"/>
            <w:tcMar>
              <w:top w:type="dxa" w:w="60"/>
              <w:left w:type="dxa" w:w="80"/>
              <w:bottom w:type="dxa" w:w="60"/>
              <w:right w:type="dxa" w:w="80"/>
            </w:tcMar>
          </w:tcPr>
          <w:p>
            <w:pPr>
              <w:spacing w:after="0"/>
            </w:pPr>
            <w:r>
              <w:rPr>
                <w:b/>
                <w:bCs/>
                <w:color w:val="D85C5C"/>
                <w:sz w:val="18"/>
                <w:szCs w:val="18"/>
              </w:rPr>
              <w:t xml:space="preserve">Besoin</w:t>
            </w:r>
          </w:p>
        </w:tc>
        <w:tc>
          <w:tcPr>
            <w:tcW w:type="dxa" w:w="2600"/>
            <w:tcBorders>
              <w:top w:val="single" w:color="E6CFCF" w:sz="4"/>
              <w:left w:val="single" w:color="E6CFCF" w:sz="4"/>
              <w:bottom w:val="single" w:color="E6CFCF" w:sz="4"/>
              <w:right w:val="single" w:color="E6CFCF" w:sz="4"/>
            </w:tcBorders>
            <w:shd w:fill="FBEBEB" w:color="auto" w:val="clear"/>
            <w:tcMar>
              <w:top w:type="dxa" w:w="60"/>
              <w:left w:type="dxa" w:w="80"/>
              <w:bottom w:type="dxa" w:w="60"/>
              <w:right w:type="dxa" w:w="80"/>
            </w:tcMar>
          </w:tcPr>
          <w:p>
            <w:pPr>
              <w:spacing w:after="0"/>
            </w:pPr>
            <w:r>
              <w:rPr>
                <w:b/>
                <w:bCs/>
                <w:color w:val="D85C5C"/>
                <w:sz w:val="18"/>
                <w:szCs w:val="18"/>
              </w:rPr>
              <w:t xml:space="preserve">Interface</w:t>
            </w:r>
          </w:p>
        </w:tc>
        <w:tc>
          <w:tcPr>
            <w:tcW w:type="dxa" w:w="2206"/>
            <w:tcBorders>
              <w:top w:val="single" w:color="E6CFCF" w:sz="4"/>
              <w:left w:val="single" w:color="E6CFCF" w:sz="4"/>
              <w:bottom w:val="single" w:color="E6CFCF" w:sz="4"/>
              <w:right w:val="single" w:color="E6CFCF" w:sz="4"/>
            </w:tcBorders>
            <w:shd w:fill="FBEBEB" w:color="auto" w:val="clear"/>
            <w:tcMar>
              <w:top w:type="dxa" w:w="60"/>
              <w:left w:type="dxa" w:w="80"/>
              <w:bottom w:type="dxa" w:w="60"/>
              <w:right w:type="dxa" w:w="80"/>
            </w:tcMar>
          </w:tcPr>
          <w:p>
            <w:pPr>
              <w:spacing w:after="0"/>
            </w:pPr>
            <w:r>
              <w:rPr>
                <w:b/>
                <w:bCs/>
                <w:color w:val="D85C5C"/>
                <w:sz w:val="18"/>
                <w:szCs w:val="18"/>
              </w:rPr>
              <w:t xml:space="preserve">Droits</w:t>
            </w:r>
          </w:p>
        </w:tc>
      </w:tr>
      <w:tr>
        <w:trPr>
          <w:cantSplit/>
        </w:trPr>
        <w:tc>
          <w:tcPr>
            <w:tcW w:type="dxa" w:w="21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Femme enceinte ou jeune mère</w:t>
            </w:r>
          </w:p>
        </w:tc>
        <w:tc>
          <w:tcPr>
            <w:tcW w:type="dxa" w:w="25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Carnet, rappels, réponses à ses questions</w:t>
            </w:r>
          </w:p>
        </w:tc>
        <w:tc>
          <w:tcPr>
            <w:tcW w:type="dxa" w:w="26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Carnet papier, SMS, voix, Messenger ou application en option</w:t>
            </w:r>
          </w:p>
        </w:tc>
        <w:tc>
          <w:tcPr>
            <w:tcW w:type="dxa" w:w="22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Ses propres données seulement</w:t>
            </w:r>
          </w:p>
        </w:tc>
      </w:tr>
      <w:tr>
        <w:trPr>
          <w:cantSplit/>
        </w:trPr>
        <w:tc>
          <w:tcPr>
            <w:tcW w:type="dxa" w:w="21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Agent de CSB ou sage-femme (public ou privé)</w:t>
            </w:r>
          </w:p>
        </w:tc>
        <w:tc>
          <w:tcPr>
            <w:tcW w:type="dxa" w:w="25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Inscrire, consulter, orienter</w:t>
            </w:r>
          </w:p>
        </w:tc>
        <w:tc>
          <w:tcPr>
            <w:tcW w:type="dxa" w:w="26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DHIS2 Android Capture, hors ligne</w:t>
            </w:r>
          </w:p>
        </w:tc>
        <w:tc>
          <w:tcPr>
            <w:tcW w:type="dxa" w:w="22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Dossiers de sa ou ses structures</w:t>
            </w:r>
          </w:p>
        </w:tc>
      </w:tr>
      <w:tr>
        <w:trPr>
          <w:cantSplit/>
        </w:trPr>
        <w:tc>
          <w:tcPr>
            <w:tcW w:type="dxa" w:w="21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Responsable de CSB ou médecin chef</w:t>
            </w:r>
          </w:p>
        </w:tc>
        <w:tc>
          <w:tcPr>
            <w:tcW w:type="dxa" w:w="25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Supervision, rapport mensuel</w:t>
            </w:r>
          </w:p>
        </w:tc>
        <w:tc>
          <w:tcPr>
            <w:tcW w:type="dxa" w:w="26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Capture Android et tableaux de bord web</w:t>
            </w:r>
          </w:p>
        </w:tc>
        <w:tc>
          <w:tcPr>
            <w:tcW w:type="dxa" w:w="22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Dossiers de la structure et agrégats</w:t>
            </w:r>
          </w:p>
        </w:tc>
      </w:tr>
      <w:tr>
        <w:trPr>
          <w:cantSplit/>
        </w:trPr>
        <w:tc>
          <w:tcPr>
            <w:tcW w:type="dxa" w:w="21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District ou programme</w:t>
            </w:r>
          </w:p>
        </w:tc>
        <w:tc>
          <w:tcPr>
            <w:tcW w:type="dxa" w:w="25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Indicateurs, listes de suivi</w:t>
            </w:r>
          </w:p>
        </w:tc>
        <w:tc>
          <w:tcPr>
            <w:tcW w:type="dxa" w:w="26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Tableaux de bord DHIS2, listes de travail</w:t>
            </w:r>
          </w:p>
        </w:tc>
        <w:tc>
          <w:tcPr>
            <w:tcW w:type="dxa" w:w="22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Agrégats. Listes selon convention</w:t>
            </w:r>
          </w:p>
        </w:tc>
      </w:tr>
      <w:tr>
        <w:trPr>
          <w:cantSplit/>
        </w:trPr>
        <w:tc>
          <w:tcPr>
            <w:tcW w:type="dxa" w:w="21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Relais communautaire</w:t>
            </w:r>
          </w:p>
        </w:tc>
        <w:tc>
          <w:tcPr>
            <w:tcW w:type="dxa" w:w="25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Accompagner et rappeler de vive voix</w:t>
            </w:r>
          </w:p>
        </w:tc>
        <w:tc>
          <w:tcPr>
            <w:tcW w:type="dxa" w:w="26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Carnet, éventuellement Android</w:t>
            </w:r>
          </w:p>
        </w:tc>
        <w:tc>
          <w:tcPr>
            <w:tcW w:type="dxa" w:w="22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Liste limitée de femmes, avec consentement</w:t>
            </w:r>
          </w:p>
        </w:tc>
      </w:tr>
      <w:tr>
        <w:trPr>
          <w:cantSplit/>
        </w:trPr>
        <w:tc>
          <w:tcPr>
            <w:tcW w:type="dxa" w:w="21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Helpdesk (sage-femme)</w:t>
            </w:r>
          </w:p>
        </w:tc>
        <w:tc>
          <w:tcPr>
            <w:tcW w:type="dxa" w:w="25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Répondre aux messages escaladés</w:t>
            </w:r>
          </w:p>
        </w:tc>
        <w:tc>
          <w:tcPr>
            <w:tcW w:type="dxa" w:w="26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Application web dédiée</w:t>
            </w:r>
          </w:p>
        </w:tc>
        <w:tc>
          <w:tcPr>
            <w:tcW w:type="dxa" w:w="22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Messages pseudonymisés et identifiant</w:t>
            </w:r>
          </w:p>
        </w:tc>
      </w:tr>
      <w:tr>
        <w:trPr>
          <w:cantSplit/>
        </w:trPr>
        <w:tc>
          <w:tcPr>
            <w:tcW w:type="dxa" w:w="21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Administrateur Maternal AI</w:t>
            </w:r>
          </w:p>
        </w:tc>
        <w:tc>
          <w:tcPr>
            <w:tcW w:type="dxa" w:w="25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Configuration, comptes, support</w:t>
            </w:r>
          </w:p>
        </w:tc>
        <w:tc>
          <w:tcPr>
            <w:tcW w:type="dxa" w:w="26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Administration DHIS2 et supervision</w:t>
            </w:r>
          </w:p>
        </w:tc>
        <w:tc>
          <w:tcPr>
            <w:tcW w:type="dxa" w:w="22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Pas d'accès aux dossiers sans motif, avec traçabilité</w:t>
            </w:r>
          </w:p>
        </w:tc>
      </w:tr>
    </w:tbl>
    <w:p>
      <w:pPr>
        <w:spacing w:after="130"/>
      </w:pPr>
    </w:p>
    <w:p>
      <w:pPr>
        <w:spacing w:after="130" w:line="288"/>
      </w:pPr>
      <w:r>
        <w:t xml:space="preserve">Hors périmètre de la version 1.0 : diagnostic automatique, prescription, gestion hospitalière complète (facturation, pharmacie hospitalière), remplacement du système d'information sanitaire national, vente de données individuelles.</w:t>
      </w:r>
    </w:p>
    <w:p>
      <w:pPr>
        <w:pStyle w:val="Heading1"/>
        <w:keepNext/>
      </w:pPr>
      <w:r>
        <w:t xml:space="preserve">4. Spécifications fonctionnelles du MVP</w:t>
      </w:r>
    </w:p>
    <w:p>
      <w:pPr>
        <w:spacing w:after="130" w:line="288"/>
      </w:pPr>
      <w:r>
        <w:t xml:space="preserve">Chaque fonction est réalisée d'abord par configuration DHIS2. Le contenu clinique (champs, seuils, calendrier) est défini par les experts médicaux : les développeurs n'inventent aucun champ clinique.</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560"/>
        <w:gridCol w:w="1900"/>
        <w:gridCol w:w="2900"/>
        <w:gridCol w:w="3146"/>
        <w:gridCol w:w="900"/>
      </w:tblGrid>
      <w:tr>
        <w:trPr>
          <w:cantSplit/>
          <w:tblHeader/>
        </w:trPr>
        <w:tc>
          <w:tcPr>
            <w:tcW w:type="dxa" w:w="560"/>
            <w:tcBorders>
              <w:top w:val="single" w:color="E6CFCF" w:sz="4"/>
              <w:left w:val="single" w:color="E6CFCF" w:sz="4"/>
              <w:bottom w:val="single" w:color="E6CFCF" w:sz="4"/>
              <w:right w:val="single" w:color="E6CFCF" w:sz="4"/>
            </w:tcBorders>
            <w:shd w:fill="FBEBEB" w:color="auto" w:val="clear"/>
            <w:tcMar>
              <w:top w:type="dxa" w:w="60"/>
              <w:left w:type="dxa" w:w="80"/>
              <w:bottom w:type="dxa" w:w="60"/>
              <w:right w:type="dxa" w:w="80"/>
            </w:tcMar>
          </w:tcPr>
          <w:p>
            <w:pPr>
              <w:spacing w:after="0"/>
            </w:pPr>
            <w:r>
              <w:rPr>
                <w:b/>
                <w:bCs/>
                <w:color w:val="D85C5C"/>
                <w:sz w:val="18"/>
                <w:szCs w:val="18"/>
              </w:rPr>
              <w:t xml:space="preserve">ID</w:t>
            </w:r>
          </w:p>
        </w:tc>
        <w:tc>
          <w:tcPr>
            <w:tcW w:type="dxa" w:w="1900"/>
            <w:tcBorders>
              <w:top w:val="single" w:color="E6CFCF" w:sz="4"/>
              <w:left w:val="single" w:color="E6CFCF" w:sz="4"/>
              <w:bottom w:val="single" w:color="E6CFCF" w:sz="4"/>
              <w:right w:val="single" w:color="E6CFCF" w:sz="4"/>
            </w:tcBorders>
            <w:shd w:fill="FBEBEB" w:color="auto" w:val="clear"/>
            <w:tcMar>
              <w:top w:type="dxa" w:w="60"/>
              <w:left w:type="dxa" w:w="80"/>
              <w:bottom w:type="dxa" w:w="60"/>
              <w:right w:type="dxa" w:w="80"/>
            </w:tcMar>
          </w:tcPr>
          <w:p>
            <w:pPr>
              <w:spacing w:after="0"/>
            </w:pPr>
            <w:r>
              <w:rPr>
                <w:b/>
                <w:bCs/>
                <w:color w:val="D85C5C"/>
                <w:sz w:val="18"/>
                <w:szCs w:val="18"/>
              </w:rPr>
              <w:t xml:space="preserve">Fonction</w:t>
            </w:r>
          </w:p>
        </w:tc>
        <w:tc>
          <w:tcPr>
            <w:tcW w:type="dxa" w:w="2900"/>
            <w:tcBorders>
              <w:top w:val="single" w:color="E6CFCF" w:sz="4"/>
              <w:left w:val="single" w:color="E6CFCF" w:sz="4"/>
              <w:bottom w:val="single" w:color="E6CFCF" w:sz="4"/>
              <w:right w:val="single" w:color="E6CFCF" w:sz="4"/>
            </w:tcBorders>
            <w:shd w:fill="FBEBEB" w:color="auto" w:val="clear"/>
            <w:tcMar>
              <w:top w:type="dxa" w:w="60"/>
              <w:left w:type="dxa" w:w="80"/>
              <w:bottom w:type="dxa" w:w="60"/>
              <w:right w:type="dxa" w:w="80"/>
            </w:tcMar>
          </w:tcPr>
          <w:p>
            <w:pPr>
              <w:spacing w:after="0"/>
            </w:pPr>
            <w:r>
              <w:rPr>
                <w:b/>
                <w:bCs/>
                <w:color w:val="D85C5C"/>
                <w:sz w:val="18"/>
                <w:szCs w:val="18"/>
              </w:rPr>
              <w:t xml:space="preserve">Réalisation</w:t>
            </w:r>
          </w:p>
        </w:tc>
        <w:tc>
          <w:tcPr>
            <w:tcW w:type="dxa" w:w="3146"/>
            <w:tcBorders>
              <w:top w:val="single" w:color="E6CFCF" w:sz="4"/>
              <w:left w:val="single" w:color="E6CFCF" w:sz="4"/>
              <w:bottom w:val="single" w:color="E6CFCF" w:sz="4"/>
              <w:right w:val="single" w:color="E6CFCF" w:sz="4"/>
            </w:tcBorders>
            <w:shd w:fill="FBEBEB" w:color="auto" w:val="clear"/>
            <w:tcMar>
              <w:top w:type="dxa" w:w="60"/>
              <w:left w:type="dxa" w:w="80"/>
              <w:bottom w:type="dxa" w:w="60"/>
              <w:right w:type="dxa" w:w="80"/>
            </w:tcMar>
          </w:tcPr>
          <w:p>
            <w:pPr>
              <w:spacing w:after="0"/>
            </w:pPr>
            <w:r>
              <w:rPr>
                <w:b/>
                <w:bCs/>
                <w:color w:val="D85C5C"/>
                <w:sz w:val="18"/>
                <w:szCs w:val="18"/>
              </w:rPr>
              <w:t xml:space="preserve">Critère d'acceptation</w:t>
            </w:r>
          </w:p>
        </w:tc>
        <w:tc>
          <w:tcPr>
            <w:tcW w:type="dxa" w:w="900"/>
            <w:tcBorders>
              <w:top w:val="single" w:color="E6CFCF" w:sz="4"/>
              <w:left w:val="single" w:color="E6CFCF" w:sz="4"/>
              <w:bottom w:val="single" w:color="E6CFCF" w:sz="4"/>
              <w:right w:val="single" w:color="E6CFCF" w:sz="4"/>
            </w:tcBorders>
            <w:shd w:fill="FBEBEB" w:color="auto" w:val="clear"/>
            <w:tcMar>
              <w:top w:type="dxa" w:w="60"/>
              <w:left w:type="dxa" w:w="80"/>
              <w:bottom w:type="dxa" w:w="60"/>
              <w:right w:type="dxa" w:w="80"/>
            </w:tcMar>
          </w:tcPr>
          <w:p>
            <w:pPr>
              <w:spacing w:after="0"/>
            </w:pPr>
            <w:r>
              <w:rPr>
                <w:b/>
                <w:bCs/>
                <w:color w:val="D85C5C"/>
                <w:sz w:val="18"/>
                <w:szCs w:val="18"/>
              </w:rPr>
              <w:t xml:space="preserve">Priorité</w:t>
            </w:r>
          </w:p>
        </w:tc>
      </w:tr>
      <w:tr>
        <w:trPr>
          <w:cantSplit/>
        </w:trPr>
        <w:tc>
          <w:tcPr>
            <w:tcW w:type="dxa" w:w="56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F01</w:t>
            </w:r>
          </w:p>
        </w:tc>
        <w:tc>
          <w:tcPr>
            <w:tcW w:type="dxa" w:w="1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Comptes et rôles</w:t>
            </w:r>
          </w:p>
        </w:tc>
        <w:tc>
          <w:tcPr>
            <w:tcW w:type="dxa" w:w="2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Utilisateurs, rôles et unités d'organisation DHIS2. 2FA pour les administrateurs.</w:t>
            </w:r>
          </w:p>
        </w:tc>
        <w:tc>
          <w:tcPr>
            <w:tcW w:type="dxa" w:w="314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Un agent ne voit que sa structure. Test avec trois rôles.</w:t>
            </w:r>
          </w:p>
        </w:tc>
        <w:tc>
          <w:tcPr>
            <w:tcW w:type="dxa" w:w="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P0</w:t>
            </w:r>
          </w:p>
        </w:tc>
      </w:tr>
      <w:tr>
        <w:trPr>
          <w:cantSplit/>
        </w:trPr>
        <w:tc>
          <w:tcPr>
            <w:tcW w:type="dxa" w:w="56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F02</w:t>
            </w:r>
          </w:p>
        </w:tc>
        <w:tc>
          <w:tcPr>
            <w:tcW w:type="dxa" w:w="1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Identifiant carnet et QR</w:t>
            </w:r>
          </w:p>
        </w:tc>
        <w:tc>
          <w:tcPr>
            <w:tcW w:type="dxa" w:w="2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Attribut unique et recherchable rendu en QR. Le carnet est imprimé avec un identifiant déjà attribué, lié au dossier par scan à l'inscription.</w:t>
            </w:r>
          </w:p>
        </w:tc>
        <w:tc>
          <w:tcPr>
            <w:tcW w:type="dxa" w:w="314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Le scan ouvre le bon dossier. Aucun doublon d'identifiant.</w:t>
            </w:r>
          </w:p>
        </w:tc>
        <w:tc>
          <w:tcPr>
            <w:tcW w:type="dxa" w:w="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P0</w:t>
            </w:r>
          </w:p>
        </w:tc>
      </w:tr>
      <w:tr>
        <w:trPr>
          <w:cantSplit/>
        </w:trPr>
        <w:tc>
          <w:tcPr>
            <w:tcW w:type="dxa" w:w="56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F03</w:t>
            </w:r>
          </w:p>
        </w:tc>
        <w:tc>
          <w:tcPr>
            <w:tcW w:type="dxa" w:w="1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Inscription et recherche</w:t>
            </w:r>
          </w:p>
        </w:tc>
        <w:tc>
          <w:tcPr>
            <w:tcW w:type="dxa" w:w="2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Programme Tracker de suivi de grossesse. Recherche hors ligne d'abord, puis en ligne.</w:t>
            </w:r>
          </w:p>
        </w:tc>
        <w:tc>
          <w:tcPr>
            <w:tcW w:type="dxa" w:w="314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Dossier retrouvé ou créé en moins d'une minute en test utilisateur.</w:t>
            </w:r>
          </w:p>
        </w:tc>
        <w:tc>
          <w:tcPr>
            <w:tcW w:type="dxa" w:w="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P0</w:t>
            </w:r>
          </w:p>
        </w:tc>
      </w:tr>
      <w:tr>
        <w:trPr>
          <w:cantSplit/>
        </w:trPr>
        <w:tc>
          <w:tcPr>
            <w:tcW w:type="dxa" w:w="56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F04</w:t>
            </w:r>
          </w:p>
        </w:tc>
        <w:tc>
          <w:tcPr>
            <w:tcW w:type="dxa" w:w="1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Consentement</w:t>
            </w:r>
          </w:p>
        </w:tc>
        <w:tc>
          <w:tcPr>
            <w:tcW w:type="dxa" w:w="2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Attribut obligatoire (consentement, date, mode) et règle de programme qui bloque l'inscription sans consentement.</w:t>
            </w:r>
          </w:p>
        </w:tc>
        <w:tc>
          <w:tcPr>
            <w:tcW w:type="dxa" w:w="314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Impossible d'inscrire une femme sans consentement enregistré.</w:t>
            </w:r>
          </w:p>
        </w:tc>
        <w:tc>
          <w:tcPr>
            <w:tcW w:type="dxa" w:w="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P0</w:t>
            </w:r>
          </w:p>
        </w:tc>
      </w:tr>
      <w:tr>
        <w:trPr>
          <w:cantSplit/>
        </w:trPr>
        <w:tc>
          <w:tcPr>
            <w:tcW w:type="dxa" w:w="56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F05</w:t>
            </w:r>
          </w:p>
        </w:tc>
        <w:tc>
          <w:tcPr>
            <w:tcW w:type="dxa" w:w="1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Consultation prénatale</w:t>
            </w:r>
          </w:p>
        </w:tc>
        <w:tc>
          <w:tcPr>
            <w:tcW w:type="dxa" w:w="2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Étape répétable avec sections, règles de validation et alertes.</w:t>
            </w:r>
          </w:p>
        </w:tc>
        <w:tc>
          <w:tcPr>
            <w:tcW w:type="dxa" w:w="314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Formulaire rempli sans aide lors du test utilisateur.</w:t>
            </w:r>
          </w:p>
        </w:tc>
        <w:tc>
          <w:tcPr>
            <w:tcW w:type="dxa" w:w="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P0</w:t>
            </w:r>
          </w:p>
        </w:tc>
      </w:tr>
      <w:tr>
        <w:trPr>
          <w:cantSplit/>
        </w:trPr>
        <w:tc>
          <w:tcPr>
            <w:tcW w:type="dxa" w:w="56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F06</w:t>
            </w:r>
          </w:p>
        </w:tc>
        <w:tc>
          <w:tcPr>
            <w:tcW w:type="dxa" w:w="1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Semaines de grossesse et date prévue</w:t>
            </w:r>
          </w:p>
        </w:tc>
        <w:tc>
          <w:tcPr>
            <w:tcW w:type="dxa" w:w="2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Règles et indicateurs de programme.</w:t>
            </w:r>
          </w:p>
        </w:tc>
        <w:tc>
          <w:tcPr>
            <w:tcW w:type="dxa" w:w="314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Date calculée. Alerte de CPN en retard affichée.</w:t>
            </w:r>
          </w:p>
        </w:tc>
        <w:tc>
          <w:tcPr>
            <w:tcW w:type="dxa" w:w="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P0</w:t>
            </w:r>
          </w:p>
        </w:tc>
      </w:tr>
      <w:tr>
        <w:trPr>
          <w:cantSplit/>
        </w:trPr>
        <w:tc>
          <w:tcPr>
            <w:tcW w:type="dxa" w:w="56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F07</w:t>
            </w:r>
          </w:p>
        </w:tc>
        <w:tc>
          <w:tcPr>
            <w:tcW w:type="dxa" w:w="1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Historique</w:t>
            </w:r>
          </w:p>
        </w:tc>
        <w:tc>
          <w:tcPr>
            <w:tcW w:type="dxa" w:w="2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Tableau de bord du dossier (chronologie).</w:t>
            </w:r>
          </w:p>
        </w:tc>
        <w:tc>
          <w:tcPr>
            <w:tcW w:type="dxa" w:w="314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Historique lisible sur un parcours complet.</w:t>
            </w:r>
          </w:p>
        </w:tc>
        <w:tc>
          <w:tcPr>
            <w:tcW w:type="dxa" w:w="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P0</w:t>
            </w:r>
          </w:p>
        </w:tc>
      </w:tr>
      <w:tr>
        <w:trPr>
          <w:cantSplit/>
        </w:trPr>
        <w:tc>
          <w:tcPr>
            <w:tcW w:type="dxa" w:w="56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F08</w:t>
            </w:r>
          </w:p>
        </w:tc>
        <w:tc>
          <w:tcPr>
            <w:tcW w:type="dxa" w:w="1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Hors ligne et synchronisation</w:t>
            </w:r>
          </w:p>
        </w:tc>
        <w:tc>
          <w:tcPr>
            <w:tcW w:type="dxa" w:w="2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Application Android Capture, paramètres via l'application de configuration Android.</w:t>
            </w:r>
          </w:p>
        </w:tc>
        <w:tc>
          <w:tcPr>
            <w:tcW w:type="dxa" w:w="314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Saisie sans réseau puis synchronisation réussie, y compris après interruption.</w:t>
            </w:r>
          </w:p>
        </w:tc>
        <w:tc>
          <w:tcPr>
            <w:tcW w:type="dxa" w:w="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P0</w:t>
            </w:r>
          </w:p>
        </w:tc>
      </w:tr>
      <w:tr>
        <w:trPr>
          <w:cantSplit/>
        </w:trPr>
        <w:tc>
          <w:tcPr>
            <w:tcW w:type="dxa" w:w="56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F09</w:t>
            </w:r>
          </w:p>
        </w:tc>
        <w:tc>
          <w:tcPr>
            <w:tcW w:type="dxa" w:w="1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Rappels par SMS</w:t>
            </w:r>
          </w:p>
        </w:tc>
        <w:tc>
          <w:tcPr>
            <w:tcW w:type="dxa" w:w="2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Notifications de programme et module SMS avec passerelle d'un agrégateur.</w:t>
            </w:r>
          </w:p>
        </w:tc>
        <w:tc>
          <w:tcPr>
            <w:tcW w:type="dxa" w:w="314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SMS envoyé avant chaque CPN prévue. Taux de délivrance mesuré.</w:t>
            </w:r>
          </w:p>
        </w:tc>
        <w:tc>
          <w:tcPr>
            <w:tcW w:type="dxa" w:w="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P0</w:t>
            </w:r>
          </w:p>
        </w:tc>
      </w:tr>
      <w:tr>
        <w:trPr>
          <w:cantSplit/>
        </w:trPr>
        <w:tc>
          <w:tcPr>
            <w:tcW w:type="dxa" w:w="56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F10</w:t>
            </w:r>
          </w:p>
        </w:tc>
        <w:tc>
          <w:tcPr>
            <w:tcW w:type="dxa" w:w="1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Femmes perdues de vue</w:t>
            </w:r>
          </w:p>
        </w:tc>
        <w:tc>
          <w:tcPr>
            <w:tcW w:type="dxa" w:w="2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Listes de travail et notifications.</w:t>
            </w:r>
          </w:p>
        </w:tc>
        <w:tc>
          <w:tcPr>
            <w:tcW w:type="dxa" w:w="314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Liste des femmes en retard à jour chaque semaine.</w:t>
            </w:r>
          </w:p>
        </w:tc>
        <w:tc>
          <w:tcPr>
            <w:tcW w:type="dxa" w:w="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P0</w:t>
            </w:r>
          </w:p>
        </w:tc>
      </w:tr>
      <w:tr>
        <w:trPr>
          <w:cantSplit/>
        </w:trPr>
        <w:tc>
          <w:tcPr>
            <w:tcW w:type="dxa" w:w="56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F11</w:t>
            </w:r>
          </w:p>
        </w:tc>
        <w:tc>
          <w:tcPr>
            <w:tcW w:type="dxa" w:w="1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Génération des carnets</w:t>
            </w:r>
          </w:p>
        </w:tc>
        <w:tc>
          <w:tcPr>
            <w:tcW w:type="dxa" w:w="2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Service Maternal AI : lots d'identifiants avec clé de contrôle, PDF prêts à imprimer.</w:t>
            </w:r>
          </w:p>
        </w:tc>
        <w:tc>
          <w:tcPr>
            <w:tcW w:type="dxa" w:w="314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Lot imprimable, identifiants uniques, lecture du QR testée sur téléphones bas de gamme.</w:t>
            </w:r>
          </w:p>
        </w:tc>
        <w:tc>
          <w:tcPr>
            <w:tcW w:type="dxa" w:w="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P0</w:t>
            </w:r>
          </w:p>
        </w:tc>
      </w:tr>
      <w:tr>
        <w:trPr>
          <w:cantSplit/>
        </w:trPr>
        <w:tc>
          <w:tcPr>
            <w:tcW w:type="dxa" w:w="56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F12</w:t>
            </w:r>
          </w:p>
        </w:tc>
        <w:tc>
          <w:tcPr>
            <w:tcW w:type="dxa" w:w="1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Sécurité, journal, sauvegardes</w:t>
            </w:r>
          </w:p>
        </w:tc>
        <w:tc>
          <w:tcPr>
            <w:tcW w:type="dxa" w:w="2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Chiffrement, journal d'audit, sauvegardes hors site.</w:t>
            </w:r>
          </w:p>
        </w:tc>
        <w:tc>
          <w:tcPr>
            <w:tcW w:type="dxa" w:w="314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Restauration testée avec succès.</w:t>
            </w:r>
          </w:p>
        </w:tc>
        <w:tc>
          <w:tcPr>
            <w:tcW w:type="dxa" w:w="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P0</w:t>
            </w:r>
          </w:p>
        </w:tc>
      </w:tr>
      <w:tr>
        <w:trPr>
          <w:cantSplit/>
        </w:trPr>
        <w:tc>
          <w:tcPr>
            <w:tcW w:type="dxa" w:w="56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F13</w:t>
            </w:r>
          </w:p>
        </w:tc>
        <w:tc>
          <w:tcPr>
            <w:tcW w:type="dxa" w:w="1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Orientation et contre-référence</w:t>
            </w:r>
          </w:p>
        </w:tc>
        <w:tc>
          <w:tcPr>
            <w:tcW w:type="dxa" w:w="2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Étape dédiée et suivi du statut.</w:t>
            </w:r>
          </w:p>
        </w:tc>
        <w:tc>
          <w:tcPr>
            <w:tcW w:type="dxa" w:w="314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Orientation créée et visible dans l'historique.</w:t>
            </w:r>
          </w:p>
        </w:tc>
        <w:tc>
          <w:tcPr>
            <w:tcW w:type="dxa" w:w="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P1</w:t>
            </w:r>
          </w:p>
        </w:tc>
      </w:tr>
      <w:tr>
        <w:trPr>
          <w:cantSplit/>
        </w:trPr>
        <w:tc>
          <w:tcPr>
            <w:tcW w:type="dxa" w:w="56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F14</w:t>
            </w:r>
          </w:p>
        </w:tc>
        <w:tc>
          <w:tcPr>
            <w:tcW w:type="dxa" w:w="1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Accouchement, post-partum, nouveau-né</w:t>
            </w:r>
          </w:p>
        </w:tc>
        <w:tc>
          <w:tcPr>
            <w:tcW w:type="dxa" w:w="2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Étapes supplémentaires du programme.</w:t>
            </w:r>
          </w:p>
        </w:tc>
        <w:tc>
          <w:tcPr>
            <w:tcW w:type="dxa" w:w="314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Données enregistrées et indicateurs cohérents.</w:t>
            </w:r>
          </w:p>
        </w:tc>
        <w:tc>
          <w:tcPr>
            <w:tcW w:type="dxa" w:w="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P1</w:t>
            </w:r>
          </w:p>
        </w:tc>
      </w:tr>
      <w:tr>
        <w:trPr>
          <w:cantSplit/>
        </w:trPr>
        <w:tc>
          <w:tcPr>
            <w:tcW w:type="dxa" w:w="56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F15</w:t>
            </w:r>
          </w:p>
        </w:tc>
        <w:tc>
          <w:tcPr>
            <w:tcW w:type="dxa" w:w="1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Rapport mensuel automatique</w:t>
            </w:r>
          </w:p>
        </w:tc>
        <w:tc>
          <w:tcPr>
            <w:tcW w:type="dxa" w:w="2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Indicateurs de programme, export ou échange agrégé vers l'instance nationale.</w:t>
            </w:r>
          </w:p>
        </w:tc>
        <w:tc>
          <w:tcPr>
            <w:tcW w:type="dxa" w:w="314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Chiffres égaux à un recomptage manuel sur un mois.</w:t>
            </w:r>
          </w:p>
        </w:tc>
        <w:tc>
          <w:tcPr>
            <w:tcW w:type="dxa" w:w="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P1</w:t>
            </w:r>
          </w:p>
        </w:tc>
      </w:tr>
      <w:tr>
        <w:trPr>
          <w:cantSplit/>
        </w:trPr>
        <w:tc>
          <w:tcPr>
            <w:tcW w:type="dxa" w:w="56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F16</w:t>
            </w:r>
          </w:p>
        </w:tc>
        <w:tc>
          <w:tcPr>
            <w:tcW w:type="dxa" w:w="1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Tableaux de bord CSB et district</w:t>
            </w:r>
          </w:p>
        </w:tc>
        <w:tc>
          <w:tcPr>
            <w:tcW w:type="dxa" w:w="2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Tableaux de bord et cartes DHIS2.</w:t>
            </w:r>
          </w:p>
        </w:tc>
        <w:tc>
          <w:tcPr>
            <w:tcW w:type="dxa" w:w="314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Indicateurs recalculés à partir des données réelles.</w:t>
            </w:r>
          </w:p>
        </w:tc>
        <w:tc>
          <w:tcPr>
            <w:tcW w:type="dxa" w:w="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P1</w:t>
            </w:r>
          </w:p>
        </w:tc>
      </w:tr>
      <w:tr>
        <w:trPr>
          <w:cantSplit/>
        </w:trPr>
        <w:tc>
          <w:tcPr>
            <w:tcW w:type="dxa" w:w="56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F17</w:t>
            </w:r>
          </w:p>
        </w:tc>
        <w:tc>
          <w:tcPr>
            <w:tcW w:type="dxa" w:w="1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Helpdesk</w:t>
            </w:r>
          </w:p>
        </w:tc>
        <w:tc>
          <w:tcPr>
            <w:tcW w:type="dxa" w:w="2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Application web sur mesure (file de messages, réponse humaine).</w:t>
            </w:r>
          </w:p>
        </w:tc>
        <w:tc>
          <w:tcPr>
            <w:tcW w:type="dxa" w:w="314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Message escaladé traité dans le délai fixé.</w:t>
            </w:r>
          </w:p>
        </w:tc>
        <w:tc>
          <w:tcPr>
            <w:tcW w:type="dxa" w:w="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P1</w:t>
            </w:r>
          </w:p>
        </w:tc>
      </w:tr>
      <w:tr>
        <w:trPr>
          <w:cantSplit/>
        </w:trPr>
        <w:tc>
          <w:tcPr>
            <w:tcW w:type="dxa" w:w="56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F18</w:t>
            </w:r>
          </w:p>
        </w:tc>
        <w:tc>
          <w:tcPr>
            <w:tcW w:type="dxa" w:w="1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Assistant IA</w:t>
            </w:r>
          </w:p>
        </w:tc>
        <w:tc>
          <w:tcPr>
            <w:tcW w:type="dxa" w:w="2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Voir section 8.</w:t>
            </w:r>
          </w:p>
        </w:tc>
        <w:tc>
          <w:tcPr>
            <w:tcW w:type="dxa" w:w="314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Voir section 8.</w:t>
            </w:r>
          </w:p>
        </w:tc>
        <w:tc>
          <w:tcPr>
            <w:tcW w:type="dxa" w:w="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P2</w:t>
            </w:r>
          </w:p>
        </w:tc>
      </w:tr>
    </w:tbl>
    <w:p>
      <w:pPr>
        <w:spacing w:after="130"/>
      </w:pPr>
    </w:p>
    <w:p>
      <w:pPr>
        <w:pStyle w:val="Heading1"/>
        <w:keepNext/>
      </w:pPr>
      <w:r>
        <w:t xml:space="preserve">5. Architecture technique et technologies</w:t>
      </w:r>
    </w:p>
    <w:p>
      <w:pPr>
        <w:spacing w:after="130" w:line="288"/>
      </w:pPr>
      <w:r>
        <w:t xml:space="preserve">L'architecture place DHIS2 au centre. Les services propres à Maternal AI se branchent sur son API et restent volontairement petits.</w:t>
      </w:r>
    </w:p>
    <w:p>
      <w:pPr>
        <w:spacing w:after="120" w:before="60"/>
        <w:jc w:val="center"/>
      </w:pPr>
      <w:r>
        <w:drawing>
          <wp:inline distT="0" distB="0" distL="0" distR="0">
            <wp:extent cx="4762500" cy="5181600"/>
            <wp:effectExtent t="0" r="0" b="0" l="0"/>
            <wp:docPr id="1" name="architecture" descr="Architecture technique de Maternal AI autour de DHIS2"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5181600"/>
                    </a:xfrm>
                    <a:prstGeom prst="rect">
                      <a:avLst/>
                    </a:prstGeom>
                  </pic:spPr>
                </pic:pic>
              </a:graphicData>
            </a:graphic>
          </wp:inline>
        </w:drawing>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500"/>
        <w:gridCol w:w="2106"/>
      </w:tblGrid>
      <w:tr>
        <w:trPr>
          <w:cantSplit/>
          <w:tblHeader/>
        </w:trPr>
        <w:tc>
          <w:tcPr>
            <w:tcW w:type="dxa" w:w="1800"/>
            <w:tcBorders>
              <w:top w:val="single" w:color="E6CFCF" w:sz="4"/>
              <w:left w:val="single" w:color="E6CFCF" w:sz="4"/>
              <w:bottom w:val="single" w:color="E6CFCF" w:sz="4"/>
              <w:right w:val="single" w:color="E6CFCF" w:sz="4"/>
            </w:tcBorders>
            <w:shd w:fill="FBEBEB" w:color="auto" w:val="clear"/>
            <w:tcMar>
              <w:top w:type="dxa" w:w="60"/>
              <w:left w:type="dxa" w:w="80"/>
              <w:bottom w:type="dxa" w:w="60"/>
              <w:right w:type="dxa" w:w="80"/>
            </w:tcMar>
          </w:tcPr>
          <w:p>
            <w:pPr>
              <w:spacing w:after="0"/>
            </w:pPr>
            <w:r>
              <w:rPr>
                <w:b/>
                <w:bCs/>
                <w:color w:val="D85C5C"/>
                <w:sz w:val="18"/>
                <w:szCs w:val="18"/>
              </w:rPr>
              <w:t xml:space="preserve">Couche</w:t>
            </w:r>
          </w:p>
        </w:tc>
        <w:tc>
          <w:tcPr>
            <w:tcW w:type="dxa" w:w="3000"/>
            <w:tcBorders>
              <w:top w:val="single" w:color="E6CFCF" w:sz="4"/>
              <w:left w:val="single" w:color="E6CFCF" w:sz="4"/>
              <w:bottom w:val="single" w:color="E6CFCF" w:sz="4"/>
              <w:right w:val="single" w:color="E6CFCF" w:sz="4"/>
            </w:tcBorders>
            <w:shd w:fill="FBEBEB" w:color="auto" w:val="clear"/>
            <w:tcMar>
              <w:top w:type="dxa" w:w="60"/>
              <w:left w:type="dxa" w:w="80"/>
              <w:bottom w:type="dxa" w:w="60"/>
              <w:right w:type="dxa" w:w="80"/>
            </w:tcMar>
          </w:tcPr>
          <w:p>
            <w:pPr>
              <w:spacing w:after="0"/>
            </w:pPr>
            <w:r>
              <w:rPr>
                <w:b/>
                <w:bCs/>
                <w:color w:val="D85C5C"/>
                <w:sz w:val="18"/>
                <w:szCs w:val="18"/>
              </w:rPr>
              <w:t xml:space="preserve">Technologie</w:t>
            </w:r>
          </w:p>
        </w:tc>
        <w:tc>
          <w:tcPr>
            <w:tcW w:type="dxa" w:w="2500"/>
            <w:tcBorders>
              <w:top w:val="single" w:color="E6CFCF" w:sz="4"/>
              <w:left w:val="single" w:color="E6CFCF" w:sz="4"/>
              <w:bottom w:val="single" w:color="E6CFCF" w:sz="4"/>
              <w:right w:val="single" w:color="E6CFCF" w:sz="4"/>
            </w:tcBorders>
            <w:shd w:fill="FBEBEB" w:color="auto" w:val="clear"/>
            <w:tcMar>
              <w:top w:type="dxa" w:w="60"/>
              <w:left w:type="dxa" w:w="80"/>
              <w:bottom w:type="dxa" w:w="60"/>
              <w:right w:type="dxa" w:w="80"/>
            </w:tcMar>
          </w:tcPr>
          <w:p>
            <w:pPr>
              <w:spacing w:after="0"/>
            </w:pPr>
            <w:r>
              <w:rPr>
                <w:b/>
                <w:bCs/>
                <w:color w:val="D85C5C"/>
                <w:sz w:val="18"/>
                <w:szCs w:val="18"/>
              </w:rPr>
              <w:t xml:space="preserve">Rôle</w:t>
            </w:r>
          </w:p>
        </w:tc>
        <w:tc>
          <w:tcPr>
            <w:tcW w:type="dxa" w:w="2106"/>
            <w:tcBorders>
              <w:top w:val="single" w:color="E6CFCF" w:sz="4"/>
              <w:left w:val="single" w:color="E6CFCF" w:sz="4"/>
              <w:bottom w:val="single" w:color="E6CFCF" w:sz="4"/>
              <w:right w:val="single" w:color="E6CFCF" w:sz="4"/>
            </w:tcBorders>
            <w:shd w:fill="FBEBEB" w:color="auto" w:val="clear"/>
            <w:tcMar>
              <w:top w:type="dxa" w:w="60"/>
              <w:left w:type="dxa" w:w="80"/>
              <w:bottom w:type="dxa" w:w="60"/>
              <w:right w:type="dxa" w:w="80"/>
            </w:tcMar>
          </w:tcPr>
          <w:p>
            <w:pPr>
              <w:spacing w:after="0"/>
            </w:pPr>
            <w:r>
              <w:rPr>
                <w:b/>
                <w:bCs/>
                <w:color w:val="D85C5C"/>
                <w:sz w:val="18"/>
                <w:szCs w:val="18"/>
              </w:rPr>
              <w:t xml:space="preserve">Pourquoi</w:t>
            </w:r>
          </w:p>
        </w:tc>
      </w:tr>
      <w:tr>
        <w:trPr>
          <w:cantSplit/>
        </w:trPr>
        <w:tc>
          <w:tcPr>
            <w:tcW w:type="dxa" w:w="18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Socle de données</w:t>
            </w:r>
          </w:p>
        </w:tc>
        <w:tc>
          <w:tcPr>
            <w:tcW w:type="dxa" w:w="30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DHIS2 (version LTS alignée sur l'instance du ministère), Tracker, PostgreSQL, Tomcat</w:t>
            </w:r>
          </w:p>
        </w:tc>
        <w:tc>
          <w:tcPr>
            <w:tcW w:type="dxa" w:w="25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Dossier, indicateurs, API, rôles</w:t>
            </w:r>
          </w:p>
        </w:tc>
        <w:tc>
          <w:tcPr>
            <w:tcW w:type="dxa" w:w="21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Plateforme unique du système d'information sanitaire. Noyau open source sous licence BSD-3.</w:t>
            </w:r>
          </w:p>
        </w:tc>
      </w:tr>
      <w:tr>
        <w:trPr>
          <w:cantSplit/>
        </w:trPr>
        <w:tc>
          <w:tcPr>
            <w:tcW w:type="dxa" w:w="18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Saisie terrain</w:t>
            </w:r>
          </w:p>
        </w:tc>
        <w:tc>
          <w:tcPr>
            <w:tcW w:type="dxa" w:w="30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DHIS2 Android Capture (version 3.4 ou ultérieure)</w:t>
            </w:r>
          </w:p>
        </w:tc>
        <w:tc>
          <w:tcPr>
            <w:tcW w:type="dxa" w:w="25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Inscription, consultations, scan du QR, listes de travail, hors ligne</w:t>
            </w:r>
          </w:p>
        </w:tc>
        <w:tc>
          <w:tcPr>
            <w:tcW w:type="dxa" w:w="21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Maintenue par l'équipe DHIS2. Fonctionne en ligne et hors ligne. Exige Android 6 ou plus.</w:t>
            </w:r>
          </w:p>
        </w:tc>
      </w:tr>
      <w:tr>
        <w:trPr>
          <w:cantSplit/>
        </w:trPr>
        <w:tc>
          <w:tcPr>
            <w:tcW w:type="dxa" w:w="18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Configuration mobile</w:t>
            </w:r>
          </w:p>
        </w:tc>
        <w:tc>
          <w:tcPr>
            <w:tcW w:type="dxa" w:w="30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Application web de paramètres Android (ASWA)</w:t>
            </w:r>
          </w:p>
        </w:tc>
        <w:tc>
          <w:tcPr>
            <w:tcW w:type="dxa" w:w="25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Taille du cache, listes de travail, réserve d'identifiants</w:t>
            </w:r>
          </w:p>
        </w:tc>
        <w:tc>
          <w:tcPr>
            <w:tcW w:type="dxa" w:w="21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Contrôle la synchronisation sans développement.</w:t>
            </w:r>
          </w:p>
        </w:tc>
      </w:tr>
      <w:tr>
        <w:trPr>
          <w:cantSplit/>
        </w:trPr>
        <w:tc>
          <w:tcPr>
            <w:tcW w:type="dxa" w:w="18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Messagerie</w:t>
            </w:r>
          </w:p>
        </w:tc>
        <w:tc>
          <w:tcPr>
            <w:tcW w:type="dxa" w:w="30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Module SMS de DHIS2 et notifications de programme, agrégateur SMS et voix avec Orange, Airtel, Yas</w:t>
            </w:r>
          </w:p>
        </w:tc>
        <w:tc>
          <w:tcPr>
            <w:tcW w:type="dxa" w:w="25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Rappels, relances, réception de messages</w:t>
            </w:r>
          </w:p>
        </w:tc>
        <w:tc>
          <w:tcPr>
            <w:tcW w:type="dxa" w:w="21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Fonction native de DHIS2, utilisée dans le suivi mère-enfant.</w:t>
            </w:r>
          </w:p>
        </w:tc>
      </w:tr>
      <w:tr>
        <w:trPr>
          <w:cantSplit/>
        </w:trPr>
        <w:tc>
          <w:tcPr>
            <w:tcW w:type="dxa" w:w="18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Applications web sur mesure</w:t>
            </w:r>
          </w:p>
        </w:tc>
        <w:tc>
          <w:tcPr>
            <w:tcW w:type="dxa" w:w="30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DHIS2 App Platform (React)</w:t>
            </w:r>
          </w:p>
        </w:tc>
        <w:tc>
          <w:tcPr>
            <w:tcW w:type="dxa" w:w="25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File du helpdesk, écrans spécifiques</w:t>
            </w:r>
          </w:p>
        </w:tc>
        <w:tc>
          <w:tcPr>
            <w:tcW w:type="dxa" w:w="21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S'intègre à l'interface DHIS2 et à ses droits.</w:t>
            </w:r>
          </w:p>
        </w:tc>
      </w:tr>
      <w:tr>
        <w:trPr>
          <w:cantSplit/>
        </w:trPr>
        <w:tc>
          <w:tcPr>
            <w:tcW w:type="dxa" w:w="18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Services Maternal AI</w:t>
            </w:r>
          </w:p>
        </w:tc>
        <w:tc>
          <w:tcPr>
            <w:tcW w:type="dxa" w:w="30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Python (FastAPI)</w:t>
            </w:r>
          </w:p>
        </w:tc>
        <w:tc>
          <w:tcPr>
            <w:tcW w:type="dxa" w:w="25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Routeur de messages, règles de sécurité, service IA, générateur de carnets</w:t>
            </w:r>
          </w:p>
        </w:tc>
        <w:tc>
          <w:tcPr>
            <w:tcW w:type="dxa" w:w="21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Langage courant, bibliothèques d'IA mûres, équipe réduite.</w:t>
            </w:r>
          </w:p>
        </w:tc>
      </w:tr>
      <w:tr>
        <w:trPr>
          <w:cantSplit/>
        </w:trPr>
        <w:tc>
          <w:tcPr>
            <w:tcW w:type="dxa" w:w="18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Recherche sémantique</w:t>
            </w:r>
          </w:p>
        </w:tc>
        <w:tc>
          <w:tcPr>
            <w:tcW w:type="dxa" w:w="30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PostgreSQL avec extension pgvector</w:t>
            </w:r>
          </w:p>
        </w:tc>
        <w:tc>
          <w:tcPr>
            <w:tcW w:type="dxa" w:w="25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Bibliothèque de contenus validés</w:t>
            </w:r>
          </w:p>
        </w:tc>
        <w:tc>
          <w:tcPr>
            <w:tcW w:type="dxa" w:w="21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Même base que DHIS2, moins de composants à maintenir.</w:t>
            </w:r>
          </w:p>
        </w:tc>
      </w:tr>
      <w:tr>
        <w:trPr>
          <w:cantSplit/>
        </w:trPr>
        <w:tc>
          <w:tcPr>
            <w:tcW w:type="dxa" w:w="18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Modèles</w:t>
            </w:r>
          </w:p>
        </w:tc>
        <w:tc>
          <w:tcPr>
            <w:tcW w:type="dxa" w:w="30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Modèle de langage généraliste (API) ou open-weight hébergé, modèle d'embeddings multilingue</w:t>
            </w:r>
          </w:p>
        </w:tc>
        <w:tc>
          <w:tcPr>
            <w:tcW w:type="dxa" w:w="25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Classification, reformulation contrainte</w:t>
            </w:r>
          </w:p>
        </w:tc>
        <w:tc>
          <w:tcPr>
            <w:tcW w:type="dxa" w:w="21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Choix final après évaluation sur le jeu de test (section 8).</w:t>
            </w:r>
          </w:p>
        </w:tc>
      </w:tr>
      <w:tr>
        <w:trPr>
          <w:cantSplit/>
        </w:trPr>
        <w:tc>
          <w:tcPr>
            <w:tcW w:type="dxa" w:w="18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Analytique et services de données</w:t>
            </w:r>
          </w:p>
        </w:tc>
        <w:tc>
          <w:tcPr>
            <w:tcW w:type="dxa" w:w="30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Analytique DHIS2 (tableaux, cartes, règles de validation, détection de valeurs aberrantes), option Apache Superset en lecture seule</w:t>
            </w:r>
          </w:p>
        </w:tc>
        <w:tc>
          <w:tcPr>
            <w:tcW w:type="dxa" w:w="25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Tableaux agrégés, contrôle qualité, DaaS</w:t>
            </w:r>
          </w:p>
        </w:tc>
        <w:tc>
          <w:tcPr>
            <w:tcW w:type="dxa" w:w="21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Reste dans l'écosystème DHIS2, sans copier les dossiers individuels.</w:t>
            </w:r>
          </w:p>
        </w:tc>
      </w:tr>
      <w:tr>
        <w:trPr>
          <w:cantSplit/>
        </w:trPr>
        <w:tc>
          <w:tcPr>
            <w:tcW w:type="dxa" w:w="18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Infrastructure</w:t>
            </w:r>
          </w:p>
        </w:tc>
        <w:tc>
          <w:tcPr>
            <w:tcW w:type="dxa" w:w="30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Linux, Docker, Nginx avec TLS, sauvegardes chiffrées hors site, supervision, Git et intégration continue</w:t>
            </w:r>
          </w:p>
        </w:tc>
        <w:tc>
          <w:tcPr>
            <w:tcW w:type="dxa" w:w="25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Exploitation et livraison</w:t>
            </w:r>
          </w:p>
        </w:tc>
        <w:tc>
          <w:tcPr>
            <w:tcW w:type="dxa" w:w="21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Outils standards et gratuits.</w:t>
            </w:r>
          </w:p>
        </w:tc>
      </w:tr>
      <w:tr>
        <w:trPr>
          <w:cantSplit/>
        </w:trPr>
        <w:tc>
          <w:tcPr>
            <w:tcW w:type="dxa" w:w="18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Sécurité</w:t>
            </w:r>
          </w:p>
        </w:tc>
        <w:tc>
          <w:tcPr>
            <w:tcW w:type="dxa" w:w="30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Rôles par unité d'organisation, 2FA, chiffrement en transit et au repos, journal d'audit</w:t>
            </w:r>
          </w:p>
        </w:tc>
        <w:tc>
          <w:tcPr>
            <w:tcW w:type="dxa" w:w="25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Protection des données de santé</w:t>
            </w:r>
          </w:p>
        </w:tc>
        <w:tc>
          <w:tcPr>
            <w:tcW w:type="dxa" w:w="21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Conforme aux principes de la charte de données (section 11).</w:t>
            </w:r>
          </w:p>
        </w:tc>
      </w:tr>
    </w:tbl>
    <w:p>
      <w:pPr>
        <w:spacing w:after="130"/>
      </w:pPr>
    </w:p>
    <w:p>
      <w:pPr>
        <w:spacing w:after="130" w:line="288"/>
      </w:pPr>
      <w:r>
        <w:t xml:space="preserve">Le nom des versions n'est pas figé ici. Le CTO confirme la version de DHIS2 avec l'équipe du ministère avant l'étape 1, car l'application Android doit rester compatible avec le serveur utilisé. DHIS2 est aussi la porte d'entrée vers les standards à venir : l'interopérabilité de type FHIR ou OpenHIE est préparée dans la conception des données, mais aucune intégration de ce type n'est promise tant que le ministère n'a pas adopté de standard d'échange.</w:t>
      </w:r>
    </w:p>
    <w:p>
      <w:pPr>
        <w:pStyle w:val="Heading2"/>
        <w:keepNext/>
      </w:pPr>
      <w:r>
        <w:t xml:space="preserve">Test technique de validation (quatre semaines)</w:t>
      </w:r>
    </w:p>
    <w:p>
      <w:pPr>
        <w:spacing w:after="130" w:line="288"/>
      </w:pPr>
      <w:r>
        <w:t xml:space="preserve">Le test ne compare plus des plateformes. Il vérifie que DHIS2 configuré tient les exigences de Maternal AI : création d'un programme de suivi de grossesse, saisie hors ligne pendant plusieurs jours puis synchronisation, scan d'un QR imprimé, envoi de SMS de rappel via une passerelle, rôles par structure, volume de dossiers par téléphone, et export d'un rapport mensuel. Le résultat décide des développements sur mesure à prévoir. Si un besoin n'est pas couvert, on l'écrit dans le backlog avec son effort estimé.</w:t>
      </w:r>
    </w:p>
    <w:p>
      <w:pPr>
        <w:pStyle w:val="Heading1"/>
        <w:keepNext/>
      </w:pPr>
      <w:r>
        <w:t xml:space="preserve">6. Le carnet à QR code</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2100"/>
        <w:gridCol w:w="7306"/>
      </w:tblGrid>
      <w:tr>
        <w:trPr>
          <w:cantSplit/>
          <w:tblHeader/>
        </w:trPr>
        <w:tc>
          <w:tcPr>
            <w:tcW w:type="dxa" w:w="2100"/>
            <w:tcBorders>
              <w:top w:val="single" w:color="E6CFCF" w:sz="4"/>
              <w:left w:val="single" w:color="E6CFCF" w:sz="4"/>
              <w:bottom w:val="single" w:color="E6CFCF" w:sz="4"/>
              <w:right w:val="single" w:color="E6CFCF" w:sz="4"/>
            </w:tcBorders>
            <w:shd w:fill="FBEBEB" w:color="auto" w:val="clear"/>
            <w:tcMar>
              <w:top w:type="dxa" w:w="60"/>
              <w:left w:type="dxa" w:w="80"/>
              <w:bottom w:type="dxa" w:w="60"/>
              <w:right w:type="dxa" w:w="80"/>
            </w:tcMar>
          </w:tcPr>
          <w:p>
            <w:pPr>
              <w:spacing w:after="0"/>
            </w:pPr>
            <w:r>
              <w:rPr>
                <w:b/>
                <w:bCs/>
                <w:color w:val="D85C5C"/>
                <w:sz w:val="18"/>
                <w:szCs w:val="18"/>
              </w:rPr>
              <w:t xml:space="preserve">Élément</w:t>
            </w:r>
          </w:p>
        </w:tc>
        <w:tc>
          <w:tcPr>
            <w:tcW w:type="dxa" w:w="7306"/>
            <w:tcBorders>
              <w:top w:val="single" w:color="E6CFCF" w:sz="4"/>
              <w:left w:val="single" w:color="E6CFCF" w:sz="4"/>
              <w:bottom w:val="single" w:color="E6CFCF" w:sz="4"/>
              <w:right w:val="single" w:color="E6CFCF" w:sz="4"/>
            </w:tcBorders>
            <w:shd w:fill="FBEBEB" w:color="auto" w:val="clear"/>
            <w:tcMar>
              <w:top w:type="dxa" w:w="60"/>
              <w:left w:type="dxa" w:w="80"/>
              <w:bottom w:type="dxa" w:w="60"/>
              <w:right w:type="dxa" w:w="80"/>
            </w:tcMar>
          </w:tcPr>
          <w:p>
            <w:pPr>
              <w:spacing w:after="0"/>
            </w:pPr>
            <w:r>
              <w:rPr>
                <w:b/>
                <w:bCs/>
                <w:color w:val="D85C5C"/>
                <w:sz w:val="18"/>
                <w:szCs w:val="18"/>
              </w:rPr>
              <w:t xml:space="preserve">Spécification</w:t>
            </w:r>
          </w:p>
        </w:tc>
      </w:tr>
      <w:tr>
        <w:trPr>
          <w:cantSplit/>
        </w:trPr>
        <w:tc>
          <w:tcPr>
            <w:tcW w:type="dxa" w:w="21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Contenu papier</w:t>
            </w:r>
          </w:p>
        </w:tc>
        <w:tc>
          <w:tcPr>
            <w:tcW w:type="dxa" w:w="73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Identité, date prévue d'accouchement, calendrier des consultations, page de suivi de chaque CPN, plan d'accouchement (lieu, personne accompagnante, transport, argent mis de côté), signes de danger en pictogrammes, numéro et nom du CSB de rattachement. Rédigé en malgache et en français, validé par le comité médical.</w:t>
            </w:r>
          </w:p>
        </w:tc>
      </w:tr>
      <w:tr>
        <w:trPr>
          <w:cantSplit/>
        </w:trPr>
        <w:tc>
          <w:tcPr>
            <w:tcW w:type="dxa" w:w="21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QR code</w:t>
            </w:r>
          </w:p>
        </w:tc>
        <w:tc>
          <w:tcPr>
            <w:tcW w:type="dxa" w:w="73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Identifiant opaque avec clé de contrôle. Aucune donnée médicale ni nominative dans le code. Le scan ne donne accès à rien sans authentification de l'agent dans l'application.</w:t>
            </w:r>
          </w:p>
        </w:tc>
      </w:tr>
      <w:tr>
        <w:trPr>
          <w:cantSplit/>
        </w:trPr>
        <w:tc>
          <w:tcPr>
            <w:tcW w:type="dxa" w:w="21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Attribution</w:t>
            </w:r>
          </w:p>
        </w:tc>
        <w:tc>
          <w:tcPr>
            <w:tcW w:type="dxa" w:w="73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Les carnets sont imprimés en lots avec des identifiants déjà générés. À l'inscription, l'agent scanne le QR et le lie au dossier. Cette méthode fonctionne hors ligne et évite d'imprimer au CSB.</w:t>
            </w:r>
          </w:p>
        </w:tc>
      </w:tr>
      <w:tr>
        <w:trPr>
          <w:cantSplit/>
        </w:trPr>
        <w:tc>
          <w:tcPr>
            <w:tcW w:type="dxa" w:w="21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Carnet perdu ou abîmé</w:t>
            </w:r>
          </w:p>
        </w:tc>
        <w:tc>
          <w:tcPr>
            <w:tcW w:type="dxa" w:w="73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Procédure de réémission : nouveau carnet avec nouvel identifiant lié au même dossier, après vérification de l'identité par l'agent. L'ancien identifiant est invalidé.</w:t>
            </w:r>
          </w:p>
        </w:tc>
      </w:tr>
      <w:tr>
        <w:trPr>
          <w:cantSplit/>
        </w:trPr>
        <w:tc>
          <w:tcPr>
            <w:tcW w:type="dxa" w:w="21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Durabilité</w:t>
            </w:r>
          </w:p>
        </w:tc>
        <w:tc>
          <w:tcPr>
            <w:tcW w:type="dxa" w:w="73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Papier et couverture adaptés à l'humidité et à la manipulation. Format et matériau choisis après le test de l'étape 0 avec dix femmes et cinq agents.</w:t>
            </w:r>
          </w:p>
        </w:tc>
      </w:tr>
      <w:tr>
        <w:trPr>
          <w:cantSplit/>
        </w:trPr>
        <w:tc>
          <w:tcPr>
            <w:tcW w:type="dxa" w:w="21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Logistique</w:t>
            </w:r>
          </w:p>
        </w:tc>
        <w:tc>
          <w:tcPr>
            <w:tcW w:type="dxa" w:w="73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Stock de carnets par structure, réapprovisionnement suivi, distribution par les relais. Coût par carnet mesuré dès le pilote.</w:t>
            </w:r>
          </w:p>
        </w:tc>
      </w:tr>
      <w:tr>
        <w:trPr>
          <w:cantSplit/>
        </w:trPr>
        <w:tc>
          <w:tcPr>
            <w:tcW w:type="dxa" w:w="21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Vie privée</w:t>
            </w:r>
          </w:p>
        </w:tc>
        <w:tc>
          <w:tcPr>
            <w:tcW w:type="dxa" w:w="73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La page de couverture ne comporte pas de mention de la grossesse visible de loin si la femme le demande. Aucune donnée sensible dans les SMS associés.</w:t>
            </w:r>
          </w:p>
        </w:tc>
      </w:tr>
    </w:tbl>
    <w:p>
      <w:pPr>
        <w:spacing w:after="130"/>
      </w:pPr>
    </w:p>
    <w:p>
      <w:pPr>
        <w:pStyle w:val="Heading1"/>
        <w:keepNext/>
      </w:pPr>
      <w:r>
        <w:t xml:space="preserve">7. Messagerie vers les femmes</w:t>
      </w:r>
    </w:p>
    <w:p>
      <w:pPr>
        <w:spacing w:after="130" w:line="288"/>
      </w:pPr>
      <w:r>
        <w:t xml:space="preserve">Les rappels et messages passent par les notifications de programme de DHIS2, envoyées par le module SMS via une passerelle. Le calendrier exact est défini par le comité médical à partir du protocole national. À titre d'exemple : un rappel trois jours et un jour avant chaque consultation prévue, une relance après un rendez-vous manqué, un message avant terme sur le plan d'accouchement.</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2300"/>
        <w:gridCol w:w="7106"/>
      </w:tblGrid>
      <w:tr>
        <w:trPr>
          <w:cantSplit/>
          <w:tblHeader/>
        </w:trPr>
        <w:tc>
          <w:tcPr>
            <w:tcW w:type="dxa" w:w="2300"/>
            <w:tcBorders>
              <w:top w:val="single" w:color="E6CFCF" w:sz="4"/>
              <w:left w:val="single" w:color="E6CFCF" w:sz="4"/>
              <w:bottom w:val="single" w:color="E6CFCF" w:sz="4"/>
              <w:right w:val="single" w:color="E6CFCF" w:sz="4"/>
            </w:tcBorders>
            <w:shd w:fill="FBEBEB" w:color="auto" w:val="clear"/>
            <w:tcMar>
              <w:top w:type="dxa" w:w="60"/>
              <w:left w:type="dxa" w:w="80"/>
              <w:bottom w:type="dxa" w:w="60"/>
              <w:right w:type="dxa" w:w="80"/>
            </w:tcMar>
          </w:tcPr>
          <w:p>
            <w:pPr>
              <w:spacing w:after="0"/>
            </w:pPr>
            <w:r>
              <w:rPr>
                <w:b/>
                <w:bCs/>
                <w:color w:val="D85C5C"/>
                <w:sz w:val="18"/>
                <w:szCs w:val="18"/>
              </w:rPr>
              <w:t xml:space="preserve">Règle</w:t>
            </w:r>
          </w:p>
        </w:tc>
        <w:tc>
          <w:tcPr>
            <w:tcW w:type="dxa" w:w="7106"/>
            <w:tcBorders>
              <w:top w:val="single" w:color="E6CFCF" w:sz="4"/>
              <w:left w:val="single" w:color="E6CFCF" w:sz="4"/>
              <w:bottom w:val="single" w:color="E6CFCF" w:sz="4"/>
              <w:right w:val="single" w:color="E6CFCF" w:sz="4"/>
            </w:tcBorders>
            <w:shd w:fill="FBEBEB" w:color="auto" w:val="clear"/>
            <w:tcMar>
              <w:top w:type="dxa" w:w="60"/>
              <w:left w:type="dxa" w:w="80"/>
              <w:bottom w:type="dxa" w:w="60"/>
              <w:right w:type="dxa" w:w="80"/>
            </w:tcMar>
          </w:tcPr>
          <w:p>
            <w:pPr>
              <w:spacing w:after="0"/>
            </w:pPr>
            <w:r>
              <w:rPr>
                <w:b/>
                <w:bCs/>
                <w:color w:val="D85C5C"/>
                <w:sz w:val="18"/>
                <w:szCs w:val="18"/>
              </w:rPr>
              <w:t xml:space="preserve">Contenu</w:t>
            </w:r>
          </w:p>
        </w:tc>
      </w:tr>
      <w:tr>
        <w:trPr>
          <w:cantSplit/>
        </w:trPr>
        <w:tc>
          <w:tcPr>
            <w:tcW w:type="dxa" w:w="23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Consentement et sortie</w:t>
            </w:r>
          </w:p>
        </w:tc>
        <w:tc>
          <w:tcPr>
            <w:tcW w:type="dxa" w:w="71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Aucun message sans consentement enregistré. Le mot STOP, ou son équivalent en malgache, désinscrit immédiatement.</w:t>
            </w:r>
          </w:p>
        </w:tc>
      </w:tr>
      <w:tr>
        <w:trPr>
          <w:cantSplit/>
        </w:trPr>
        <w:tc>
          <w:tcPr>
            <w:tcW w:type="dxa" w:w="23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Discrétion</w:t>
            </w:r>
          </w:p>
        </w:tc>
        <w:tc>
          <w:tcPr>
            <w:tcW w:type="dxa" w:w="71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Beaucoup de femmes partagent leur téléphone. Les SMS ne mentionnent pas de terme médical sensible. Le numéro d'un proche peut être utilisé seulement avec l'accord de la femme.</w:t>
            </w:r>
          </w:p>
        </w:tc>
      </w:tr>
      <w:tr>
        <w:trPr>
          <w:cantSplit/>
        </w:trPr>
        <w:tc>
          <w:tcPr>
            <w:tcW w:type="dxa" w:w="23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Fréquence</w:t>
            </w:r>
          </w:p>
        </w:tc>
        <w:tc>
          <w:tcPr>
            <w:tcW w:type="dxa" w:w="71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Plafond de messages par semaine et plages horaires calmes. Le plafond exact est fixé au pilote (deux messages par semaine proposé).</w:t>
            </w:r>
          </w:p>
        </w:tc>
      </w:tr>
      <w:tr>
        <w:trPr>
          <w:cantSplit/>
        </w:trPr>
        <w:tc>
          <w:tcPr>
            <w:tcW w:type="dxa" w:w="23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Langue</w:t>
            </w:r>
          </w:p>
        </w:tc>
        <w:tc>
          <w:tcPr>
            <w:tcW w:type="dxa" w:w="71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Messages du catalogue validé, en malgache et en français, sélectionnés selon la langue choisie par la femme.</w:t>
            </w:r>
          </w:p>
        </w:tc>
      </w:tr>
      <w:tr>
        <w:trPr>
          <w:cantSplit/>
        </w:trPr>
        <w:tc>
          <w:tcPr>
            <w:tcW w:type="dxa" w:w="23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Coûts</w:t>
            </w:r>
          </w:p>
        </w:tc>
        <w:tc>
          <w:tcPr>
            <w:tcW w:type="dxa" w:w="71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Suivi du coût par SMS et par femme dès l'étape 1. Négociation avec au moins deux opérateurs. Numéro court à obtenir.</w:t>
            </w:r>
          </w:p>
        </w:tc>
      </w:tr>
      <w:tr>
        <w:trPr>
          <w:cantSplit/>
        </w:trPr>
        <w:tc>
          <w:tcPr>
            <w:tcW w:type="dxa" w:w="23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Voix</w:t>
            </w:r>
          </w:p>
        </w:tc>
        <w:tc>
          <w:tcPr>
            <w:tcW w:type="dxa" w:w="71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Appels sortants ou messages vocaux en malgache pour les femmes qui lisent peu. Testés sur un petit groupe avant tout déploiement.</w:t>
            </w:r>
          </w:p>
        </w:tc>
      </w:tr>
      <w:tr>
        <w:trPr>
          <w:cantSplit/>
        </w:trPr>
        <w:tc>
          <w:tcPr>
            <w:tcW w:type="dxa" w:w="23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Réponses entrantes</w:t>
            </w:r>
          </w:p>
        </w:tc>
        <w:tc>
          <w:tcPr>
            <w:tcW w:type="dxa" w:w="71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Traitées par le routeur : mots-clés simples au départ, puis classification (section 8), avec transmission au helpdesk humain.</w:t>
            </w:r>
          </w:p>
        </w:tc>
      </w:tr>
    </w:tbl>
    <w:p>
      <w:pPr>
        <w:spacing w:after="130"/>
      </w:pPr>
    </w:p>
    <w:p>
      <w:pPr>
        <w:pStyle w:val="Heading1"/>
        <w:keepNext/>
      </w:pPr>
      <w:r>
        <w:t xml:space="preserve">8. Architecture de l'IA et fonctionnement des prompts</w:t>
      </w:r>
    </w:p>
    <w:p>
      <w:pPr>
        <w:spacing w:after="130" w:line="288"/>
      </w:pPr>
      <w:r>
        <w:t xml:space="preserve">L'IA de Maternal AI n'est pas un chatbot ouvert. C'est une chaîne contrôlée où un modèle ne parle jamais seul à une femme : des règles de sécurité passent avant lui, une bibliothèque de contenus validés le borne pendant, un vérificateur le contrôle après, et un humain reprend la main dès que la situation l'exige.</w:t>
      </w:r>
    </w:p>
    <w:p>
      <w:pPr>
        <w:pStyle w:val="Heading2"/>
        <w:keepNext/>
      </w:pPr>
      <w:r>
        <w:t xml:space="preserve">Les composants</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2200"/>
        <w:gridCol w:w="7206"/>
      </w:tblGrid>
      <w:tr>
        <w:trPr>
          <w:cantSplit/>
          <w:tblHeader/>
        </w:trPr>
        <w:tc>
          <w:tcPr>
            <w:tcW w:type="dxa" w:w="2200"/>
            <w:tcBorders>
              <w:top w:val="single" w:color="E6CFCF" w:sz="4"/>
              <w:left w:val="single" w:color="E6CFCF" w:sz="4"/>
              <w:bottom w:val="single" w:color="E6CFCF" w:sz="4"/>
              <w:right w:val="single" w:color="E6CFCF" w:sz="4"/>
            </w:tcBorders>
            <w:shd w:fill="FBEBEB" w:color="auto" w:val="clear"/>
            <w:tcMar>
              <w:top w:type="dxa" w:w="60"/>
              <w:left w:type="dxa" w:w="80"/>
              <w:bottom w:type="dxa" w:w="60"/>
              <w:right w:type="dxa" w:w="80"/>
            </w:tcMar>
          </w:tcPr>
          <w:p>
            <w:pPr>
              <w:spacing w:after="0"/>
            </w:pPr>
            <w:r>
              <w:rPr>
                <w:b/>
                <w:bCs/>
                <w:color w:val="D85C5C"/>
                <w:sz w:val="18"/>
                <w:szCs w:val="18"/>
              </w:rPr>
              <w:t xml:space="preserve">Composant</w:t>
            </w:r>
          </w:p>
        </w:tc>
        <w:tc>
          <w:tcPr>
            <w:tcW w:type="dxa" w:w="7206"/>
            <w:tcBorders>
              <w:top w:val="single" w:color="E6CFCF" w:sz="4"/>
              <w:left w:val="single" w:color="E6CFCF" w:sz="4"/>
              <w:bottom w:val="single" w:color="E6CFCF" w:sz="4"/>
              <w:right w:val="single" w:color="E6CFCF" w:sz="4"/>
            </w:tcBorders>
            <w:shd w:fill="FBEBEB" w:color="auto" w:val="clear"/>
            <w:tcMar>
              <w:top w:type="dxa" w:w="60"/>
              <w:left w:type="dxa" w:w="80"/>
              <w:bottom w:type="dxa" w:w="60"/>
              <w:right w:type="dxa" w:w="80"/>
            </w:tcMar>
          </w:tcPr>
          <w:p>
            <w:pPr>
              <w:spacing w:after="0"/>
            </w:pPr>
            <w:r>
              <w:rPr>
                <w:b/>
                <w:bCs/>
                <w:color w:val="D85C5C"/>
                <w:sz w:val="18"/>
                <w:szCs w:val="18"/>
              </w:rPr>
              <w:t xml:space="preserve">Rôle</w:t>
            </w:r>
          </w:p>
        </w:tc>
      </w:tr>
      <w:tr>
        <w:trPr>
          <w:cantSplit/>
        </w:trPr>
        <w:tc>
          <w:tcPr>
            <w:tcW w:type="dxa" w:w="22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Routeur de messages</w:t>
            </w:r>
          </w:p>
        </w:tc>
        <w:tc>
          <w:tcPr>
            <w:tcW w:type="dxa" w:w="72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Reçoit chaque message (SMS, voix transcrite, Messenger). Retrouve la femme par son numéro, vérifie le consentement et la langue.</w:t>
            </w:r>
          </w:p>
        </w:tc>
      </w:tr>
      <w:tr>
        <w:trPr>
          <w:cantSplit/>
        </w:trPr>
        <w:tc>
          <w:tcPr>
            <w:tcW w:type="dxa" w:w="22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Pseudonymisation</w:t>
            </w:r>
          </w:p>
        </w:tc>
        <w:tc>
          <w:tcPr>
            <w:tcW w:type="dxa" w:w="72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Retire nom, numéro et localisation précise avant tout traitement par un modèle. Ne garde que le texte de la question, le stade de grossesse en semaines, le nombre de CPN faites, des drapeaux de risque validés et la langue.</w:t>
            </w:r>
          </w:p>
        </w:tc>
      </w:tr>
      <w:tr>
        <w:trPr>
          <w:cantSplit/>
        </w:trPr>
        <w:tc>
          <w:tcPr>
            <w:tcW w:type="dxa" w:w="22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Moteur de règles de sécurité</w:t>
            </w:r>
          </w:p>
        </w:tc>
        <w:tc>
          <w:tcPr>
            <w:tcW w:type="dxa" w:w="72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Détecte, avant tout modèle, les signes de danger d'une liste validée par le comité médical (par exemple saignement, convulsions, fièvre, forte douleur, diminution des mouvements du bébé, maux de tête sévères). En cas de correspondance : message d'urgence prédéfini, alerte au helpdesk et à la structure.</w:t>
            </w:r>
          </w:p>
        </w:tc>
      </w:tr>
      <w:tr>
        <w:trPr>
          <w:cantSplit/>
        </w:trPr>
        <w:tc>
          <w:tcPr>
            <w:tcW w:type="dxa" w:w="22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Classification d'intention</w:t>
            </w:r>
          </w:p>
        </w:tc>
        <w:tc>
          <w:tcPr>
            <w:tcW w:type="dxa" w:w="72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Range la question dans une catégorie : rappel de rendez-vous, alimentation, symptôme, information administrative, désinscription, autre.</w:t>
            </w:r>
          </w:p>
        </w:tc>
      </w:tr>
      <w:tr>
        <w:trPr>
          <w:cantSplit/>
        </w:trPr>
        <w:tc>
          <w:tcPr>
            <w:tcW w:type="dxa" w:w="22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Bibliothèque de contenus validés</w:t>
            </w:r>
          </w:p>
        </w:tc>
        <w:tc>
          <w:tcPr>
            <w:tcW w:type="dxa" w:w="72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Fiches courtes en malgache et en français, indexées par stade et thème, avec version, validateur et date. Stockées dans PostgreSQL avec recherche sémantique.</w:t>
            </w:r>
          </w:p>
        </w:tc>
      </w:tr>
      <w:tr>
        <w:trPr>
          <w:cantSplit/>
        </w:trPr>
        <w:tc>
          <w:tcPr>
            <w:tcW w:type="dxa" w:w="22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Générateur (modèle de langage)</w:t>
            </w:r>
          </w:p>
        </w:tc>
        <w:tc>
          <w:tcPr>
            <w:tcW w:type="dxa" w:w="72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Reformule uniquement à partir des passages retrouvés, dans le format demandé. N'invente rien, ne dose rien, ne diagnostique rien.</w:t>
            </w:r>
          </w:p>
        </w:tc>
      </w:tr>
      <w:tr>
        <w:trPr>
          <w:cantSplit/>
        </w:trPr>
        <w:tc>
          <w:tcPr>
            <w:tcW w:type="dxa" w:w="22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Vérificateur</w:t>
            </w:r>
          </w:p>
        </w:tc>
        <w:tc>
          <w:tcPr>
            <w:tcW w:type="dxa" w:w="72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Contrôle la réponse : passages réellement utilisés, absence de dose ou de diagnostic, langue, longueur. En cas de doute : message validé le plus proche ou transmission à un humain.</w:t>
            </w:r>
          </w:p>
        </w:tc>
      </w:tr>
      <w:tr>
        <w:trPr>
          <w:cantSplit/>
        </w:trPr>
        <w:tc>
          <w:tcPr>
            <w:tcW w:type="dxa" w:w="22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Helpdesk humain</w:t>
            </w:r>
          </w:p>
        </w:tc>
        <w:tc>
          <w:tcPr>
            <w:tcW w:type="dxa" w:w="72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Une sage-femme traite les cas escaladés dans un délai fixé. Ses réponses enrichissent la bibliothèque après validation.</w:t>
            </w:r>
          </w:p>
        </w:tc>
      </w:tr>
      <w:tr>
        <w:trPr>
          <w:cantSplit/>
        </w:trPr>
        <w:tc>
          <w:tcPr>
            <w:tcW w:type="dxa" w:w="22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Journal et évaluation</w:t>
            </w:r>
          </w:p>
        </w:tc>
        <w:tc>
          <w:tcPr>
            <w:tcW w:type="dxa" w:w="72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Journal pseudonymisé, revue hebdomadaire d'un échantillon, jeu de test permanent, suivi des indicateurs de sécurité.</w:t>
            </w:r>
          </w:p>
        </w:tc>
      </w:tr>
    </w:tbl>
    <w:p>
      <w:pPr>
        <w:spacing w:after="130"/>
      </w:pPr>
    </w:p>
    <w:p>
      <w:pPr>
        <w:pStyle w:val="Heading2"/>
        <w:keepNext/>
      </w:pPr>
      <w:r>
        <w:t xml:space="preserve">Le déroulement d'un échange, pas à pas</w:t>
      </w:r>
    </w:p>
    <w:p>
      <w:pPr>
        <w:pStyle w:val="ListParagraph"/>
        <w:numPr>
          <w:ilvl w:val="0"/>
          <w:numId w:val="3"/>
        </w:numPr>
        <w:spacing w:after="60" w:line="276"/>
      </w:pPr>
      <w:r>
        <w:t xml:space="preserve">La femme envoie un SMS avec sa question.</w:t>
      </w:r>
    </w:p>
    <w:p>
      <w:pPr>
        <w:pStyle w:val="ListParagraph"/>
        <w:numPr>
          <w:ilvl w:val="0"/>
          <w:numId w:val="3"/>
        </w:numPr>
        <w:spacing w:after="60" w:line="276"/>
      </w:pPr>
      <w:r>
        <w:t xml:space="preserve">Le routeur l'identifie, vérifie son consentement et sa langue, puis pseudonymise le message.</w:t>
      </w:r>
    </w:p>
    <w:p>
      <w:pPr>
        <w:pStyle w:val="ListParagraph"/>
        <w:numPr>
          <w:ilvl w:val="0"/>
          <w:numId w:val="3"/>
        </w:numPr>
        <w:spacing w:after="60" w:line="276"/>
      </w:pPr>
      <w:r>
        <w:t xml:space="preserve">Le moteur de règles cherche un signe de danger. S'il en trouve un, la chaîne s'arrête : message d'urgence prédéfini, alerte humaine, notification à la structure.</w:t>
      </w:r>
    </w:p>
    <w:p>
      <w:pPr>
        <w:pStyle w:val="ListParagraph"/>
        <w:numPr>
          <w:ilvl w:val="0"/>
          <w:numId w:val="3"/>
        </w:numPr>
        <w:spacing w:after="60" w:line="276"/>
      </w:pPr>
      <w:r>
        <w:t xml:space="preserve">Sinon, le classificateur détermine l'intention. Les demandes administratives (où est mon CSB, date de mon prochain rendez-vous) sont traitées par des gabarits alimentés par DHIS2, sans modèle de langage.</w:t>
      </w:r>
    </w:p>
    <w:p>
      <w:pPr>
        <w:pStyle w:val="ListParagraph"/>
        <w:numPr>
          <w:ilvl w:val="0"/>
          <w:numId w:val="3"/>
        </w:numPr>
        <w:spacing w:after="60" w:line="276"/>
      </w:pPr>
      <w:r>
        <w:t xml:space="preserve">Pour une question d'information, le système retrouve les deux ou trois passages validés les plus proches, selon le stade de grossesse.</w:t>
      </w:r>
    </w:p>
    <w:p>
      <w:pPr>
        <w:pStyle w:val="ListParagraph"/>
        <w:numPr>
          <w:ilvl w:val="0"/>
          <w:numId w:val="3"/>
        </w:numPr>
        <w:spacing w:after="60" w:line="276"/>
      </w:pPr>
      <w:r>
        <w:t xml:space="preserve">Le générateur reçoit le contexte et les passages avec l'instruction ci-dessous et renvoie une réponse au format strict.</w:t>
      </w:r>
    </w:p>
    <w:p>
      <w:pPr>
        <w:pStyle w:val="ListParagraph"/>
        <w:numPr>
          <w:ilvl w:val="0"/>
          <w:numId w:val="3"/>
        </w:numPr>
        <w:spacing w:after="60" w:line="276"/>
      </w:pPr>
      <w:r>
        <w:t xml:space="preserve">Le vérificateur contrôle la réponse. Si elle est valide, elle est envoyée. Sinon, le message validé le plus proche est envoyé ou la question est transmise au helpdesk.</w:t>
      </w:r>
    </w:p>
    <w:p>
      <w:pPr>
        <w:pStyle w:val="ListParagraph"/>
        <w:numPr>
          <w:ilvl w:val="0"/>
          <w:numId w:val="3"/>
        </w:numPr>
        <w:spacing w:after="60" w:line="276"/>
      </w:pPr>
      <w:r>
        <w:t xml:space="preserve">Chaque décision est journalisée sans donnée d'identité. Seuls des compteurs (nombre de messages, orientations, urgences) remontent dans DHIS2.</w:t>
      </w:r>
    </w:p>
    <w:p>
      <w:pPr>
        <w:spacing w:after="60"/>
      </w:pPr>
    </w:p>
    <w:p>
      <w:pPr>
        <w:pStyle w:val="Heading2"/>
        <w:keepNext/>
      </w:pPr>
      <w:r>
        <w:t xml:space="preserve">Exemple d'instruction au modèle (prompt système)</w:t>
      </w:r>
    </w:p>
    <w:p>
      <w:pPr>
        <w:spacing w:after="130" w:line="288"/>
      </w:pPr>
      <w:r>
        <w:t xml:space="preserve">Le texte ci-dessous est un modèle de départ. Il est relu par le comité médical, testé sur le jeu d'évaluation, puis versionné comme n'importe quel document réglementé.</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c>
          <w:tcPr>
            <w:tcW w:type="dxa" w:w="9406"/>
            <w:tcBorders>
              <w:top w:val="single" w:color="D9CFCF" w:sz="4"/>
              <w:left w:val="single" w:color="D9CFCF" w:sz="4"/>
              <w:bottom w:val="single" w:color="D9CFCF" w:sz="4"/>
              <w:right w:val="single" w:color="D9CFCF" w:sz="4"/>
            </w:tcBorders>
            <w:shd w:fill="F4F1F1" w:color="auto" w:val="clear"/>
            <w:tcMar>
              <w:top w:type="dxa" w:w="100"/>
              <w:left w:type="dxa" w:w="160"/>
              <w:bottom w:type="dxa" w:w="100"/>
              <w:right w:type="dxa" w:w="160"/>
            </w:tcMar>
          </w:tcPr>
          <w:p>
            <w:pPr>
              <w:spacing w:after="20" w:line="240"/>
            </w:pPr>
            <w:r>
              <w:rPr>
                <w:rFonts w:ascii="Courier New" w:cs="Courier New" w:eastAsia="Courier New" w:hAnsi="Courier New"/>
                <w:sz w:val="17"/>
                <w:szCs w:val="17"/>
              </w:rPr>
              <w:t xml:space="preserve">Tu es l'assistant de Maternal AI, au service de femmes enceintes</w:t>
            </w:r>
          </w:p>
          <w:p>
            <w:pPr>
              <w:spacing w:after="20" w:line="240"/>
            </w:pPr>
            <w:r>
              <w:rPr>
                <w:rFonts w:ascii="Courier New" w:cs="Courier New" w:eastAsia="Courier New" w:hAnsi="Courier New"/>
                <w:sz w:val="17"/>
                <w:szCs w:val="17"/>
              </w:rPr>
              <w:t xml:space="preserve">et de jeunes mères à Madagascar. Tu n'es pas médecin.</w:t>
            </w:r>
          </w:p>
          <w:p>
            <w:pPr>
              <w:spacing w:after="20" w:line="240"/>
            </w:pPr>
            <w:r>
              <w:rPr>
                <w:rFonts w:ascii="Courier New" w:cs="Courier New" w:eastAsia="Courier New" w:hAnsi="Courier New"/>
                <w:sz w:val="17"/>
                <w:szCs w:val="17"/>
              </w:rPr>
              <w:t xml:space="preserve"/>
            </w:r>
          </w:p>
          <w:p>
            <w:pPr>
              <w:spacing w:after="20" w:line="240"/>
            </w:pPr>
            <w:r>
              <w:rPr>
                <w:rFonts w:ascii="Courier New" w:cs="Courier New" w:eastAsia="Courier New" w:hAnsi="Courier New"/>
                <w:sz w:val="17"/>
                <w:szCs w:val="17"/>
              </w:rPr>
              <w:t xml:space="preserve">REGLES ABSOLUES</w:t>
            </w:r>
          </w:p>
          <w:p>
            <w:pPr>
              <w:spacing w:after="20" w:line="240"/>
            </w:pPr>
            <w:r>
              <w:rPr>
                <w:rFonts w:ascii="Courier New" w:cs="Courier New" w:eastAsia="Courier New" w:hAnsi="Courier New"/>
                <w:sz w:val="17"/>
                <w:szCs w:val="17"/>
              </w:rPr>
              <w:t xml:space="preserve">- Tu ne poses aucun diagnostic, tu ne prescris aucun médicament,</w:t>
            </w:r>
          </w:p>
          <w:p>
            <w:pPr>
              <w:spacing w:after="20" w:line="240"/>
            </w:pPr>
            <w:r>
              <w:rPr>
                <w:rFonts w:ascii="Courier New" w:cs="Courier New" w:eastAsia="Courier New" w:hAnsi="Courier New"/>
                <w:sz w:val="17"/>
                <w:szCs w:val="17"/>
              </w:rPr>
              <w:t xml:space="preserve">  tu ne donnes aucune dose.</w:t>
            </w:r>
          </w:p>
          <w:p>
            <w:pPr>
              <w:spacing w:after="20" w:line="240"/>
            </w:pPr>
            <w:r>
              <w:rPr>
                <w:rFonts w:ascii="Courier New" w:cs="Courier New" w:eastAsia="Courier New" w:hAnsi="Courier New"/>
                <w:sz w:val="17"/>
                <w:szCs w:val="17"/>
              </w:rPr>
              <w:t xml:space="preserve">- Tu réponds uniquement à partir des PASSAGES VALIDES fournis.</w:t>
            </w:r>
          </w:p>
          <w:p>
            <w:pPr>
              <w:spacing w:after="20" w:line="240"/>
            </w:pPr>
            <w:r>
              <w:rPr>
                <w:rFonts w:ascii="Courier New" w:cs="Courier New" w:eastAsia="Courier New" w:hAnsi="Courier New"/>
                <w:sz w:val="17"/>
                <w:szCs w:val="17"/>
              </w:rPr>
              <w:t xml:space="preserve">- Si les passages ne permettent pas de répondre : decision = ORIENTER.</w:t>
            </w:r>
          </w:p>
          <w:p>
            <w:pPr>
              <w:spacing w:after="20" w:line="240"/>
            </w:pPr>
            <w:r>
              <w:rPr>
                <w:rFonts w:ascii="Courier New" w:cs="Courier New" w:eastAsia="Courier New" w:hAnsi="Courier New"/>
                <w:sz w:val="17"/>
                <w:szCs w:val="17"/>
              </w:rPr>
              <w:t xml:space="preserve">- Si le message décrit un signe de danger, ou si tu hésites :</w:t>
            </w:r>
          </w:p>
          <w:p>
            <w:pPr>
              <w:spacing w:after="20" w:line="240"/>
            </w:pPr>
            <w:r>
              <w:rPr>
                <w:rFonts w:ascii="Courier New" w:cs="Courier New" w:eastAsia="Courier New" w:hAnsi="Courier New"/>
                <w:sz w:val="17"/>
                <w:szCs w:val="17"/>
              </w:rPr>
              <w:t xml:space="preserve">  decision = URGENCE_HUMAINE.</w:t>
            </w:r>
          </w:p>
          <w:p>
            <w:pPr>
              <w:spacing w:after="20" w:line="240"/>
            </w:pPr>
            <w:r>
              <w:rPr>
                <w:rFonts w:ascii="Courier New" w:cs="Courier New" w:eastAsia="Courier New" w:hAnsi="Courier New"/>
                <w:sz w:val="17"/>
                <w:szCs w:val="17"/>
              </w:rPr>
              <w:t xml:space="preserve"/>
            </w:r>
          </w:p>
          <w:p>
            <w:pPr>
              <w:spacing w:after="20" w:line="240"/>
            </w:pPr>
            <w:r>
              <w:rPr>
                <w:rFonts w:ascii="Courier New" w:cs="Courier New" w:eastAsia="Courier New" w:hAnsi="Courier New"/>
                <w:sz w:val="17"/>
                <w:szCs w:val="17"/>
              </w:rPr>
              <w:t xml:space="preserve">STYLE</w:t>
            </w:r>
          </w:p>
          <w:p>
            <w:pPr>
              <w:spacing w:after="20" w:line="240"/>
            </w:pPr>
            <w:r>
              <w:rPr>
                <w:rFonts w:ascii="Courier New" w:cs="Courier New" w:eastAsia="Courier New" w:hAnsi="Courier New"/>
                <w:sz w:val="17"/>
                <w:szCs w:val="17"/>
              </w:rPr>
              <w:t xml:space="preserve">- Langue de réponse : {langue}. Phrases courtes, mots simples.</w:t>
            </w:r>
          </w:p>
          <w:p>
            <w:pPr>
              <w:spacing w:after="20" w:line="240"/>
            </w:pPr>
            <w:r>
              <w:rPr>
                <w:rFonts w:ascii="Courier New" w:cs="Courier New" w:eastAsia="Courier New" w:hAnsi="Courier New"/>
                <w:sz w:val="17"/>
                <w:szCs w:val="17"/>
              </w:rPr>
              <w:t xml:space="preserve">- 300 caractères maximum. Pas de terme médical sans explication.</w:t>
            </w:r>
          </w:p>
          <w:p>
            <w:pPr>
              <w:spacing w:after="20" w:line="240"/>
            </w:pPr>
            <w:r>
              <w:rPr>
                <w:rFonts w:ascii="Courier New" w:cs="Courier New" w:eastAsia="Courier New" w:hAnsi="Courier New"/>
                <w:sz w:val="17"/>
                <w:szCs w:val="17"/>
              </w:rPr>
              <w:t xml:space="preserve">- Termine par la structure de soins de la femme : {nom_structure}.</w:t>
            </w:r>
          </w:p>
          <w:p>
            <w:pPr>
              <w:spacing w:after="20" w:line="240"/>
            </w:pPr>
            <w:r>
              <w:rPr>
                <w:rFonts w:ascii="Courier New" w:cs="Courier New" w:eastAsia="Courier New" w:hAnsi="Courier New"/>
                <w:sz w:val="17"/>
                <w:szCs w:val="17"/>
              </w:rPr>
              <w:t xml:space="preserve"/>
            </w:r>
          </w:p>
          <w:p>
            <w:pPr>
              <w:spacing w:after="20" w:line="240"/>
            </w:pPr>
            <w:r>
              <w:rPr>
                <w:rFonts w:ascii="Courier New" w:cs="Courier New" w:eastAsia="Courier New" w:hAnsi="Courier New"/>
                <w:sz w:val="17"/>
                <w:szCs w:val="17"/>
              </w:rPr>
              <w:t xml:space="preserve">CONTEXTE (pseudonymisé)</w:t>
            </w:r>
          </w:p>
          <w:p>
            <w:pPr>
              <w:spacing w:after="20" w:line="240"/>
            </w:pPr>
            <w:r>
              <w:rPr>
                <w:rFonts w:ascii="Courier New" w:cs="Courier New" w:eastAsia="Courier New" w:hAnsi="Courier New"/>
                <w:sz w:val="17"/>
                <w:szCs w:val="17"/>
              </w:rPr>
              <w:t xml:space="preserve">- Semaines de grossesse : {semaines}</w:t>
            </w:r>
          </w:p>
          <w:p>
            <w:pPr>
              <w:spacing w:after="20" w:line="240"/>
            </w:pPr>
            <w:r>
              <w:rPr>
                <w:rFonts w:ascii="Courier New" w:cs="Courier New" w:eastAsia="Courier New" w:hAnsi="Courier New"/>
                <w:sz w:val="17"/>
                <w:szCs w:val="17"/>
              </w:rPr>
              <w:t xml:space="preserve">- Consultations prénatales faites : {nb_cpn}</w:t>
            </w:r>
          </w:p>
          <w:p>
            <w:pPr>
              <w:spacing w:after="20" w:line="240"/>
            </w:pPr>
            <w:r>
              <w:rPr>
                <w:rFonts w:ascii="Courier New" w:cs="Courier New" w:eastAsia="Courier New" w:hAnsi="Courier New"/>
                <w:sz w:val="17"/>
                <w:szCs w:val="17"/>
              </w:rPr>
              <w:t xml:space="preserve">- Drapeaux de risque validés : {drapeaux}</w:t>
            </w:r>
          </w:p>
          <w:p>
            <w:pPr>
              <w:spacing w:after="20" w:line="240"/>
            </w:pPr>
            <w:r>
              <w:rPr>
                <w:rFonts w:ascii="Courier New" w:cs="Courier New" w:eastAsia="Courier New" w:hAnsi="Courier New"/>
                <w:sz w:val="17"/>
                <w:szCs w:val="17"/>
              </w:rPr>
              <w:t xml:space="preserve"/>
            </w:r>
          </w:p>
          <w:p>
            <w:pPr>
              <w:spacing w:after="20" w:line="240"/>
            </w:pPr>
            <w:r>
              <w:rPr>
                <w:rFonts w:ascii="Courier New" w:cs="Courier New" w:eastAsia="Courier New" w:hAnsi="Courier New"/>
                <w:sz w:val="17"/>
                <w:szCs w:val="17"/>
              </w:rPr>
              <w:t xml:space="preserve">PASSAGES VALIDES</w:t>
            </w:r>
          </w:p>
          <w:p>
            <w:pPr>
              <w:spacing w:after="20" w:line="240"/>
            </w:pPr>
            <w:r>
              <w:rPr>
                <w:rFonts w:ascii="Courier New" w:cs="Courier New" w:eastAsia="Courier New" w:hAnsi="Courier New"/>
                <w:sz w:val="17"/>
                <w:szCs w:val="17"/>
              </w:rPr>
              <w:t xml:space="preserve">{passages_avec_identifiants}</w:t>
            </w:r>
          </w:p>
          <w:p>
            <w:pPr>
              <w:spacing w:after="20" w:line="240"/>
            </w:pPr>
            <w:r>
              <w:rPr>
                <w:rFonts w:ascii="Courier New" w:cs="Courier New" w:eastAsia="Courier New" w:hAnsi="Courier New"/>
                <w:sz w:val="17"/>
                <w:szCs w:val="17"/>
              </w:rPr>
              <w:t xml:space="preserve"/>
            </w:r>
          </w:p>
          <w:p>
            <w:pPr>
              <w:spacing w:after="20" w:line="240"/>
            </w:pPr>
            <w:r>
              <w:rPr>
                <w:rFonts w:ascii="Courier New" w:cs="Courier New" w:eastAsia="Courier New" w:hAnsi="Courier New"/>
                <w:sz w:val="17"/>
                <w:szCs w:val="17"/>
              </w:rPr>
              <w:t xml:space="preserve">FORMAT DE SORTIE (JSON strict, rien d'autre)</w:t>
            </w:r>
          </w:p>
          <w:p>
            <w:pPr>
              <w:spacing w:after="20" w:line="240"/>
            </w:pPr>
            <w:r>
              <w:rPr>
                <w:rFonts w:ascii="Courier New" w:cs="Courier New" w:eastAsia="Courier New" w:hAnsi="Courier New"/>
                <w:sz w:val="17"/>
                <w:szCs w:val="17"/>
              </w:rPr>
              <w:t xml:space="preserve">{"decision": "REPONDRE|ORIENTER|URGENCE_HUMAINE",</w:t>
            </w:r>
          </w:p>
          <w:p>
            <w:pPr>
              <w:spacing w:after="20" w:line="240"/>
            </w:pPr>
            <w:r>
              <w:rPr>
                <w:rFonts w:ascii="Courier New" w:cs="Courier New" w:eastAsia="Courier New" w:hAnsi="Courier New"/>
                <w:sz w:val="17"/>
                <w:szCs w:val="17"/>
              </w:rPr>
              <w:t xml:space="preserve"> "message": "...", "passages_utilises": ["id1"], "langue": "mg|fr"}</w:t>
            </w:r>
          </w:p>
        </w:tc>
      </w:tr>
    </w:tbl>
    <w:p>
      <w:pPr>
        <w:spacing w:after="130"/>
      </w:pPr>
    </w:p>
    <w:p>
      <w:pPr>
        <w:spacing w:after="130" w:line="288"/>
      </w:pPr>
      <w:r>
        <w:t xml:space="preserve">Exemple fictif de fonctionnement, avec un contenu qui sera remplacé par des fiches réellement validées. Question reçue : « Puis-je manger des brèdes tous les jours ? ». Le système retrouve la fiche « alimentation, légumes verts » et le modèle renvoie une décision REPONDRE avec un message court tiré de cette fiche et le nom du CSB. Si la question avait été « J'ai des saignements depuis ce matin », le moteur de règles aurait répondu avant tout modèle par le message d'urgence prédéfini.</w:t>
      </w:r>
    </w:p>
    <w:p>
      <w:pPr>
        <w:pStyle w:val="Heading2"/>
        <w:keepNext/>
      </w:pPr>
      <w:r>
        <w:t xml:space="preserve">Les phases de l'IA</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1300"/>
        <w:gridCol w:w="4000"/>
        <w:gridCol w:w="2000"/>
        <w:gridCol w:w="2106"/>
      </w:tblGrid>
      <w:tr>
        <w:trPr>
          <w:cantSplit/>
          <w:tblHeader/>
        </w:trPr>
        <w:tc>
          <w:tcPr>
            <w:tcW w:type="dxa" w:w="1300"/>
            <w:tcBorders>
              <w:top w:val="single" w:color="E6CFCF" w:sz="4"/>
              <w:left w:val="single" w:color="E6CFCF" w:sz="4"/>
              <w:bottom w:val="single" w:color="E6CFCF" w:sz="4"/>
              <w:right w:val="single" w:color="E6CFCF" w:sz="4"/>
            </w:tcBorders>
            <w:shd w:fill="FBEBEB" w:color="auto" w:val="clear"/>
            <w:tcMar>
              <w:top w:type="dxa" w:w="60"/>
              <w:left w:type="dxa" w:w="80"/>
              <w:bottom w:type="dxa" w:w="60"/>
              <w:right w:type="dxa" w:w="80"/>
            </w:tcMar>
          </w:tcPr>
          <w:p>
            <w:pPr>
              <w:spacing w:after="0"/>
            </w:pPr>
            <w:r>
              <w:rPr>
                <w:b/>
                <w:bCs/>
                <w:color w:val="D85C5C"/>
                <w:sz w:val="18"/>
                <w:szCs w:val="18"/>
              </w:rPr>
              <w:t xml:space="preserve">Phase</w:t>
            </w:r>
          </w:p>
        </w:tc>
        <w:tc>
          <w:tcPr>
            <w:tcW w:type="dxa" w:w="4000"/>
            <w:tcBorders>
              <w:top w:val="single" w:color="E6CFCF" w:sz="4"/>
              <w:left w:val="single" w:color="E6CFCF" w:sz="4"/>
              <w:bottom w:val="single" w:color="E6CFCF" w:sz="4"/>
              <w:right w:val="single" w:color="E6CFCF" w:sz="4"/>
            </w:tcBorders>
            <w:shd w:fill="FBEBEB" w:color="auto" w:val="clear"/>
            <w:tcMar>
              <w:top w:type="dxa" w:w="60"/>
              <w:left w:type="dxa" w:w="80"/>
              <w:bottom w:type="dxa" w:w="60"/>
              <w:right w:type="dxa" w:w="80"/>
            </w:tcMar>
          </w:tcPr>
          <w:p>
            <w:pPr>
              <w:spacing w:after="0"/>
            </w:pPr>
            <w:r>
              <w:rPr>
                <w:b/>
                <w:bCs/>
                <w:color w:val="D85C5C"/>
                <w:sz w:val="18"/>
                <w:szCs w:val="18"/>
              </w:rPr>
              <w:t xml:space="preserve">Contenu</w:t>
            </w:r>
          </w:p>
        </w:tc>
        <w:tc>
          <w:tcPr>
            <w:tcW w:type="dxa" w:w="2000"/>
            <w:tcBorders>
              <w:top w:val="single" w:color="E6CFCF" w:sz="4"/>
              <w:left w:val="single" w:color="E6CFCF" w:sz="4"/>
              <w:bottom w:val="single" w:color="E6CFCF" w:sz="4"/>
              <w:right w:val="single" w:color="E6CFCF" w:sz="4"/>
            </w:tcBorders>
            <w:shd w:fill="FBEBEB" w:color="auto" w:val="clear"/>
            <w:tcMar>
              <w:top w:type="dxa" w:w="60"/>
              <w:left w:type="dxa" w:w="80"/>
              <w:bottom w:type="dxa" w:w="60"/>
              <w:right w:type="dxa" w:w="80"/>
            </w:tcMar>
          </w:tcPr>
          <w:p>
            <w:pPr>
              <w:spacing w:after="0"/>
            </w:pPr>
            <w:r>
              <w:rPr>
                <w:b/>
                <w:bCs/>
                <w:color w:val="D85C5C"/>
                <w:sz w:val="18"/>
                <w:szCs w:val="18"/>
              </w:rPr>
              <w:t xml:space="preserve">Niveau de risque</w:t>
            </w:r>
          </w:p>
        </w:tc>
        <w:tc>
          <w:tcPr>
            <w:tcW w:type="dxa" w:w="2106"/>
            <w:tcBorders>
              <w:top w:val="single" w:color="E6CFCF" w:sz="4"/>
              <w:left w:val="single" w:color="E6CFCF" w:sz="4"/>
              <w:bottom w:val="single" w:color="E6CFCF" w:sz="4"/>
              <w:right w:val="single" w:color="E6CFCF" w:sz="4"/>
            </w:tcBorders>
            <w:shd w:fill="FBEBEB" w:color="auto" w:val="clear"/>
            <w:tcMar>
              <w:top w:type="dxa" w:w="60"/>
              <w:left w:type="dxa" w:w="80"/>
              <w:bottom w:type="dxa" w:w="60"/>
              <w:right w:type="dxa" w:w="80"/>
            </w:tcMar>
          </w:tcPr>
          <w:p>
            <w:pPr>
              <w:spacing w:after="0"/>
            </w:pPr>
            <w:r>
              <w:rPr>
                <w:b/>
                <w:bCs/>
                <w:color w:val="D85C5C"/>
                <w:sz w:val="18"/>
                <w:szCs w:val="18"/>
              </w:rPr>
              <w:t xml:space="preserve">Condition d'entrée</w:t>
            </w:r>
          </w:p>
        </w:tc>
      </w:tr>
      <w:tr>
        <w:trPr>
          <w:cantSplit/>
        </w:trPr>
        <w:tc>
          <w:tcPr>
            <w:tcW w:type="dxa" w:w="13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IA-0</w:t>
            </w:r>
          </w:p>
        </w:tc>
        <w:tc>
          <w:tcPr>
            <w:tcW w:type="dxa" w:w="40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Aucun modèle de langage. Messages validés et règles de sécurité, helpdesk humain.</w:t>
            </w:r>
          </w:p>
        </w:tc>
        <w:tc>
          <w:tcPr>
            <w:tcW w:type="dxa" w:w="20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Faible</w:t>
            </w:r>
          </w:p>
        </w:tc>
        <w:tc>
          <w:tcPr>
            <w:tcW w:type="dxa" w:w="21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Étape 1</w:t>
            </w:r>
          </w:p>
        </w:tc>
      </w:tr>
      <w:tr>
        <w:trPr>
          <w:cantSplit/>
        </w:trPr>
        <w:tc>
          <w:tcPr>
            <w:tcW w:type="dxa" w:w="13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IA-1</w:t>
            </w:r>
          </w:p>
        </w:tc>
        <w:tc>
          <w:tcPr>
            <w:tcW w:type="dxa" w:w="40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Classification des messages entrants et réponse par le message validé le plus proche, sans génération.</w:t>
            </w:r>
          </w:p>
        </w:tc>
        <w:tc>
          <w:tcPr>
            <w:tcW w:type="dxa" w:w="20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Faible à modéré</w:t>
            </w:r>
          </w:p>
        </w:tc>
        <w:tc>
          <w:tcPr>
            <w:tcW w:type="dxa" w:w="21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Jeu de test constitué, précision de la classification vérifiée</w:t>
            </w:r>
          </w:p>
        </w:tc>
      </w:tr>
      <w:tr>
        <w:trPr>
          <w:cantSplit/>
        </w:trPr>
        <w:tc>
          <w:tcPr>
            <w:tcW w:type="dxa" w:w="13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IA-2</w:t>
            </w:r>
          </w:p>
        </w:tc>
        <w:tc>
          <w:tcPr>
            <w:tcW w:type="dxa" w:w="40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Génération contrainte par les passages retrouvés, avec échantillon relu par des humains.</w:t>
            </w:r>
          </w:p>
        </w:tc>
        <w:tc>
          <w:tcPr>
            <w:tcW w:type="dxa" w:w="20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Modéré à élevé</w:t>
            </w:r>
          </w:p>
        </w:tc>
        <w:tc>
          <w:tcPr>
            <w:tcW w:type="dxa" w:w="21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Évaluation par des soignants et des locuteurs, fausses réassurances nulles sur le jeu de test</w:t>
            </w:r>
          </w:p>
        </w:tc>
      </w:tr>
      <w:tr>
        <w:trPr>
          <w:cantSplit/>
        </w:trPr>
        <w:tc>
          <w:tcPr>
            <w:tcW w:type="dxa" w:w="13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IA-3</w:t>
            </w:r>
          </w:p>
        </w:tc>
        <w:tc>
          <w:tcPr>
            <w:tcW w:type="dxa" w:w="40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Assistant pour agents fondé sur les protocoles nationaux, avec humain dans la boucle.</w:t>
            </w:r>
          </w:p>
        </w:tc>
        <w:tc>
          <w:tcPr>
            <w:tcW w:type="dxa" w:w="20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Élevé</w:t>
            </w:r>
          </w:p>
        </w:tc>
        <w:tc>
          <w:tcPr>
            <w:tcW w:type="dxa" w:w="21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Protocoles numérisés et validés</w:t>
            </w:r>
          </w:p>
        </w:tc>
      </w:tr>
      <w:tr>
        <w:trPr>
          <w:cantSplit/>
        </w:trPr>
        <w:tc>
          <w:tcPr>
            <w:tcW w:type="dxa" w:w="13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IA-4</w:t>
            </w:r>
          </w:p>
        </w:tc>
        <w:tc>
          <w:tcPr>
            <w:tcW w:type="dxa" w:w="40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Analyse de tendances sur données agrégées (section 14).</w:t>
            </w:r>
          </w:p>
        </w:tc>
        <w:tc>
          <w:tcPr>
            <w:tcW w:type="dxa" w:w="20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Modéré</w:t>
            </w:r>
          </w:p>
        </w:tc>
        <w:tc>
          <w:tcPr>
            <w:tcW w:type="dxa" w:w="21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Historique suffisant, revue humaine</w:t>
            </w:r>
          </w:p>
        </w:tc>
      </w:tr>
    </w:tbl>
    <w:p>
      <w:pPr>
        <w:spacing w:after="130"/>
      </w:pPr>
    </w:p>
    <w:p>
      <w:pPr>
        <w:pStyle w:val="Heading2"/>
        <w:keepNext/>
      </w:pPr>
      <w:r>
        <w:t xml:space="preserve">Choix du modèle et protection des données</w:t>
      </w:r>
    </w:p>
    <w:p>
      <w:pPr>
        <w:spacing w:after="130" w:line="288"/>
      </w:pPr>
      <w:r>
        <w:t xml:space="preserve">Deux voies sont évaluées sur le même jeu de test : un modèle accessible par API, auquel on n'envoie que du texte pseudonymisé, et un modèle open-weight hébergé par Maternal AI ou en local. Les critères sont la qualité en malgache et en français, la sécurité des réponses, la latence, le coût par échange et la conformité aux règles de transfert de données. Les modèles généralistes étant moins fiables en malgache, le démarrage repose sur des messages traduits et validés par des humains, et la génération libre en malgache n'est envisagée qu'après évaluation.</w:t>
      </w:r>
    </w:p>
    <w:p>
      <w:pPr>
        <w:pStyle w:val="Heading2"/>
        <w:keepNext/>
      </w:pPr>
      <w:r>
        <w:t xml:space="preserve">Évaluation et suivi</w:t>
      </w:r>
    </w:p>
    <w:p>
      <w:pPr>
        <w:spacing w:after="130" w:line="288"/>
      </w:pPr>
      <w:r>
        <w:t xml:space="preserve">Un jeu de test est constitué à partir des vraies questions collectées par le helpdesk humain pendant l'étape 1, complété par des cas de danger écrits avec le comité médical. Les indicateurs suivis sont la précision de la classification, le taux d'orientation correcte, le taux de fausses réassurances (une femme en danger reçoit une réponse rassurante), le taux de repli vers un humain, la latence, le coût par échange et la satisfaction. Aucune phase ne passe en production si le taux de fausses réassurances n'est pas nul sur les cas de danger du jeu de test. Un exercice d'attaque (questions pièges, formulations ambiguës, mélange de langues) est mené avant chaque changement de phase, et une procédure d'incident est prévue : retrait immédiat de la fonction, analyse, correction, nouveau test.</w:t>
      </w:r>
    </w:p>
    <w:p>
      <w:pPr>
        <w:pStyle w:val="Heading1"/>
        <w:keepNext/>
      </w:pPr>
      <w:r>
        <w:t xml:space="preserve">9. Contraintes à respecter</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606"/>
      </w:tblGrid>
      <w:tr>
        <w:trPr>
          <w:cantSplit/>
          <w:tblHeader/>
        </w:trPr>
        <w:tc>
          <w:tcPr>
            <w:tcW w:type="dxa" w:w="1900"/>
            <w:tcBorders>
              <w:top w:val="single" w:color="E6CFCF" w:sz="4"/>
              <w:left w:val="single" w:color="E6CFCF" w:sz="4"/>
              <w:bottom w:val="single" w:color="E6CFCF" w:sz="4"/>
              <w:right w:val="single" w:color="E6CFCF" w:sz="4"/>
            </w:tcBorders>
            <w:shd w:fill="FBEBEB" w:color="auto" w:val="clear"/>
            <w:tcMar>
              <w:top w:type="dxa" w:w="60"/>
              <w:left w:type="dxa" w:w="80"/>
              <w:bottom w:type="dxa" w:w="60"/>
              <w:right w:type="dxa" w:w="80"/>
            </w:tcMar>
          </w:tcPr>
          <w:p>
            <w:pPr>
              <w:spacing w:after="0"/>
            </w:pPr>
            <w:r>
              <w:rPr>
                <w:b/>
                <w:bCs/>
                <w:color w:val="D85C5C"/>
                <w:sz w:val="18"/>
                <w:szCs w:val="18"/>
              </w:rPr>
              <w:t xml:space="preserve">Contrainte</w:t>
            </w:r>
          </w:p>
        </w:tc>
        <w:tc>
          <w:tcPr>
            <w:tcW w:type="dxa" w:w="3900"/>
            <w:tcBorders>
              <w:top w:val="single" w:color="E6CFCF" w:sz="4"/>
              <w:left w:val="single" w:color="E6CFCF" w:sz="4"/>
              <w:bottom w:val="single" w:color="E6CFCF" w:sz="4"/>
              <w:right w:val="single" w:color="E6CFCF" w:sz="4"/>
            </w:tcBorders>
            <w:shd w:fill="FBEBEB" w:color="auto" w:val="clear"/>
            <w:tcMar>
              <w:top w:type="dxa" w:w="60"/>
              <w:left w:type="dxa" w:w="80"/>
              <w:bottom w:type="dxa" w:w="60"/>
              <w:right w:type="dxa" w:w="80"/>
            </w:tcMar>
          </w:tcPr>
          <w:p>
            <w:pPr>
              <w:spacing w:after="0"/>
            </w:pPr>
            <w:r>
              <w:rPr>
                <w:b/>
                <w:bCs/>
                <w:color w:val="D85C5C"/>
                <w:sz w:val="18"/>
                <w:szCs w:val="18"/>
              </w:rPr>
              <w:t xml:space="preserve">Exigence</w:t>
            </w:r>
          </w:p>
        </w:tc>
        <w:tc>
          <w:tcPr>
            <w:tcW w:type="dxa" w:w="3606"/>
            <w:tcBorders>
              <w:top w:val="single" w:color="E6CFCF" w:sz="4"/>
              <w:left w:val="single" w:color="E6CFCF" w:sz="4"/>
              <w:bottom w:val="single" w:color="E6CFCF" w:sz="4"/>
              <w:right w:val="single" w:color="E6CFCF" w:sz="4"/>
            </w:tcBorders>
            <w:shd w:fill="FBEBEB" w:color="auto" w:val="clear"/>
            <w:tcMar>
              <w:top w:type="dxa" w:w="60"/>
              <w:left w:type="dxa" w:w="80"/>
              <w:bottom w:type="dxa" w:w="60"/>
              <w:right w:type="dxa" w:w="80"/>
            </w:tcMar>
          </w:tcPr>
          <w:p>
            <w:pPr>
              <w:spacing w:after="0"/>
            </w:pPr>
            <w:r>
              <w:rPr>
                <w:b/>
                <w:bCs/>
                <w:color w:val="D85C5C"/>
                <w:sz w:val="18"/>
                <w:szCs w:val="18"/>
              </w:rPr>
              <w:t xml:space="preserve">Conséquence sur la conception</w:t>
            </w:r>
          </w:p>
        </w:tc>
      </w:tr>
      <w:tr>
        <w:trPr>
          <w:cantSplit/>
        </w:trPr>
        <w:tc>
          <w:tcPr>
            <w:tcW w:type="dxa" w:w="1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Téléphones</w:t>
            </w:r>
          </w:p>
        </w:tc>
        <w:tc>
          <w:tcPr>
            <w:tcW w:type="dxa" w:w="3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L'application Android DHIS2 version 3.4 n'est plus compatible avec Android 5. La version 3.3 est la dernière pour Android 5 et ne reçoit plus que des correctifs de sécurité critiques.</w:t>
            </w:r>
          </w:p>
        </w:tc>
        <w:tc>
          <w:tcPr>
            <w:tcW w:type="dxa" w:w="36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Recenser les modèles et versions Android des structures avant l'étape 1. Prévoir un appareil Android 6 ou plus par CSB dans le kit.</w:t>
            </w:r>
          </w:p>
        </w:tc>
      </w:tr>
      <w:tr>
        <w:trPr>
          <w:cantSplit/>
        </w:trPr>
        <w:tc>
          <w:tcPr>
            <w:tcW w:type="dxa" w:w="1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Hors ligne</w:t>
            </w:r>
          </w:p>
        </w:tc>
        <w:tc>
          <w:tcPr>
            <w:tcW w:type="dxa" w:w="3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Le cache local du suivi individuel est limité par défaut à 500 inscriptions actives par utilisateur et à 1 000 événements. La réserve d'identifiants générés à l'avance est de 500 par défaut.</w:t>
            </w:r>
          </w:p>
        </w:tc>
        <w:tc>
          <w:tcPr>
            <w:tcW w:type="dxa" w:w="36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Ajuster ces valeurs dans les paramètres Android selon la taille des CSB et la durée entre deux synchronisations. Utiliser les listes de travail pour limiter les données téléchargées.</w:t>
            </w:r>
          </w:p>
        </w:tc>
      </w:tr>
      <w:tr>
        <w:trPr>
          <w:cantSplit/>
        </w:trPr>
        <w:tc>
          <w:tcPr>
            <w:tcW w:type="dxa" w:w="1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Électricité</w:t>
            </w:r>
          </w:p>
        </w:tc>
        <w:tc>
          <w:tcPr>
            <w:tcW w:type="dxa" w:w="3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Coupures fréquentes, électricité quasi absente dans certains sites.</w:t>
            </w:r>
          </w:p>
        </w:tc>
        <w:tc>
          <w:tcPr>
            <w:tcW w:type="dxa" w:w="36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Batterie externe ou chargeur solaire dans le kit. Synchronisation économe.</w:t>
            </w:r>
          </w:p>
        </w:tc>
      </w:tr>
      <w:tr>
        <w:trPr>
          <w:cantSplit/>
        </w:trPr>
        <w:tc>
          <w:tcPr>
            <w:tcW w:type="dxa" w:w="1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Réseau</w:t>
            </w:r>
          </w:p>
        </w:tc>
        <w:tc>
          <w:tcPr>
            <w:tcW w:type="dxa" w:w="3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Débit faible hors des chefs-lieux de région, environ un cinquième de la population connectée à Internet.</w:t>
            </w:r>
          </w:p>
        </w:tc>
        <w:tc>
          <w:tcPr>
            <w:tcW w:type="dxa" w:w="36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Aucune fonction vitale ne dépend d'Internet. Synchronisation différée. SMS et voix pour les femmes.</w:t>
            </w:r>
          </w:p>
        </w:tc>
      </w:tr>
      <w:tr>
        <w:trPr>
          <w:cantSplit/>
        </w:trPr>
        <w:tc>
          <w:tcPr>
            <w:tcW w:type="dxa" w:w="1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Interface</w:t>
            </w:r>
          </w:p>
        </w:tc>
        <w:tc>
          <w:tcPr>
            <w:tcW w:type="dxa" w:w="3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L'application Android DHIS2 se configure (sections, icônes, règles) mais son interface n'est pas entièrement personnalisable.</w:t>
            </w:r>
          </w:p>
        </w:tc>
        <w:tc>
          <w:tcPr>
            <w:tcW w:type="dxa" w:w="36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La charte graphique s'applique au carnet, aux messages et aux applications web sur mesure. Dans l'application Android, on agit par la configuration.</w:t>
            </w:r>
          </w:p>
        </w:tc>
      </w:tr>
      <w:tr>
        <w:trPr>
          <w:cantSplit/>
        </w:trPr>
        <w:tc>
          <w:tcPr>
            <w:tcW w:type="dxa" w:w="1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Compétences</w:t>
            </w:r>
          </w:p>
        </w:tc>
        <w:tc>
          <w:tcPr>
            <w:tcW w:type="dxa" w:w="3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La configuration avancée de DHIS2 Tracker demande une compétence rare localement.</w:t>
            </w:r>
          </w:p>
        </w:tc>
        <w:tc>
          <w:tcPr>
            <w:tcW w:type="dxa" w:w="36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Former l'équipe technique, s'appuyer sur la communauté DHIS2 et prévoir un appui externe ponctuel à l'étape 0.</w:t>
            </w:r>
          </w:p>
        </w:tc>
      </w:tr>
      <w:tr>
        <w:trPr>
          <w:cantSplit/>
        </w:trPr>
        <w:tc>
          <w:tcPr>
            <w:tcW w:type="dxa" w:w="1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Personnel de santé</w:t>
            </w:r>
          </w:p>
        </w:tc>
        <w:tc>
          <w:tcPr>
            <w:tcW w:type="dxa" w:w="3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Un seul agent qualifié tient souvent le CSB.</w:t>
            </w:r>
          </w:p>
        </w:tc>
        <w:tc>
          <w:tcPr>
            <w:tcW w:type="dxa" w:w="36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Formulaires courts, une seule saisie, rapport automatique. Formation d'une demi-journée sur place.</w:t>
            </w:r>
          </w:p>
        </w:tc>
      </w:tr>
      <w:tr>
        <w:trPr>
          <w:cantSplit/>
        </w:trPr>
        <w:tc>
          <w:tcPr>
            <w:tcW w:type="dxa" w:w="1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Langues et littératie</w:t>
            </w:r>
          </w:p>
        </w:tc>
        <w:tc>
          <w:tcPr>
            <w:tcW w:type="dxa" w:w="3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Malgache et français, variantes régionales, lecture limitée pour une partie des femmes.</w:t>
            </w:r>
          </w:p>
        </w:tc>
        <w:tc>
          <w:tcPr>
            <w:tcW w:type="dxa" w:w="36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Pictogrammes, messages courts, voix. Traduction et validation par des locuteurs et des soignants.</w:t>
            </w:r>
          </w:p>
        </w:tc>
      </w:tr>
      <w:tr>
        <w:trPr>
          <w:cantSplit/>
        </w:trPr>
        <w:tc>
          <w:tcPr>
            <w:tcW w:type="dxa" w:w="1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Cadre légal</w:t>
            </w:r>
          </w:p>
        </w:tc>
        <w:tc>
          <w:tcPr>
            <w:tcW w:type="dxa" w:w="3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Loi 2014-038 sur les données personnelles, formalités préalables, données de santé sensibles.</w:t>
            </w:r>
          </w:p>
        </w:tc>
        <w:tc>
          <w:tcPr>
            <w:tcW w:type="dxa" w:w="36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Revue juridique avant tout pilote. Consentement écrit. Hébergement documenté.</w:t>
            </w:r>
          </w:p>
        </w:tc>
      </w:tr>
      <w:tr>
        <w:trPr>
          <w:cantSplit/>
        </w:trPr>
        <w:tc>
          <w:tcPr>
            <w:tcW w:type="dxa" w:w="1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Institutions</w:t>
            </w:r>
          </w:p>
        </w:tc>
        <w:tc>
          <w:tcPr>
            <w:tcW w:type="dxa" w:w="3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Transition politique, décisions parfois lentes, accès à l'instance DHIS2 du ministère à négocier.</w:t>
            </w:r>
          </w:p>
        </w:tc>
        <w:tc>
          <w:tcPr>
            <w:tcW w:type="dxa" w:w="36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Instance Maternal AI de secours. Conventions écrites avec les directions techniques et les districts.</w:t>
            </w:r>
          </w:p>
        </w:tc>
      </w:tr>
      <w:tr>
        <w:trPr>
          <w:cantSplit/>
        </w:trPr>
        <w:tc>
          <w:tcPr>
            <w:tcW w:type="dxa" w:w="1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Budget et équipe</w:t>
            </w:r>
          </w:p>
        </w:tc>
        <w:tc>
          <w:tcPr>
            <w:tcW w:type="dxa" w:w="3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Équipe minimale, financement par étapes.</w:t>
            </w:r>
          </w:p>
        </w:tc>
        <w:tc>
          <w:tcPr>
            <w:tcW w:type="dxa" w:w="36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Priorité stricte aux fonctions de l'étape en cours. Aucun coût fixe lourd avant le premier contrat.</w:t>
            </w:r>
          </w:p>
        </w:tc>
      </w:tr>
    </w:tbl>
    <w:p>
      <w:pPr>
        <w:spacing w:after="130"/>
      </w:pPr>
    </w:p>
    <w:p>
      <w:pPr>
        <w:pStyle w:val="Heading1"/>
        <w:keepNext/>
      </w:pPr>
      <w:r>
        <w:t xml:space="preserve">10. Méthodes de prototypage, de développement et de test</w:t>
      </w:r>
    </w:p>
    <w:p>
      <w:pPr>
        <w:spacing w:after="130" w:line="288"/>
      </w:pPr>
      <w:r>
        <w:t xml:space="preserve">La méthode suit un principe simple : partir des tâches réelles, prototyper au plus bas coût, tester avec de vrais utilisateurs et ne garder que ce qui prouve son utilité. La méthode KORN, apprise par l'équipe, sert de cadre aux ateliers de découverte de l'étape 0. Ses étapes exactes sont à documenter par l'équipe en annexe de ce document. Elle est complétée par les méthodes suivantes.</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1600"/>
        <w:gridCol w:w="2006"/>
      </w:tblGrid>
      <w:tr>
        <w:trPr>
          <w:cantSplit/>
          <w:tblHeader/>
        </w:trPr>
        <w:tc>
          <w:tcPr>
            <w:tcW w:type="dxa" w:w="2300"/>
            <w:tcBorders>
              <w:top w:val="single" w:color="E6CFCF" w:sz="4"/>
              <w:left w:val="single" w:color="E6CFCF" w:sz="4"/>
              <w:bottom w:val="single" w:color="E6CFCF" w:sz="4"/>
              <w:right w:val="single" w:color="E6CFCF" w:sz="4"/>
            </w:tcBorders>
            <w:shd w:fill="FBEBEB" w:color="auto" w:val="clear"/>
            <w:tcMar>
              <w:top w:type="dxa" w:w="60"/>
              <w:left w:type="dxa" w:w="80"/>
              <w:bottom w:type="dxa" w:w="60"/>
              <w:right w:type="dxa" w:w="80"/>
            </w:tcMar>
          </w:tcPr>
          <w:p>
            <w:pPr>
              <w:spacing w:after="0"/>
            </w:pPr>
            <w:r>
              <w:rPr>
                <w:b/>
                <w:bCs/>
                <w:color w:val="D85C5C"/>
                <w:sz w:val="18"/>
                <w:szCs w:val="18"/>
              </w:rPr>
              <w:t xml:space="preserve">Méthode</w:t>
            </w:r>
          </w:p>
        </w:tc>
        <w:tc>
          <w:tcPr>
            <w:tcW w:type="dxa" w:w="3500"/>
            <w:tcBorders>
              <w:top w:val="single" w:color="E6CFCF" w:sz="4"/>
              <w:left w:val="single" w:color="E6CFCF" w:sz="4"/>
              <w:bottom w:val="single" w:color="E6CFCF" w:sz="4"/>
              <w:right w:val="single" w:color="E6CFCF" w:sz="4"/>
            </w:tcBorders>
            <w:shd w:fill="FBEBEB" w:color="auto" w:val="clear"/>
            <w:tcMar>
              <w:top w:type="dxa" w:w="60"/>
              <w:left w:type="dxa" w:w="80"/>
              <w:bottom w:type="dxa" w:w="60"/>
              <w:right w:type="dxa" w:w="80"/>
            </w:tcMar>
          </w:tcPr>
          <w:p>
            <w:pPr>
              <w:spacing w:after="0"/>
            </w:pPr>
            <w:r>
              <w:rPr>
                <w:b/>
                <w:bCs/>
                <w:color w:val="D85C5C"/>
                <w:sz w:val="18"/>
                <w:szCs w:val="18"/>
              </w:rPr>
              <w:t xml:space="preserve">Usage dans Maternal AI</w:t>
            </w:r>
          </w:p>
        </w:tc>
        <w:tc>
          <w:tcPr>
            <w:tcW w:type="dxa" w:w="1600"/>
            <w:tcBorders>
              <w:top w:val="single" w:color="E6CFCF" w:sz="4"/>
              <w:left w:val="single" w:color="E6CFCF" w:sz="4"/>
              <w:bottom w:val="single" w:color="E6CFCF" w:sz="4"/>
              <w:right w:val="single" w:color="E6CFCF" w:sz="4"/>
            </w:tcBorders>
            <w:shd w:fill="FBEBEB" w:color="auto" w:val="clear"/>
            <w:tcMar>
              <w:top w:type="dxa" w:w="60"/>
              <w:left w:type="dxa" w:w="80"/>
              <w:bottom w:type="dxa" w:w="60"/>
              <w:right w:type="dxa" w:w="80"/>
            </w:tcMar>
          </w:tcPr>
          <w:p>
            <w:pPr>
              <w:spacing w:after="0"/>
            </w:pPr>
            <w:r>
              <w:rPr>
                <w:b/>
                <w:bCs/>
                <w:color w:val="D85C5C"/>
                <w:sz w:val="18"/>
                <w:szCs w:val="18"/>
              </w:rPr>
              <w:t xml:space="preserve">Quand</w:t>
            </w:r>
          </w:p>
        </w:tc>
        <w:tc>
          <w:tcPr>
            <w:tcW w:type="dxa" w:w="2006"/>
            <w:tcBorders>
              <w:top w:val="single" w:color="E6CFCF" w:sz="4"/>
              <w:left w:val="single" w:color="E6CFCF" w:sz="4"/>
              <w:bottom w:val="single" w:color="E6CFCF" w:sz="4"/>
              <w:right w:val="single" w:color="E6CFCF" w:sz="4"/>
            </w:tcBorders>
            <w:shd w:fill="FBEBEB" w:color="auto" w:val="clear"/>
            <w:tcMar>
              <w:top w:type="dxa" w:w="60"/>
              <w:left w:type="dxa" w:w="80"/>
              <w:bottom w:type="dxa" w:w="60"/>
              <w:right w:type="dxa" w:w="80"/>
            </w:tcMar>
          </w:tcPr>
          <w:p>
            <w:pPr>
              <w:spacing w:after="0"/>
            </w:pPr>
            <w:r>
              <w:rPr>
                <w:b/>
                <w:bCs/>
                <w:color w:val="D85C5C"/>
                <w:sz w:val="18"/>
                <w:szCs w:val="18"/>
              </w:rPr>
              <w:t xml:space="preserve">Livrable</w:t>
            </w:r>
          </w:p>
        </w:tc>
      </w:tr>
      <w:tr>
        <w:trPr>
          <w:cantSplit/>
        </w:trPr>
        <w:tc>
          <w:tcPr>
            <w:tcW w:type="dxa" w:w="23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Immersion et observation</w:t>
            </w:r>
          </w:p>
        </w:tc>
        <w:tc>
          <w:tcPr>
            <w:tcW w:type="dxa" w:w="35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Suivre le travail réel dans trois CSB et deux cabinets : registres, carnet actuel, rapport mensuel, moments de perte de temps.</w:t>
            </w:r>
          </w:p>
        </w:tc>
        <w:tc>
          <w:tcPr>
            <w:tcW w:type="dxa" w:w="16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Étape 0</w:t>
            </w:r>
          </w:p>
        </w:tc>
        <w:tc>
          <w:tcPr>
            <w:tcW w:type="dxa" w:w="20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Carte des processus, problèmes prioritaires</w:t>
            </w:r>
          </w:p>
        </w:tc>
      </w:tr>
      <w:tr>
        <w:trPr>
          <w:cantSplit/>
        </w:trPr>
        <w:tc>
          <w:tcPr>
            <w:tcW w:type="dxa" w:w="23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Atelier KORN</w:t>
            </w:r>
          </w:p>
        </w:tc>
        <w:tc>
          <w:tcPr>
            <w:tcW w:type="dxa" w:w="35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Cadrer les besoins et hypothèses avec les agents, les responsables et les femmes.</w:t>
            </w:r>
          </w:p>
        </w:tc>
        <w:tc>
          <w:tcPr>
            <w:tcW w:type="dxa" w:w="16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Étape 0</w:t>
            </w:r>
          </w:p>
        </w:tc>
        <w:tc>
          <w:tcPr>
            <w:tcW w:type="dxa" w:w="20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Hypothèses classées et à tester</w:t>
            </w:r>
          </w:p>
        </w:tc>
      </w:tr>
      <w:tr>
        <w:trPr>
          <w:cantSplit/>
        </w:trPr>
        <w:tc>
          <w:tcPr>
            <w:tcW w:type="dxa" w:w="23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Cartographie des parcours et user story mapping</w:t>
            </w:r>
          </w:p>
        </w:tc>
        <w:tc>
          <w:tcPr>
            <w:tcW w:type="dxa" w:w="35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Décrire le parcours de la femme et celui de l'agent, découper les fonctions.</w:t>
            </w:r>
          </w:p>
        </w:tc>
        <w:tc>
          <w:tcPr>
            <w:tcW w:type="dxa" w:w="16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Étape 0</w:t>
            </w:r>
          </w:p>
        </w:tc>
        <w:tc>
          <w:tcPr>
            <w:tcW w:type="dxa" w:w="20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Parcours, backlog initial</w:t>
            </w:r>
          </w:p>
        </w:tc>
      </w:tr>
      <w:tr>
        <w:trPr>
          <w:cantSplit/>
        </w:trPr>
        <w:tc>
          <w:tcPr>
            <w:tcW w:type="dxa" w:w="23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Prototype papier du carnet</w:t>
            </w:r>
          </w:p>
        </w:tc>
        <w:tc>
          <w:tcPr>
            <w:tcW w:type="dxa" w:w="35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Tester la lisibilité, les pictogrammes et le plan d'accouchement avec dix femmes et cinq agents.</w:t>
            </w:r>
          </w:p>
        </w:tc>
        <w:tc>
          <w:tcPr>
            <w:tcW w:type="dxa" w:w="16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Étape 0</w:t>
            </w:r>
          </w:p>
        </w:tc>
        <w:tc>
          <w:tcPr>
            <w:tcW w:type="dxa" w:w="20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Maquette validée du carnet</w:t>
            </w:r>
          </w:p>
        </w:tc>
      </w:tr>
      <w:tr>
        <w:trPr>
          <w:cantSplit/>
        </w:trPr>
        <w:tc>
          <w:tcPr>
            <w:tcW w:type="dxa" w:w="23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Magicien d'Oz pour SMS et IA</w:t>
            </w:r>
          </w:p>
        </w:tc>
        <w:tc>
          <w:tcPr>
            <w:tcW w:type="dxa" w:w="35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Une sage-femme répond manuellement aux messages pendant les premières semaines, ce qui révèle les vraies questions avant toute automatisation.</w:t>
            </w:r>
          </w:p>
        </w:tc>
        <w:tc>
          <w:tcPr>
            <w:tcW w:type="dxa" w:w="16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Étape 1</w:t>
            </w:r>
          </w:p>
        </w:tc>
        <w:tc>
          <w:tcPr>
            <w:tcW w:type="dxa" w:w="20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Catalogue de questions, jeu de test IA</w:t>
            </w:r>
          </w:p>
        </w:tc>
      </w:tr>
      <w:tr>
        <w:trPr>
          <w:cantSplit/>
        </w:trPr>
        <w:tc>
          <w:tcPr>
            <w:tcW w:type="dxa" w:w="23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Configuration DHIS2 par itérations</w:t>
            </w:r>
          </w:p>
        </w:tc>
        <w:tc>
          <w:tcPr>
            <w:tcW w:type="dxa" w:w="35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Configurer le programme Tracker par sprints de deux semaines sur une instance de test, avec revue par les utilisateurs à chaque fin de sprint.</w:t>
            </w:r>
          </w:p>
        </w:tc>
        <w:tc>
          <w:tcPr>
            <w:tcW w:type="dxa" w:w="16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Étapes 0 à 2</w:t>
            </w:r>
          </w:p>
        </w:tc>
        <w:tc>
          <w:tcPr>
            <w:tcW w:type="dxa" w:w="20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Programme configuré, versions numérotées</w:t>
            </w:r>
          </w:p>
        </w:tc>
      </w:tr>
      <w:tr>
        <w:trPr>
          <w:cantSplit/>
        </w:trPr>
        <w:tc>
          <w:tcPr>
            <w:tcW w:type="dxa" w:w="23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Test d'utilisabilité rapide et itératif</w:t>
            </w:r>
          </w:p>
        </w:tc>
        <w:tc>
          <w:tcPr>
            <w:tcW w:type="dxa" w:w="35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Cinq agents par cycle, tâches chronométrées, correction entre chaque test, score d'utilisabilité.</w:t>
            </w:r>
          </w:p>
        </w:tc>
        <w:tc>
          <w:tcPr>
            <w:tcW w:type="dxa" w:w="16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Chaque sprint</w:t>
            </w:r>
          </w:p>
        </w:tc>
        <w:tc>
          <w:tcPr>
            <w:tcW w:type="dxa" w:w="20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Rapport d'observations, corrections</w:t>
            </w:r>
          </w:p>
        </w:tc>
      </w:tr>
      <w:tr>
        <w:trPr>
          <w:cantSplit/>
        </w:trPr>
        <w:tc>
          <w:tcPr>
            <w:tcW w:type="dxa" w:w="23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Cycles Plan-Do-Study-Act</w:t>
            </w:r>
          </w:p>
        </w:tc>
        <w:tc>
          <w:tcPr>
            <w:tcW w:type="dxa" w:w="35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Pilotes en boucles courtes : tester un changement, mesurer, ajuster.</w:t>
            </w:r>
          </w:p>
        </w:tc>
        <w:tc>
          <w:tcPr>
            <w:tcW w:type="dxa" w:w="16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Étapes 1 à 3</w:t>
            </w:r>
          </w:p>
        </w:tc>
        <w:tc>
          <w:tcPr>
            <w:tcW w:type="dxa" w:w="20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Journal des cycles</w:t>
            </w:r>
          </w:p>
        </w:tc>
      </w:tr>
      <w:tr>
        <w:trPr>
          <w:cantSplit/>
        </w:trPr>
        <w:tc>
          <w:tcPr>
            <w:tcW w:type="dxa" w:w="23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Contenus alignés sur les références OMS</w:t>
            </w:r>
          </w:p>
        </w:tc>
        <w:tc>
          <w:tcPr>
            <w:tcW w:type="dxa" w:w="35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Partir des références OMS de suivi prénatal et des paquets de métadonnées DHIS2 disponibles, à évaluer, pour ne pas concevoir les champs de zéro.</w:t>
            </w:r>
          </w:p>
        </w:tc>
        <w:tc>
          <w:tcPr>
            <w:tcW w:type="dxa" w:w="16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Étape 0</w:t>
            </w:r>
          </w:p>
        </w:tc>
        <w:tc>
          <w:tcPr>
            <w:tcW w:type="dxa" w:w="20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Dictionnaire de données validé</w:t>
            </w:r>
          </w:p>
        </w:tc>
      </w:tr>
      <w:tr>
        <w:trPr>
          <w:cantSplit/>
        </w:trPr>
        <w:tc>
          <w:tcPr>
            <w:tcW w:type="dxa" w:w="23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Construire, mesurer, apprendre</w:t>
            </w:r>
          </w:p>
        </w:tc>
        <w:tc>
          <w:tcPr>
            <w:tcW w:type="dxa" w:w="35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Chaque fonction a un critère de succès avant d'être développée.</w:t>
            </w:r>
          </w:p>
        </w:tc>
        <w:tc>
          <w:tcPr>
            <w:tcW w:type="dxa" w:w="16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Toujours</w:t>
            </w:r>
          </w:p>
        </w:tc>
        <w:tc>
          <w:tcPr>
            <w:tcW w:type="dxa" w:w="20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Backlog priorisé</w:t>
            </w:r>
          </w:p>
        </w:tc>
      </w:tr>
    </w:tbl>
    <w:p>
      <w:pPr>
        <w:spacing w:after="130"/>
      </w:pPr>
    </w:p>
    <w:p>
      <w:pPr>
        <w:pStyle w:val="Heading2"/>
        <w:keepNext/>
      </w:pPr>
      <w:r>
        <w:t xml:space="preserve">Cadence et pratiques</w:t>
      </w:r>
    </w:p>
    <w:p>
      <w:pPr>
        <w:spacing w:after="130" w:line="288"/>
      </w:pPr>
      <w:r>
        <w:t xml:space="preserve">Sprints de deux semaines avec démonstration aux utilisateurs à la fin de chaque sprint et rétrospective d'équipe. Une fonction est terminée quand elle satisfait son critère d'acceptation, a été testée hors ligne, est documentée et a été essayée par au moins deux utilisateurs réels. Trois environnements sont maintenus : développement, test avec données fictives, production.</w:t>
      </w:r>
    </w:p>
    <w:p>
      <w:pPr>
        <w:pStyle w:val="Heading2"/>
        <w:keepNext/>
      </w:pPr>
      <w:r>
        <w:t xml:space="preserve">Plan de test</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2300"/>
        <w:gridCol w:w="4100"/>
        <w:gridCol w:w="3006"/>
      </w:tblGrid>
      <w:tr>
        <w:trPr>
          <w:cantSplit/>
          <w:tblHeader/>
        </w:trPr>
        <w:tc>
          <w:tcPr>
            <w:tcW w:type="dxa" w:w="2300"/>
            <w:tcBorders>
              <w:top w:val="single" w:color="E6CFCF" w:sz="4"/>
              <w:left w:val="single" w:color="E6CFCF" w:sz="4"/>
              <w:bottom w:val="single" w:color="E6CFCF" w:sz="4"/>
              <w:right w:val="single" w:color="E6CFCF" w:sz="4"/>
            </w:tcBorders>
            <w:shd w:fill="FBEBEB" w:color="auto" w:val="clear"/>
            <w:tcMar>
              <w:top w:type="dxa" w:w="60"/>
              <w:left w:type="dxa" w:w="80"/>
              <w:bottom w:type="dxa" w:w="60"/>
              <w:right w:type="dxa" w:w="80"/>
            </w:tcMar>
          </w:tcPr>
          <w:p>
            <w:pPr>
              <w:spacing w:after="0"/>
            </w:pPr>
            <w:r>
              <w:rPr>
                <w:b/>
                <w:bCs/>
                <w:color w:val="D85C5C"/>
                <w:sz w:val="18"/>
                <w:szCs w:val="18"/>
              </w:rPr>
              <w:t xml:space="preserve">Type de test</w:t>
            </w:r>
          </w:p>
        </w:tc>
        <w:tc>
          <w:tcPr>
            <w:tcW w:type="dxa" w:w="4100"/>
            <w:tcBorders>
              <w:top w:val="single" w:color="E6CFCF" w:sz="4"/>
              <w:left w:val="single" w:color="E6CFCF" w:sz="4"/>
              <w:bottom w:val="single" w:color="E6CFCF" w:sz="4"/>
              <w:right w:val="single" w:color="E6CFCF" w:sz="4"/>
            </w:tcBorders>
            <w:shd w:fill="FBEBEB" w:color="auto" w:val="clear"/>
            <w:tcMar>
              <w:top w:type="dxa" w:w="60"/>
              <w:left w:type="dxa" w:w="80"/>
              <w:bottom w:type="dxa" w:w="60"/>
              <w:right w:type="dxa" w:w="80"/>
            </w:tcMar>
          </w:tcPr>
          <w:p>
            <w:pPr>
              <w:spacing w:after="0"/>
            </w:pPr>
            <w:r>
              <w:rPr>
                <w:b/>
                <w:bCs/>
                <w:color w:val="D85C5C"/>
                <w:sz w:val="18"/>
                <w:szCs w:val="18"/>
              </w:rPr>
              <w:t xml:space="preserve">Ce qu'on vérifie</w:t>
            </w:r>
          </w:p>
        </w:tc>
        <w:tc>
          <w:tcPr>
            <w:tcW w:type="dxa" w:w="3006"/>
            <w:tcBorders>
              <w:top w:val="single" w:color="E6CFCF" w:sz="4"/>
              <w:left w:val="single" w:color="E6CFCF" w:sz="4"/>
              <w:bottom w:val="single" w:color="E6CFCF" w:sz="4"/>
              <w:right w:val="single" w:color="E6CFCF" w:sz="4"/>
            </w:tcBorders>
            <w:shd w:fill="FBEBEB" w:color="auto" w:val="clear"/>
            <w:tcMar>
              <w:top w:type="dxa" w:w="60"/>
              <w:left w:type="dxa" w:w="80"/>
              <w:bottom w:type="dxa" w:w="60"/>
              <w:right w:type="dxa" w:w="80"/>
            </w:tcMar>
          </w:tcPr>
          <w:p>
            <w:pPr>
              <w:spacing w:after="0"/>
            </w:pPr>
            <w:r>
              <w:rPr>
                <w:b/>
                <w:bCs/>
                <w:color w:val="D85C5C"/>
                <w:sz w:val="18"/>
                <w:szCs w:val="18"/>
              </w:rPr>
              <w:t xml:space="preserve">Seuil ou méthode</w:t>
            </w:r>
          </w:p>
        </w:tc>
      </w:tr>
      <w:tr>
        <w:trPr>
          <w:cantSplit/>
        </w:trPr>
        <w:tc>
          <w:tcPr>
            <w:tcW w:type="dxa" w:w="23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Fonctionnel</w:t>
            </w:r>
          </w:p>
        </w:tc>
        <w:tc>
          <w:tcPr>
            <w:tcW w:type="dxa" w:w="41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Chaque fonction F01 à F17 selon son critère d'acceptation</w:t>
            </w:r>
          </w:p>
        </w:tc>
        <w:tc>
          <w:tcPr>
            <w:tcW w:type="dxa" w:w="30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Cas de test écrits, exécutés à chaque version</w:t>
            </w:r>
          </w:p>
        </w:tc>
      </w:tr>
      <w:tr>
        <w:trPr>
          <w:cantSplit/>
        </w:trPr>
        <w:tc>
          <w:tcPr>
            <w:tcW w:type="dxa" w:w="23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Hors ligne et synchronisation</w:t>
            </w:r>
          </w:p>
        </w:tc>
        <w:tc>
          <w:tcPr>
            <w:tcW w:type="dxa" w:w="41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Saisie sans réseau, coupures pendant la synchronisation, conflits, cache saturé</w:t>
            </w:r>
          </w:p>
        </w:tc>
        <w:tc>
          <w:tcPr>
            <w:tcW w:type="dxa" w:w="30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Scénarios sur téléphones bas de gamme, plusieurs jours sans réseau</w:t>
            </w:r>
          </w:p>
        </w:tc>
      </w:tr>
      <w:tr>
        <w:trPr>
          <w:cantSplit/>
        </w:trPr>
        <w:tc>
          <w:tcPr>
            <w:tcW w:type="dxa" w:w="23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Utilisabilité</w:t>
            </w:r>
          </w:p>
        </w:tc>
        <w:tc>
          <w:tcPr>
            <w:tcW w:type="dxa" w:w="41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Temps de création ou de recherche d'un dossier, saisie d'une CPN sans aide</w:t>
            </w:r>
          </w:p>
        </w:tc>
        <w:tc>
          <w:tcPr>
            <w:tcW w:type="dxa" w:w="30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Moins d'une minute pour retrouver ou créer un dossier</w:t>
            </w:r>
          </w:p>
        </w:tc>
      </w:tr>
      <w:tr>
        <w:trPr>
          <w:cantSplit/>
        </w:trPr>
        <w:tc>
          <w:tcPr>
            <w:tcW w:type="dxa" w:w="23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Qualité des données</w:t>
            </w:r>
          </w:p>
        </w:tc>
        <w:tc>
          <w:tcPr>
            <w:tcW w:type="dxa" w:w="41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Doublons, champs manquants, écarts avec les registres</w:t>
            </w:r>
          </w:p>
        </w:tc>
        <w:tc>
          <w:tcPr>
            <w:tcW w:type="dxa" w:w="30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Comparaison mensuelle avec un recomptage manuel</w:t>
            </w:r>
          </w:p>
        </w:tc>
      </w:tr>
      <w:tr>
        <w:trPr>
          <w:cantSplit/>
        </w:trPr>
        <w:tc>
          <w:tcPr>
            <w:tcW w:type="dxa" w:w="23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Sécurité</w:t>
            </w:r>
          </w:p>
        </w:tc>
        <w:tc>
          <w:tcPr>
            <w:tcW w:type="dxa" w:w="41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Droits par rôle, journal d'audit, chiffrement, restauration de sauvegarde</w:t>
            </w:r>
          </w:p>
        </w:tc>
        <w:tc>
          <w:tcPr>
            <w:tcW w:type="dxa" w:w="30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Revue de sécurité avant chaque pilote</w:t>
            </w:r>
          </w:p>
        </w:tc>
      </w:tr>
      <w:tr>
        <w:trPr>
          <w:cantSplit/>
        </w:trPr>
        <w:tc>
          <w:tcPr>
            <w:tcW w:type="dxa" w:w="23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Messagerie</w:t>
            </w:r>
          </w:p>
        </w:tc>
        <w:tc>
          <w:tcPr>
            <w:tcW w:type="dxa" w:w="41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Délivrance des SMS, respect du consentement et des plafonds</w:t>
            </w:r>
          </w:p>
        </w:tc>
        <w:tc>
          <w:tcPr>
            <w:tcW w:type="dxa" w:w="30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Rapport de délivrance par opérateur</w:t>
            </w:r>
          </w:p>
        </w:tc>
      </w:tr>
      <w:tr>
        <w:trPr>
          <w:cantSplit/>
        </w:trPr>
        <w:tc>
          <w:tcPr>
            <w:tcW w:type="dxa" w:w="23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IA</w:t>
            </w:r>
          </w:p>
        </w:tc>
        <w:tc>
          <w:tcPr>
            <w:tcW w:type="dxa" w:w="41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Précision, orientation correcte, fausses réassurances, repli vers l'humain</w:t>
            </w:r>
          </w:p>
        </w:tc>
        <w:tc>
          <w:tcPr>
            <w:tcW w:type="dxa" w:w="30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Jeu de test, exercice d'attaque, revue hebdomadaire</w:t>
            </w:r>
          </w:p>
        </w:tc>
      </w:tr>
    </w:tbl>
    <w:p>
      <w:pPr>
        <w:spacing w:after="130"/>
      </w:pPr>
    </w:p>
    <w:p>
      <w:pPr>
        <w:pStyle w:val="Heading1"/>
        <w:keepNext/>
      </w:pPr>
      <w:r>
        <w:t xml:space="preserve">11. Les chartes</w:t>
      </w:r>
    </w:p>
    <w:p>
      <w:pPr>
        <w:pStyle w:val="Heading2"/>
        <w:keepNext/>
      </w:pPr>
      <w:r>
        <w:t xml:space="preserve">Charte graphique et d'expérience utilisateur</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2300"/>
        <w:gridCol w:w="7106"/>
      </w:tblGrid>
      <w:tr>
        <w:trPr>
          <w:cantSplit/>
          <w:tblHeader/>
        </w:trPr>
        <w:tc>
          <w:tcPr>
            <w:tcW w:type="dxa" w:w="2300"/>
            <w:tcBorders>
              <w:top w:val="single" w:color="E6CFCF" w:sz="4"/>
              <w:left w:val="single" w:color="E6CFCF" w:sz="4"/>
              <w:bottom w:val="single" w:color="E6CFCF" w:sz="4"/>
              <w:right w:val="single" w:color="E6CFCF" w:sz="4"/>
            </w:tcBorders>
            <w:shd w:fill="FBEBEB" w:color="auto" w:val="clear"/>
            <w:tcMar>
              <w:top w:type="dxa" w:w="60"/>
              <w:left w:type="dxa" w:w="80"/>
              <w:bottom w:type="dxa" w:w="60"/>
              <w:right w:type="dxa" w:w="80"/>
            </w:tcMar>
          </w:tcPr>
          <w:p>
            <w:pPr>
              <w:spacing w:after="0"/>
            </w:pPr>
            <w:r>
              <w:rPr>
                <w:b/>
                <w:bCs/>
                <w:color w:val="D85C5C"/>
                <w:sz w:val="18"/>
                <w:szCs w:val="18"/>
              </w:rPr>
              <w:t xml:space="preserve">Sujet</w:t>
            </w:r>
          </w:p>
        </w:tc>
        <w:tc>
          <w:tcPr>
            <w:tcW w:type="dxa" w:w="7106"/>
            <w:tcBorders>
              <w:top w:val="single" w:color="E6CFCF" w:sz="4"/>
              <w:left w:val="single" w:color="E6CFCF" w:sz="4"/>
              <w:bottom w:val="single" w:color="E6CFCF" w:sz="4"/>
              <w:right w:val="single" w:color="E6CFCF" w:sz="4"/>
            </w:tcBorders>
            <w:shd w:fill="FBEBEB" w:color="auto" w:val="clear"/>
            <w:tcMar>
              <w:top w:type="dxa" w:w="60"/>
              <w:left w:type="dxa" w:w="80"/>
              <w:bottom w:type="dxa" w:w="60"/>
              <w:right w:type="dxa" w:w="80"/>
            </w:tcMar>
          </w:tcPr>
          <w:p>
            <w:pPr>
              <w:spacing w:after="0"/>
            </w:pPr>
            <w:r>
              <w:rPr>
                <w:b/>
                <w:bCs/>
                <w:color w:val="D85C5C"/>
                <w:sz w:val="18"/>
                <w:szCs w:val="18"/>
              </w:rPr>
              <w:t xml:space="preserve">Règle</w:t>
            </w:r>
          </w:p>
        </w:tc>
      </w:tr>
      <w:tr>
        <w:trPr>
          <w:cantSplit/>
        </w:trPr>
        <w:tc>
          <w:tcPr>
            <w:tcW w:type="dxa" w:w="23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Identité</w:t>
            </w:r>
          </w:p>
        </w:tc>
        <w:tc>
          <w:tcPr>
            <w:tcW w:type="dxa" w:w="71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Couleur principale corail du logo (D85C5C), texte gris foncé (2B2B2B), fond clair rosé (FBEBEB). Le corail étant proche du rouge, une alerte ne se signale jamais par la couleur seule : icône, texte et emplacement l'accompagnent.</w:t>
            </w:r>
          </w:p>
        </w:tc>
      </w:tr>
      <w:tr>
        <w:trPr>
          <w:cantSplit/>
        </w:trPr>
        <w:tc>
          <w:tcPr>
            <w:tcW w:type="dxa" w:w="23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Typographie</w:t>
            </w:r>
          </w:p>
        </w:tc>
        <w:tc>
          <w:tcPr>
            <w:tcW w:type="dxa" w:w="71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Police simple et lisible, gérant les caractères du malgache. Taille minimale confortable pour l'écran et pour le carnet imprimé.</w:t>
            </w:r>
          </w:p>
        </w:tc>
      </w:tr>
      <w:tr>
        <w:trPr>
          <w:cantSplit/>
        </w:trPr>
        <w:tc>
          <w:tcPr>
            <w:tcW w:type="dxa" w:w="23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Écrans mobiles</w:t>
            </w:r>
          </w:p>
        </w:tc>
        <w:tc>
          <w:tcPr>
            <w:tcW w:type="dxa" w:w="71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Cinq actions maximum sur l'accueil : rechercher, nouveau dossier, nouvelle consultation, alertes, synchronisation. Boutons faciles à toucher, formulaires courts, pictogrammes pour les options.</w:t>
            </w:r>
          </w:p>
        </w:tc>
      </w:tr>
      <w:tr>
        <w:trPr>
          <w:cantSplit/>
        </w:trPr>
        <w:tc>
          <w:tcPr>
            <w:tcW w:type="dxa" w:w="23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Hors ligne</w:t>
            </w:r>
          </w:p>
        </w:tc>
        <w:tc>
          <w:tcPr>
            <w:tcW w:type="dxa" w:w="71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L'état de synchronisation est toujours visible. Aucune perte de saisie en cas de coupure.</w:t>
            </w:r>
          </w:p>
        </w:tc>
      </w:tr>
      <w:tr>
        <w:trPr>
          <w:cantSplit/>
        </w:trPr>
        <w:tc>
          <w:tcPr>
            <w:tcW w:type="dxa" w:w="23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Langue et ton</w:t>
            </w:r>
          </w:p>
        </w:tc>
        <w:tc>
          <w:tcPr>
            <w:tcW w:type="dxa" w:w="71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Malgache et français, phrases courtes, ton respectueux, sans jugement. Aucun jargon médical sans explication.</w:t>
            </w:r>
          </w:p>
        </w:tc>
      </w:tr>
      <w:tr>
        <w:trPr>
          <w:cantSplit/>
        </w:trPr>
        <w:tc>
          <w:tcPr>
            <w:tcW w:type="dxa" w:w="23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Carnet et messages</w:t>
            </w:r>
          </w:p>
        </w:tc>
        <w:tc>
          <w:tcPr>
            <w:tcW w:type="dxa" w:w="71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Mêmes couleurs et pictogrammes que le reste du dispositif. Pictogrammes testés avec les femmes avant impression.</w:t>
            </w:r>
          </w:p>
        </w:tc>
      </w:tr>
      <w:tr>
        <w:trPr>
          <w:cantSplit/>
        </w:trPr>
        <w:tc>
          <w:tcPr>
            <w:tcW w:type="dxa" w:w="23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Accessibilité</w:t>
            </w:r>
          </w:p>
        </w:tc>
        <w:tc>
          <w:tcPr>
            <w:tcW w:type="dxa" w:w="71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Contrastes suffisants, pas d'information portée par la seule couleur, tests avec des utilisateurs de vue ou de lecture limitées.</w:t>
            </w:r>
          </w:p>
        </w:tc>
      </w:tr>
    </w:tbl>
    <w:p>
      <w:pPr>
        <w:spacing w:after="130"/>
      </w:pPr>
    </w:p>
    <w:p>
      <w:pPr>
        <w:pStyle w:val="Heading2"/>
        <w:keepNext/>
      </w:pPr>
      <w:r>
        <w:t xml:space="preserve">Charte des données et de l'éthique</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2300"/>
        <w:gridCol w:w="7106"/>
      </w:tblGrid>
      <w:tr>
        <w:trPr>
          <w:cantSplit/>
          <w:tblHeader/>
        </w:trPr>
        <w:tc>
          <w:tcPr>
            <w:tcW w:type="dxa" w:w="2300"/>
            <w:tcBorders>
              <w:top w:val="single" w:color="E6CFCF" w:sz="4"/>
              <w:left w:val="single" w:color="E6CFCF" w:sz="4"/>
              <w:bottom w:val="single" w:color="E6CFCF" w:sz="4"/>
              <w:right w:val="single" w:color="E6CFCF" w:sz="4"/>
            </w:tcBorders>
            <w:shd w:fill="FBEBEB" w:color="auto" w:val="clear"/>
            <w:tcMar>
              <w:top w:type="dxa" w:w="60"/>
              <w:left w:type="dxa" w:w="80"/>
              <w:bottom w:type="dxa" w:w="60"/>
              <w:right w:type="dxa" w:w="80"/>
            </w:tcMar>
          </w:tcPr>
          <w:p>
            <w:pPr>
              <w:spacing w:after="0"/>
            </w:pPr>
            <w:r>
              <w:rPr>
                <w:b/>
                <w:bCs/>
                <w:color w:val="D85C5C"/>
                <w:sz w:val="18"/>
                <w:szCs w:val="18"/>
              </w:rPr>
              <w:t xml:space="preserve">Principe</w:t>
            </w:r>
          </w:p>
        </w:tc>
        <w:tc>
          <w:tcPr>
            <w:tcW w:type="dxa" w:w="7106"/>
            <w:tcBorders>
              <w:top w:val="single" w:color="E6CFCF" w:sz="4"/>
              <w:left w:val="single" w:color="E6CFCF" w:sz="4"/>
              <w:bottom w:val="single" w:color="E6CFCF" w:sz="4"/>
              <w:right w:val="single" w:color="E6CFCF" w:sz="4"/>
            </w:tcBorders>
            <w:shd w:fill="FBEBEB" w:color="auto" w:val="clear"/>
            <w:tcMar>
              <w:top w:type="dxa" w:w="60"/>
              <w:left w:type="dxa" w:w="80"/>
              <w:bottom w:type="dxa" w:w="60"/>
              <w:right w:type="dxa" w:w="80"/>
            </w:tcMar>
          </w:tcPr>
          <w:p>
            <w:pPr>
              <w:spacing w:after="0"/>
            </w:pPr>
            <w:r>
              <w:rPr>
                <w:b/>
                <w:bCs/>
                <w:color w:val="D85C5C"/>
                <w:sz w:val="18"/>
                <w:szCs w:val="18"/>
              </w:rPr>
              <w:t xml:space="preserve">Règle</w:t>
            </w:r>
          </w:p>
        </w:tc>
      </w:tr>
      <w:tr>
        <w:trPr>
          <w:cantSplit/>
        </w:trPr>
        <w:tc>
          <w:tcPr>
            <w:tcW w:type="dxa" w:w="23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Finalité et minimisation</w:t>
            </w:r>
          </w:p>
        </w:tc>
        <w:tc>
          <w:tcPr>
            <w:tcW w:type="dxa" w:w="71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Chaque donnée a une finalité documentée avant d'être collectée. On ne collecte que le nécessaire.</w:t>
            </w:r>
          </w:p>
        </w:tc>
      </w:tr>
      <w:tr>
        <w:trPr>
          <w:cantSplit/>
        </w:trPr>
        <w:tc>
          <w:tcPr>
            <w:tcW w:type="dxa" w:w="23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Consentement</w:t>
            </w:r>
          </w:p>
        </w:tc>
        <w:tc>
          <w:tcPr>
            <w:tcW w:type="dxa" w:w="71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Écrit, en langue comprise, séparé pour le suivi, pour les messages et pour le partage avec d'autres structures. Révocable.</w:t>
            </w:r>
          </w:p>
        </w:tc>
      </w:tr>
      <w:tr>
        <w:trPr>
          <w:cantSplit/>
        </w:trPr>
        <w:tc>
          <w:tcPr>
            <w:tcW w:type="dxa" w:w="23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Séparation</w:t>
            </w:r>
          </w:p>
        </w:tc>
        <w:tc>
          <w:tcPr>
            <w:tcW w:type="dxa" w:w="71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Les données d'identification sont séparées des jeux destinés à l'analyse.</w:t>
            </w:r>
          </w:p>
        </w:tc>
      </w:tr>
      <w:tr>
        <w:trPr>
          <w:cantSplit/>
        </w:trPr>
        <w:tc>
          <w:tcPr>
            <w:tcW w:type="dxa" w:w="23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Accès</w:t>
            </w:r>
          </w:p>
        </w:tc>
        <w:tc>
          <w:tcPr>
            <w:tcW w:type="dxa" w:w="71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Un utilisateur ne voit que ce qui correspond à son rôle et à sa structure. Tous les accès sensibles sont journalisés.</w:t>
            </w:r>
          </w:p>
        </w:tc>
      </w:tr>
      <w:tr>
        <w:trPr>
          <w:cantSplit/>
        </w:trPr>
        <w:tc>
          <w:tcPr>
            <w:tcW w:type="dxa" w:w="23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QR code</w:t>
            </w:r>
          </w:p>
        </w:tc>
        <w:tc>
          <w:tcPr>
            <w:tcW w:type="dxa" w:w="71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Identifiant opaque. Le scan seul n'ouvre aucun dossier.</w:t>
            </w:r>
          </w:p>
        </w:tc>
      </w:tr>
      <w:tr>
        <w:trPr>
          <w:cantSplit/>
        </w:trPr>
        <w:tc>
          <w:tcPr>
            <w:tcW w:type="dxa" w:w="23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Agrégation</w:t>
            </w:r>
          </w:p>
        </w:tc>
        <w:tc>
          <w:tcPr>
            <w:tcW w:type="dxa" w:w="71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Les services aux institutions reposent sur des agrégats. Les petits effectifs sont masqués selon un seuil défini avec le ministère.</w:t>
            </w:r>
          </w:p>
        </w:tc>
      </w:tr>
      <w:tr>
        <w:trPr>
          <w:cantSplit/>
        </w:trPr>
        <w:tc>
          <w:tcPr>
            <w:tcW w:type="dxa" w:w="23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Conservation et transfert</w:t>
            </w:r>
          </w:p>
        </w:tc>
        <w:tc>
          <w:tcPr>
            <w:tcW w:type="dxa" w:w="71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Durées de conservation définies. Flux vers un hébergeur ou un partenaire documentés et autorisés.</w:t>
            </w:r>
          </w:p>
        </w:tc>
      </w:tr>
      <w:tr>
        <w:trPr>
          <w:cantSplit/>
        </w:trPr>
        <w:tc>
          <w:tcPr>
            <w:tcW w:type="dxa" w:w="23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Incident</w:t>
            </w:r>
          </w:p>
        </w:tc>
        <w:tc>
          <w:tcPr>
            <w:tcW w:type="dxa" w:w="71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Procédure de gestion et de notification des incidents définie avec le référent juridique avant le pilote.</w:t>
            </w:r>
          </w:p>
        </w:tc>
      </w:tr>
    </w:tbl>
    <w:p>
      <w:pPr>
        <w:spacing w:after="130"/>
      </w:pPr>
    </w:p>
    <w:p>
      <w:pPr>
        <w:pStyle w:val="Heading2"/>
        <w:keepNext/>
      </w:pPr>
      <w:r>
        <w:t xml:space="preserve">Charte de l'IA</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2300"/>
        <w:gridCol w:w="7106"/>
      </w:tblGrid>
      <w:tr>
        <w:trPr>
          <w:cantSplit/>
          <w:tblHeader/>
        </w:trPr>
        <w:tc>
          <w:tcPr>
            <w:tcW w:type="dxa" w:w="2300"/>
            <w:tcBorders>
              <w:top w:val="single" w:color="E6CFCF" w:sz="4"/>
              <w:left w:val="single" w:color="E6CFCF" w:sz="4"/>
              <w:bottom w:val="single" w:color="E6CFCF" w:sz="4"/>
              <w:right w:val="single" w:color="E6CFCF" w:sz="4"/>
            </w:tcBorders>
            <w:shd w:fill="FBEBEB" w:color="auto" w:val="clear"/>
            <w:tcMar>
              <w:top w:type="dxa" w:w="60"/>
              <w:left w:type="dxa" w:w="80"/>
              <w:bottom w:type="dxa" w:w="60"/>
              <w:right w:type="dxa" w:w="80"/>
            </w:tcMar>
          </w:tcPr>
          <w:p>
            <w:pPr>
              <w:spacing w:after="0"/>
            </w:pPr>
            <w:r>
              <w:rPr>
                <w:b/>
                <w:bCs/>
                <w:color w:val="D85C5C"/>
                <w:sz w:val="18"/>
                <w:szCs w:val="18"/>
              </w:rPr>
              <w:t xml:space="preserve">Principe</w:t>
            </w:r>
          </w:p>
        </w:tc>
        <w:tc>
          <w:tcPr>
            <w:tcW w:type="dxa" w:w="7106"/>
            <w:tcBorders>
              <w:top w:val="single" w:color="E6CFCF" w:sz="4"/>
              <w:left w:val="single" w:color="E6CFCF" w:sz="4"/>
              <w:bottom w:val="single" w:color="E6CFCF" w:sz="4"/>
              <w:right w:val="single" w:color="E6CFCF" w:sz="4"/>
            </w:tcBorders>
            <w:shd w:fill="FBEBEB" w:color="auto" w:val="clear"/>
            <w:tcMar>
              <w:top w:type="dxa" w:w="60"/>
              <w:left w:type="dxa" w:w="80"/>
              <w:bottom w:type="dxa" w:w="60"/>
              <w:right w:type="dxa" w:w="80"/>
            </w:tcMar>
          </w:tcPr>
          <w:p>
            <w:pPr>
              <w:spacing w:after="0"/>
            </w:pPr>
            <w:r>
              <w:rPr>
                <w:b/>
                <w:bCs/>
                <w:color w:val="D85C5C"/>
                <w:sz w:val="18"/>
                <w:szCs w:val="18"/>
              </w:rPr>
              <w:t xml:space="preserve">Règle</w:t>
            </w:r>
          </w:p>
        </w:tc>
      </w:tr>
      <w:tr>
        <w:trPr>
          <w:cantSplit/>
        </w:trPr>
        <w:tc>
          <w:tcPr>
            <w:tcW w:type="dxa" w:w="23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Rôle</w:t>
            </w:r>
          </w:p>
        </w:tc>
        <w:tc>
          <w:tcPr>
            <w:tcW w:type="dxa" w:w="71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L'IA informe, rappelle et oriente. Elle ne diagnostique pas, ne prescrit pas, ne donne pas de dose.</w:t>
            </w:r>
          </w:p>
        </w:tc>
      </w:tr>
      <w:tr>
        <w:trPr>
          <w:cantSplit/>
        </w:trPr>
        <w:tc>
          <w:tcPr>
            <w:tcW w:type="dxa" w:w="23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Humain dans la boucle</w:t>
            </w:r>
          </w:p>
        </w:tc>
        <w:tc>
          <w:tcPr>
            <w:tcW w:type="dxa" w:w="71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Tout signe de danger et tout doute mènent à un humain. L'IA ne décide jamais seule.</w:t>
            </w:r>
          </w:p>
        </w:tc>
      </w:tr>
      <w:tr>
        <w:trPr>
          <w:cantSplit/>
        </w:trPr>
        <w:tc>
          <w:tcPr>
            <w:tcW w:type="dxa" w:w="23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Sources</w:t>
            </w:r>
          </w:p>
        </w:tc>
        <w:tc>
          <w:tcPr>
            <w:tcW w:type="dxa" w:w="71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Les réponses s'appuient sur des contenus validés et versionnés par le comité médical.</w:t>
            </w:r>
          </w:p>
        </w:tc>
      </w:tr>
      <w:tr>
        <w:trPr>
          <w:cantSplit/>
        </w:trPr>
        <w:tc>
          <w:tcPr>
            <w:tcW w:type="dxa" w:w="23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Transparence</w:t>
            </w:r>
          </w:p>
        </w:tc>
        <w:tc>
          <w:tcPr>
            <w:tcW w:type="dxa" w:w="71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La femme sait qu'elle échange avec un assistant automatique et peut demander une personne.</w:t>
            </w:r>
          </w:p>
        </w:tc>
      </w:tr>
      <w:tr>
        <w:trPr>
          <w:cantSplit/>
        </w:trPr>
        <w:tc>
          <w:tcPr>
            <w:tcW w:type="dxa" w:w="23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Données</w:t>
            </w:r>
          </w:p>
        </w:tc>
        <w:tc>
          <w:tcPr>
            <w:tcW w:type="dxa" w:w="71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Aucune donnée d'identité n'est envoyée à un modèle. Aucun entraînement sur des données de femmes sans base légale et consentement.</w:t>
            </w:r>
          </w:p>
        </w:tc>
      </w:tr>
      <w:tr>
        <w:trPr>
          <w:cantSplit/>
        </w:trPr>
        <w:tc>
          <w:tcPr>
            <w:tcW w:type="dxa" w:w="23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Évaluation</w:t>
            </w:r>
          </w:p>
        </w:tc>
        <w:tc>
          <w:tcPr>
            <w:tcW w:type="dxa" w:w="71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Jeu de test permanent, revue régulière, indicateurs de sécurité publiés en interne.</w:t>
            </w:r>
          </w:p>
        </w:tc>
      </w:tr>
      <w:tr>
        <w:trPr>
          <w:cantSplit/>
        </w:trPr>
        <w:tc>
          <w:tcPr>
            <w:tcW w:type="dxa" w:w="23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Incident</w:t>
            </w:r>
          </w:p>
        </w:tc>
        <w:tc>
          <w:tcPr>
            <w:tcW w:type="dxa" w:w="71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Toute réponse dangereuse déclenche un retrait de la fonction, une analyse et un nouveau test.</w:t>
            </w:r>
          </w:p>
        </w:tc>
      </w:tr>
      <w:tr>
        <w:trPr>
          <w:cantSplit/>
        </w:trPr>
        <w:tc>
          <w:tcPr>
            <w:tcW w:type="dxa" w:w="23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Langues</w:t>
            </w:r>
          </w:p>
        </w:tc>
        <w:tc>
          <w:tcPr>
            <w:tcW w:type="dxa" w:w="71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Aucune génération libre dans une langue non évaluée.</w:t>
            </w:r>
          </w:p>
        </w:tc>
      </w:tr>
    </w:tbl>
    <w:p>
      <w:pPr>
        <w:spacing w:after="130"/>
      </w:pPr>
    </w:p>
    <w:p>
      <w:pPr>
        <w:pStyle w:val="Heading2"/>
        <w:keepNext/>
      </w:pPr>
      <w:r>
        <w:t xml:space="preserve">Charte de développement et de qualité</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2300"/>
        <w:gridCol w:w="7106"/>
      </w:tblGrid>
      <w:tr>
        <w:trPr>
          <w:cantSplit/>
          <w:tblHeader/>
        </w:trPr>
        <w:tc>
          <w:tcPr>
            <w:tcW w:type="dxa" w:w="2300"/>
            <w:tcBorders>
              <w:top w:val="single" w:color="E6CFCF" w:sz="4"/>
              <w:left w:val="single" w:color="E6CFCF" w:sz="4"/>
              <w:bottom w:val="single" w:color="E6CFCF" w:sz="4"/>
              <w:right w:val="single" w:color="E6CFCF" w:sz="4"/>
            </w:tcBorders>
            <w:shd w:fill="FBEBEB" w:color="auto" w:val="clear"/>
            <w:tcMar>
              <w:top w:type="dxa" w:w="60"/>
              <w:left w:type="dxa" w:w="80"/>
              <w:bottom w:type="dxa" w:w="60"/>
              <w:right w:type="dxa" w:w="80"/>
            </w:tcMar>
          </w:tcPr>
          <w:p>
            <w:pPr>
              <w:spacing w:after="0"/>
            </w:pPr>
            <w:r>
              <w:rPr>
                <w:b/>
                <w:bCs/>
                <w:color w:val="D85C5C"/>
                <w:sz w:val="18"/>
                <w:szCs w:val="18"/>
              </w:rPr>
              <w:t xml:space="preserve">Sujet</w:t>
            </w:r>
          </w:p>
        </w:tc>
        <w:tc>
          <w:tcPr>
            <w:tcW w:type="dxa" w:w="7106"/>
            <w:tcBorders>
              <w:top w:val="single" w:color="E6CFCF" w:sz="4"/>
              <w:left w:val="single" w:color="E6CFCF" w:sz="4"/>
              <w:bottom w:val="single" w:color="E6CFCF" w:sz="4"/>
              <w:right w:val="single" w:color="E6CFCF" w:sz="4"/>
            </w:tcBorders>
            <w:shd w:fill="FBEBEB" w:color="auto" w:val="clear"/>
            <w:tcMar>
              <w:top w:type="dxa" w:w="60"/>
              <w:left w:type="dxa" w:w="80"/>
              <w:bottom w:type="dxa" w:w="60"/>
              <w:right w:type="dxa" w:w="80"/>
            </w:tcMar>
          </w:tcPr>
          <w:p>
            <w:pPr>
              <w:spacing w:after="0"/>
            </w:pPr>
            <w:r>
              <w:rPr>
                <w:b/>
                <w:bCs/>
                <w:color w:val="D85C5C"/>
                <w:sz w:val="18"/>
                <w:szCs w:val="18"/>
              </w:rPr>
              <w:t xml:space="preserve">Règle</w:t>
            </w:r>
          </w:p>
        </w:tc>
      </w:tr>
      <w:tr>
        <w:trPr>
          <w:cantSplit/>
        </w:trPr>
        <w:tc>
          <w:tcPr>
            <w:tcW w:type="dxa" w:w="23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Code et versions</w:t>
            </w:r>
          </w:p>
        </w:tc>
        <w:tc>
          <w:tcPr>
            <w:tcW w:type="dxa" w:w="71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Dépôt Git, branches, revue de code obligatoire, versions numérotées, notes de version.</w:t>
            </w:r>
          </w:p>
        </w:tc>
      </w:tr>
      <w:tr>
        <w:trPr>
          <w:cantSplit/>
        </w:trPr>
        <w:tc>
          <w:tcPr>
            <w:tcW w:type="dxa" w:w="23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Configuration DHIS2</w:t>
            </w:r>
          </w:p>
        </w:tc>
        <w:tc>
          <w:tcPr>
            <w:tcW w:type="dxa" w:w="71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Métadonnées exportées et versionnées comme du code, déployées de l'instance de test vers la production.</w:t>
            </w:r>
          </w:p>
        </w:tc>
      </w:tr>
      <w:tr>
        <w:trPr>
          <w:cantSplit/>
        </w:trPr>
        <w:tc>
          <w:tcPr>
            <w:tcW w:type="dxa" w:w="23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Tests</w:t>
            </w:r>
          </w:p>
        </w:tc>
        <w:tc>
          <w:tcPr>
            <w:tcW w:type="dxa" w:w="71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Tests automatisés pour les services Python, cas de test écrits pour la configuration DHIS2.</w:t>
            </w:r>
          </w:p>
        </w:tc>
      </w:tr>
      <w:tr>
        <w:trPr>
          <w:cantSplit/>
        </w:trPr>
        <w:tc>
          <w:tcPr>
            <w:tcW w:type="dxa" w:w="23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Documentation</w:t>
            </w:r>
          </w:p>
        </w:tc>
        <w:tc>
          <w:tcPr>
            <w:tcW w:type="dxa" w:w="71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Installation, configuration, API, dictionnaire de données, procédure de sauvegarde et de restauration.</w:t>
            </w:r>
          </w:p>
        </w:tc>
      </w:tr>
      <w:tr>
        <w:trPr>
          <w:cantSplit/>
        </w:trPr>
        <w:tc>
          <w:tcPr>
            <w:tcW w:type="dxa" w:w="23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Licences</w:t>
            </w:r>
          </w:p>
        </w:tc>
        <w:tc>
          <w:tcPr>
            <w:tcW w:type="dxa" w:w="71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Noyau DHIS2 en licence BSD-3. Le régime de licence des composants développés par Maternal AI est à fixer par l'équipe et le référent juridique.</w:t>
            </w:r>
          </w:p>
        </w:tc>
      </w:tr>
      <w:tr>
        <w:trPr>
          <w:cantSplit/>
        </w:trPr>
        <w:tc>
          <w:tcPr>
            <w:tcW w:type="dxa" w:w="23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Secrets et sécurité</w:t>
            </w:r>
          </w:p>
        </w:tc>
        <w:tc>
          <w:tcPr>
            <w:tcW w:type="dxa" w:w="71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Aucun secret dans le code, revue de dépendances, mises à jour de sécurité planifiées.</w:t>
            </w:r>
          </w:p>
        </w:tc>
      </w:tr>
      <w:tr>
        <w:trPr>
          <w:cantSplit/>
        </w:trPr>
        <w:tc>
          <w:tcPr>
            <w:tcW w:type="dxa" w:w="23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Document de limites</w:t>
            </w:r>
          </w:p>
        </w:tc>
        <w:tc>
          <w:tcPr>
            <w:tcW w:type="dxa" w:w="71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Mis à jour à chaque version : ce que le système fait et ne fait pas, quelles données il stocke et où, qui peut les consulter, quelles intégrations fonctionnent réellement.</w:t>
            </w:r>
          </w:p>
        </w:tc>
      </w:tr>
    </w:tbl>
    <w:p>
      <w:pPr>
        <w:spacing w:after="130"/>
      </w:pPr>
    </w:p>
    <w:p>
      <w:pPr>
        <w:pStyle w:val="Heading1"/>
        <w:keepNext/>
      </w:pPr>
      <w:r>
        <w:t xml:space="preserve">12. Planning, durées et ressources</w:t>
      </w:r>
    </w:p>
    <w:p>
      <w:pPr>
        <w:spacing w:after="130" w:line="288"/>
      </w:pPr>
      <w:r>
        <w:t xml:space="preserve">Les durées sont des estimations de cadrage à confirmer par le CTO. La transition politique et l'élection annoncée pour fin 2027 peuvent allonger les délais institutionnels : l'ordre des étapes compte plus que le calendrier.</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3600"/>
        <w:gridCol w:w="3206"/>
      </w:tblGrid>
      <w:tr>
        <w:trPr>
          <w:cantSplit/>
          <w:tblHeader/>
        </w:trPr>
        <w:tc>
          <w:tcPr>
            <w:tcW w:type="dxa" w:w="1500"/>
            <w:tcBorders>
              <w:top w:val="single" w:color="E6CFCF" w:sz="4"/>
              <w:left w:val="single" w:color="E6CFCF" w:sz="4"/>
              <w:bottom w:val="single" w:color="E6CFCF" w:sz="4"/>
              <w:right w:val="single" w:color="E6CFCF" w:sz="4"/>
            </w:tcBorders>
            <w:shd w:fill="FBEBEB" w:color="auto" w:val="clear"/>
            <w:tcMar>
              <w:top w:type="dxa" w:w="60"/>
              <w:left w:type="dxa" w:w="80"/>
              <w:bottom w:type="dxa" w:w="60"/>
              <w:right w:type="dxa" w:w="80"/>
            </w:tcMar>
          </w:tcPr>
          <w:p>
            <w:pPr>
              <w:spacing w:after="0"/>
            </w:pPr>
            <w:r>
              <w:rPr>
                <w:b/>
                <w:bCs/>
                <w:color w:val="D85C5C"/>
                <w:sz w:val="18"/>
                <w:szCs w:val="18"/>
              </w:rPr>
              <w:t xml:space="preserve">Étape</w:t>
            </w:r>
          </w:p>
        </w:tc>
        <w:tc>
          <w:tcPr>
            <w:tcW w:type="dxa" w:w="1100"/>
            <w:tcBorders>
              <w:top w:val="single" w:color="E6CFCF" w:sz="4"/>
              <w:left w:val="single" w:color="E6CFCF" w:sz="4"/>
              <w:bottom w:val="single" w:color="E6CFCF" w:sz="4"/>
              <w:right w:val="single" w:color="E6CFCF" w:sz="4"/>
            </w:tcBorders>
            <w:shd w:fill="FBEBEB" w:color="auto" w:val="clear"/>
            <w:tcMar>
              <w:top w:type="dxa" w:w="60"/>
              <w:left w:type="dxa" w:w="80"/>
              <w:bottom w:type="dxa" w:w="60"/>
              <w:right w:type="dxa" w:w="80"/>
            </w:tcMar>
          </w:tcPr>
          <w:p>
            <w:pPr>
              <w:spacing w:after="0"/>
            </w:pPr>
            <w:r>
              <w:rPr>
                <w:b/>
                <w:bCs/>
                <w:color w:val="D85C5C"/>
                <w:sz w:val="18"/>
                <w:szCs w:val="18"/>
              </w:rPr>
              <w:t xml:space="preserve">Durée</w:t>
            </w:r>
          </w:p>
        </w:tc>
        <w:tc>
          <w:tcPr>
            <w:tcW w:type="dxa" w:w="3600"/>
            <w:tcBorders>
              <w:top w:val="single" w:color="E6CFCF" w:sz="4"/>
              <w:left w:val="single" w:color="E6CFCF" w:sz="4"/>
              <w:bottom w:val="single" w:color="E6CFCF" w:sz="4"/>
              <w:right w:val="single" w:color="E6CFCF" w:sz="4"/>
            </w:tcBorders>
            <w:shd w:fill="FBEBEB" w:color="auto" w:val="clear"/>
            <w:tcMar>
              <w:top w:type="dxa" w:w="60"/>
              <w:left w:type="dxa" w:w="80"/>
              <w:bottom w:type="dxa" w:w="60"/>
              <w:right w:type="dxa" w:w="80"/>
            </w:tcMar>
          </w:tcPr>
          <w:p>
            <w:pPr>
              <w:spacing w:after="0"/>
            </w:pPr>
            <w:r>
              <w:rPr>
                <w:b/>
                <w:bCs/>
                <w:color w:val="D85C5C"/>
                <w:sz w:val="18"/>
                <w:szCs w:val="18"/>
              </w:rPr>
              <w:t xml:space="preserve">Travaux</w:t>
            </w:r>
          </w:p>
        </w:tc>
        <w:tc>
          <w:tcPr>
            <w:tcW w:type="dxa" w:w="3206"/>
            <w:tcBorders>
              <w:top w:val="single" w:color="E6CFCF" w:sz="4"/>
              <w:left w:val="single" w:color="E6CFCF" w:sz="4"/>
              <w:bottom w:val="single" w:color="E6CFCF" w:sz="4"/>
              <w:right w:val="single" w:color="E6CFCF" w:sz="4"/>
            </w:tcBorders>
            <w:shd w:fill="FBEBEB" w:color="auto" w:val="clear"/>
            <w:tcMar>
              <w:top w:type="dxa" w:w="60"/>
              <w:left w:type="dxa" w:w="80"/>
              <w:bottom w:type="dxa" w:w="60"/>
              <w:right w:type="dxa" w:w="80"/>
            </w:tcMar>
          </w:tcPr>
          <w:p>
            <w:pPr>
              <w:spacing w:after="0"/>
            </w:pPr>
            <w:r>
              <w:rPr>
                <w:b/>
                <w:bCs/>
                <w:color w:val="D85C5C"/>
                <w:sz w:val="18"/>
                <w:szCs w:val="18"/>
              </w:rPr>
              <w:t xml:space="preserve">Livrables et décision</w:t>
            </w:r>
          </w:p>
        </w:tc>
      </w:tr>
      <w:tr>
        <w:trPr>
          <w:cantSplit/>
        </w:trPr>
        <w:tc>
          <w:tcPr>
            <w:tcW w:type="dxa" w:w="15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0. Découverte et alignement</w:t>
            </w:r>
          </w:p>
        </w:tc>
        <w:tc>
          <w:tcPr>
            <w:tcW w:type="dxa" w:w="11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8 semaines</w:t>
            </w:r>
          </w:p>
        </w:tc>
        <w:tc>
          <w:tcPr>
            <w:tcW w:type="dxa" w:w="36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Semaines 1 à 2 : observation de trois CSB et de deux cabinets. Semaines 3 à 6 : test technique DHIS2, dictionnaire de données, prototype papier du carnet. Semaines 5 à 8 : rencontre des directions techniques, accès test, revue juridique, tests d'utilisabilité.</w:t>
            </w:r>
          </w:p>
        </w:tc>
        <w:tc>
          <w:tcPr>
            <w:tcW w:type="dxa" w:w="32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Carte des processus, dictionnaire de données, maquette du carnet, rapport du test technique. Décision de passage en étape 1.</w:t>
            </w:r>
          </w:p>
        </w:tc>
      </w:tr>
      <w:tr>
        <w:trPr>
          <w:cantSplit/>
        </w:trPr>
        <w:tc>
          <w:tcPr>
            <w:tcW w:type="dxa" w:w="15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1. Carnet et relance</w:t>
            </w:r>
          </w:p>
        </w:tc>
        <w:tc>
          <w:tcPr>
            <w:tcW w:type="dxa" w:w="11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12 semaines</w:t>
            </w:r>
          </w:p>
        </w:tc>
        <w:tc>
          <w:tcPr>
            <w:tcW w:type="dxa" w:w="36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Configuration minimale du programme Tracker. Impression des carnets. Formation. Passerelle SMS. Magicien d'Oz pour les questions. Trois à cinq sites.</w:t>
            </w:r>
          </w:p>
        </w:tc>
        <w:tc>
          <w:tcPr>
            <w:tcW w:type="dxa" w:w="32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Sites actifs, coût par femme suivie, catalogue de questions. Décision de passage en étape 2.</w:t>
            </w:r>
          </w:p>
        </w:tc>
      </w:tr>
      <w:tr>
        <w:trPr>
          <w:cantSplit/>
        </w:trPr>
        <w:tc>
          <w:tcPr>
            <w:tcW w:type="dxa" w:w="15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2. Saisie CSB et rapport automatique</w:t>
            </w:r>
          </w:p>
        </w:tc>
        <w:tc>
          <w:tcPr>
            <w:tcW w:type="dxa" w:w="11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16 semaines</w:t>
            </w:r>
          </w:p>
        </w:tc>
        <w:tc>
          <w:tcPr>
            <w:tcW w:type="dxa" w:w="36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CPN complète, historique, orientation, listes de perdus de vue, rapport mensuel, échange agrégé, tableaux de bord, contrôle qualité, helpdesk, audit de sécurité. Un district proche d'Antananarivo puis un site en région prioritaire. IA-1.</w:t>
            </w:r>
          </w:p>
        </w:tc>
        <w:tc>
          <w:tcPr>
            <w:tcW w:type="dxa" w:w="32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Version pilote stable, données de qualité, temps gagné mesuré. Décision de passage en étape 3.</w:t>
            </w:r>
          </w:p>
        </w:tc>
      </w:tr>
      <w:tr>
        <w:trPr>
          <w:cantSplit/>
        </w:trPr>
        <w:tc>
          <w:tcPr>
            <w:tcW w:type="dxa" w:w="15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3. Extension et modèle économique</w:t>
            </w:r>
          </w:p>
        </w:tc>
        <w:tc>
          <w:tcPr>
            <w:tcW w:type="dxa" w:w="11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24 semaines</w:t>
            </w:r>
          </w:p>
        </w:tc>
        <w:tc>
          <w:tcPr>
            <w:tcW w:type="dxa" w:w="36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Dix à vingt sites publics et privés, abonnements, dossiers de financement, IA-2 limitée, premiers tableaux pour un district ou un programme.</w:t>
            </w:r>
          </w:p>
        </w:tc>
        <w:tc>
          <w:tcPr>
            <w:tcW w:type="dxa" w:w="32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Premiers revenus récurrents, financement de programme, tableaux agrégés utilisés.</w:t>
            </w:r>
          </w:p>
        </w:tc>
      </w:tr>
      <w:tr>
        <w:trPr>
          <w:cantSplit/>
        </w:trPr>
        <w:tc>
          <w:tcPr>
            <w:tcW w:type="dxa" w:w="15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4. Enrichissement</w:t>
            </w:r>
          </w:p>
        </w:tc>
        <w:tc>
          <w:tcPr>
            <w:tcW w:type="dxa" w:w="11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Après 15 mois</w:t>
            </w:r>
          </w:p>
        </w:tc>
        <w:tc>
          <w:tcPr>
            <w:tcW w:type="dxa" w:w="36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Objets connectés dans un pilote financé, carnet de l'enfant, analyse de tendances, interopérabilité nationale.</w:t>
            </w:r>
          </w:p>
        </w:tc>
        <w:tc>
          <w:tcPr>
            <w:tcW w:type="dxa" w:w="32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À décider selon les résultats et les financements.</w:t>
            </w:r>
          </w:p>
        </w:tc>
      </w:tr>
    </w:tbl>
    <w:p>
      <w:pPr>
        <w:spacing w:after="130"/>
      </w:pPr>
    </w:p>
    <w:p>
      <w:pPr>
        <w:pStyle w:val="Heading2"/>
        <w:keepNext/>
      </w:pPr>
      <w:r>
        <w:t xml:space="preserve">Ressources minimales</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406"/>
      </w:tblGrid>
      <w:tr>
        <w:trPr>
          <w:cantSplit/>
          <w:tblHeader/>
        </w:trPr>
        <w:tc>
          <w:tcPr>
            <w:tcW w:type="dxa" w:w="3000"/>
            <w:tcBorders>
              <w:top w:val="single" w:color="E6CFCF" w:sz="4"/>
              <w:left w:val="single" w:color="E6CFCF" w:sz="4"/>
              <w:bottom w:val="single" w:color="E6CFCF" w:sz="4"/>
              <w:right w:val="single" w:color="E6CFCF" w:sz="4"/>
            </w:tcBorders>
            <w:shd w:fill="FBEBEB" w:color="auto" w:val="clear"/>
            <w:tcMar>
              <w:top w:type="dxa" w:w="60"/>
              <w:left w:type="dxa" w:w="80"/>
              <w:bottom w:type="dxa" w:w="60"/>
              <w:right w:type="dxa" w:w="80"/>
            </w:tcMar>
          </w:tcPr>
          <w:p>
            <w:pPr>
              <w:spacing w:after="0"/>
            </w:pPr>
            <w:r>
              <w:rPr>
                <w:b/>
                <w:bCs/>
                <w:color w:val="D85C5C"/>
                <w:sz w:val="18"/>
                <w:szCs w:val="18"/>
              </w:rPr>
              <w:t xml:space="preserve">Rôle</w:t>
            </w:r>
          </w:p>
        </w:tc>
        <w:tc>
          <w:tcPr>
            <w:tcW w:type="dxa" w:w="2000"/>
            <w:tcBorders>
              <w:top w:val="single" w:color="E6CFCF" w:sz="4"/>
              <w:left w:val="single" w:color="E6CFCF" w:sz="4"/>
              <w:bottom w:val="single" w:color="E6CFCF" w:sz="4"/>
              <w:right w:val="single" w:color="E6CFCF" w:sz="4"/>
            </w:tcBorders>
            <w:shd w:fill="FBEBEB" w:color="auto" w:val="clear"/>
            <w:tcMar>
              <w:top w:type="dxa" w:w="60"/>
              <w:left w:type="dxa" w:w="80"/>
              <w:bottom w:type="dxa" w:w="60"/>
              <w:right w:type="dxa" w:w="80"/>
            </w:tcMar>
          </w:tcPr>
          <w:p>
            <w:pPr>
              <w:spacing w:after="0"/>
            </w:pPr>
            <w:r>
              <w:rPr>
                <w:b/>
                <w:bCs/>
                <w:color w:val="D85C5C"/>
                <w:sz w:val="18"/>
                <w:szCs w:val="18"/>
              </w:rPr>
              <w:t xml:space="preserve">Engagement</w:t>
            </w:r>
          </w:p>
        </w:tc>
        <w:tc>
          <w:tcPr>
            <w:tcW w:type="dxa" w:w="4406"/>
            <w:tcBorders>
              <w:top w:val="single" w:color="E6CFCF" w:sz="4"/>
              <w:left w:val="single" w:color="E6CFCF" w:sz="4"/>
              <w:bottom w:val="single" w:color="E6CFCF" w:sz="4"/>
              <w:right w:val="single" w:color="E6CFCF" w:sz="4"/>
            </w:tcBorders>
            <w:shd w:fill="FBEBEB" w:color="auto" w:val="clear"/>
            <w:tcMar>
              <w:top w:type="dxa" w:w="60"/>
              <w:left w:type="dxa" w:w="80"/>
              <w:bottom w:type="dxa" w:w="60"/>
              <w:right w:type="dxa" w:w="80"/>
            </w:tcMar>
          </w:tcPr>
          <w:p>
            <w:pPr>
              <w:spacing w:after="0"/>
            </w:pPr>
            <w:r>
              <w:rPr>
                <w:b/>
                <w:bCs/>
                <w:color w:val="D85C5C"/>
                <w:sz w:val="18"/>
                <w:szCs w:val="18"/>
              </w:rPr>
              <w:t xml:space="preserve">Responsabilité</w:t>
            </w:r>
          </w:p>
        </w:tc>
      </w:tr>
      <w:tr>
        <w:trPr>
          <w:cantSplit/>
        </w:trPr>
        <w:tc>
          <w:tcPr>
            <w:tcW w:type="dxa" w:w="30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Direction produit et partenariats</w:t>
            </w:r>
          </w:p>
        </w:tc>
        <w:tc>
          <w:tcPr>
            <w:tcW w:type="dxa" w:w="20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Temps plein</w:t>
            </w:r>
          </w:p>
        </w:tc>
        <w:tc>
          <w:tcPr>
            <w:tcW w:type="dxa" w:w="44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Priorités, partenaires, modèle économique, relation avec le ministère</w:t>
            </w:r>
          </w:p>
        </w:tc>
      </w:tr>
      <w:tr>
        <w:trPr>
          <w:cantSplit/>
        </w:trPr>
        <w:tc>
          <w:tcPr>
            <w:tcW w:type="dxa" w:w="30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Responsable technique DHIS2 et services</w:t>
            </w:r>
          </w:p>
        </w:tc>
        <w:tc>
          <w:tcPr>
            <w:tcW w:type="dxa" w:w="20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Temps plein</w:t>
            </w:r>
          </w:p>
        </w:tc>
        <w:tc>
          <w:tcPr>
            <w:tcW w:type="dxa" w:w="44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Configuration Tracker, services Python, hébergement, sécurité</w:t>
            </w:r>
          </w:p>
        </w:tc>
      </w:tr>
      <w:tr>
        <w:trPr>
          <w:cantSplit/>
        </w:trPr>
        <w:tc>
          <w:tcPr>
            <w:tcW w:type="dxa" w:w="30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Développeur ou intégrateur (mobile, web, messagerie)</w:t>
            </w:r>
          </w:p>
        </w:tc>
        <w:tc>
          <w:tcPr>
            <w:tcW w:type="dxa" w:w="20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Temps plein ou partiel selon l'étape</w:t>
            </w:r>
          </w:p>
        </w:tc>
        <w:tc>
          <w:tcPr>
            <w:tcW w:type="dxa" w:w="44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Générateur de carnets, helpdesk, passerelle SMS, tests hors ligne</w:t>
            </w:r>
          </w:p>
        </w:tc>
      </w:tr>
      <w:tr>
        <w:trPr>
          <w:cantSplit/>
        </w:trPr>
        <w:tc>
          <w:tcPr>
            <w:tcW w:type="dxa" w:w="30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Responsable terrain et santé (sage-femme)</w:t>
            </w:r>
          </w:p>
        </w:tc>
        <w:tc>
          <w:tcPr>
            <w:tcW w:type="dxa" w:w="20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Temps plein</w:t>
            </w:r>
          </w:p>
        </w:tc>
        <w:tc>
          <w:tcPr>
            <w:tcW w:type="dxa" w:w="44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Observation, formation, contenus, magicien d'Oz, relation avec les relais</w:t>
            </w:r>
          </w:p>
        </w:tc>
      </w:tr>
      <w:tr>
        <w:trPr>
          <w:cantSplit/>
        </w:trPr>
        <w:tc>
          <w:tcPr>
            <w:tcW w:type="dxa" w:w="30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Données et juridique</w:t>
            </w:r>
          </w:p>
        </w:tc>
        <w:tc>
          <w:tcPr>
            <w:tcW w:type="dxa" w:w="20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Temps partiel</w:t>
            </w:r>
          </w:p>
        </w:tc>
        <w:tc>
          <w:tcPr>
            <w:tcW w:type="dxa" w:w="44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Indicateurs, qualité des données, conformité</w:t>
            </w:r>
          </w:p>
        </w:tc>
      </w:tr>
      <w:tr>
        <w:trPr>
          <w:cantSplit/>
        </w:trPr>
        <w:tc>
          <w:tcPr>
            <w:tcW w:type="dxa" w:w="30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Comité médical</w:t>
            </w:r>
          </w:p>
        </w:tc>
        <w:tc>
          <w:tcPr>
            <w:tcW w:type="dxa" w:w="20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Ponctuel, sur convocation</w:t>
            </w:r>
          </w:p>
        </w:tc>
        <w:tc>
          <w:tcPr>
            <w:tcW w:type="dxa" w:w="44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Validation des contenus, du calendrier, des règles de sécurité, du jeu de test IA</w:t>
            </w:r>
          </w:p>
        </w:tc>
      </w:tr>
    </w:tbl>
    <w:p>
      <w:pPr>
        <w:spacing w:after="130"/>
      </w:pPr>
    </w:p>
    <w:p>
      <w:pPr>
        <w:spacing w:after="130" w:line="288"/>
      </w:pPr>
      <w:r>
        <w:t xml:space="preserve">Les principaux postes de coût à chiffrer à l'étape 0 sont l'équipe, l'hébergement, l'impression et la distribution des carnets, les téléphones et batteries des kits, les SMS et appels vocaux, la formation, les déplacements et l'appui externe ponctuel DHIS2. Aucun montant n'est fixé ici, car ils dépendent des mesures de l'étape 0.</w:t>
      </w:r>
    </w:p>
    <w:p>
      <w:pPr>
        <w:pStyle w:val="Heading1"/>
        <w:keepNext/>
      </w:pPr>
      <w:r>
        <w:t xml:space="preserve">13. Fonctionnalités, ordre de priorité et faisabilité</w:t>
      </w:r>
    </w:p>
    <w:p>
      <w:pPr>
        <w:spacing w:after="130" w:line="288"/>
      </w:pPr>
      <w:r>
        <w:t xml:space="preserve">Le tableau classe les fonctionnalités actuelles et futures. Les colonnes Imp., Urg. et Fais. désignent l'importance, l'urgence et la faisabilité. Importance et urgence sont évaluées par rapport à l'objectif de continuité du suivi. La faisabilité tient compte des outils DHIS2 disponibles, des compétences et des contraintes. L'effort est estimé en S (moins d'une semaine), M (une à trois semaines), L (un à deux mois), XL (plus de deux mois).</w:t>
      </w:r>
    </w:p>
    <w:p>
      <w:pPr>
        <w:spacing w:after="130" w:line="288"/>
      </w:pPr>
      <w:r>
        <w:t xml:space="preserve">Lecture de la priorité : P0 se fait maintenant (important, urgent, faisable). P1 se planifie (important, moins urgent). P2 est conditionnée par une validation ou une dépendance. P3 relève de la veille ou de l'option.</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520"/>
        <w:gridCol w:w="3200"/>
        <w:gridCol w:w="800"/>
        <w:gridCol w:w="800"/>
        <w:gridCol w:w="860"/>
        <w:gridCol w:w="620"/>
        <w:gridCol w:w="600"/>
        <w:gridCol w:w="2006"/>
      </w:tblGrid>
      <w:tr>
        <w:trPr>
          <w:cantSplit/>
          <w:tblHeader/>
        </w:trPr>
        <w:tc>
          <w:tcPr>
            <w:tcW w:type="dxa" w:w="520"/>
            <w:tcBorders>
              <w:top w:val="single" w:color="E6CFCF" w:sz="4"/>
              <w:left w:val="single" w:color="E6CFCF" w:sz="4"/>
              <w:bottom w:val="single" w:color="E6CFCF" w:sz="4"/>
              <w:right w:val="single" w:color="E6CFCF" w:sz="4"/>
            </w:tcBorders>
            <w:shd w:fill="FBEBEB" w:color="auto" w:val="clear"/>
            <w:tcMar>
              <w:top w:type="dxa" w:w="60"/>
              <w:left w:type="dxa" w:w="80"/>
              <w:bottom w:type="dxa" w:w="60"/>
              <w:right w:type="dxa" w:w="80"/>
            </w:tcMar>
          </w:tcPr>
          <w:p>
            <w:pPr>
              <w:spacing w:after="0"/>
            </w:pPr>
            <w:r>
              <w:rPr>
                <w:b/>
                <w:bCs/>
                <w:color w:val="D85C5C"/>
                <w:sz w:val="17"/>
                <w:szCs w:val="17"/>
              </w:rPr>
              <w:t xml:space="preserve">N°</w:t>
            </w:r>
          </w:p>
        </w:tc>
        <w:tc>
          <w:tcPr>
            <w:tcW w:type="dxa" w:w="3200"/>
            <w:tcBorders>
              <w:top w:val="single" w:color="E6CFCF" w:sz="4"/>
              <w:left w:val="single" w:color="E6CFCF" w:sz="4"/>
              <w:bottom w:val="single" w:color="E6CFCF" w:sz="4"/>
              <w:right w:val="single" w:color="E6CFCF" w:sz="4"/>
            </w:tcBorders>
            <w:shd w:fill="FBEBEB" w:color="auto" w:val="clear"/>
            <w:tcMar>
              <w:top w:type="dxa" w:w="60"/>
              <w:left w:type="dxa" w:w="80"/>
              <w:bottom w:type="dxa" w:w="60"/>
              <w:right w:type="dxa" w:w="80"/>
            </w:tcMar>
          </w:tcPr>
          <w:p>
            <w:pPr>
              <w:spacing w:after="0"/>
            </w:pPr>
            <w:r>
              <w:rPr>
                <w:b/>
                <w:bCs/>
                <w:color w:val="D85C5C"/>
                <w:sz w:val="17"/>
                <w:szCs w:val="17"/>
              </w:rPr>
              <w:t xml:space="preserve">Fonctionnalité</w:t>
            </w:r>
          </w:p>
        </w:tc>
        <w:tc>
          <w:tcPr>
            <w:tcW w:type="dxa" w:w="800"/>
            <w:tcBorders>
              <w:top w:val="single" w:color="E6CFCF" w:sz="4"/>
              <w:left w:val="single" w:color="E6CFCF" w:sz="4"/>
              <w:bottom w:val="single" w:color="E6CFCF" w:sz="4"/>
              <w:right w:val="single" w:color="E6CFCF" w:sz="4"/>
            </w:tcBorders>
            <w:shd w:fill="FBEBEB" w:color="auto" w:val="clear"/>
            <w:tcMar>
              <w:top w:type="dxa" w:w="60"/>
              <w:left w:type="dxa" w:w="80"/>
              <w:bottom w:type="dxa" w:w="60"/>
              <w:right w:type="dxa" w:w="80"/>
            </w:tcMar>
          </w:tcPr>
          <w:p>
            <w:pPr>
              <w:spacing w:after="0"/>
            </w:pPr>
            <w:r>
              <w:rPr>
                <w:b/>
                <w:bCs/>
                <w:color w:val="D85C5C"/>
                <w:sz w:val="17"/>
                <w:szCs w:val="17"/>
              </w:rPr>
              <w:t xml:space="preserve">Imp.</w:t>
            </w:r>
          </w:p>
        </w:tc>
        <w:tc>
          <w:tcPr>
            <w:tcW w:type="dxa" w:w="800"/>
            <w:tcBorders>
              <w:top w:val="single" w:color="E6CFCF" w:sz="4"/>
              <w:left w:val="single" w:color="E6CFCF" w:sz="4"/>
              <w:bottom w:val="single" w:color="E6CFCF" w:sz="4"/>
              <w:right w:val="single" w:color="E6CFCF" w:sz="4"/>
            </w:tcBorders>
            <w:shd w:fill="FBEBEB" w:color="auto" w:val="clear"/>
            <w:tcMar>
              <w:top w:type="dxa" w:w="60"/>
              <w:left w:type="dxa" w:w="80"/>
              <w:bottom w:type="dxa" w:w="60"/>
              <w:right w:type="dxa" w:w="80"/>
            </w:tcMar>
          </w:tcPr>
          <w:p>
            <w:pPr>
              <w:spacing w:after="0"/>
            </w:pPr>
            <w:r>
              <w:rPr>
                <w:b/>
                <w:bCs/>
                <w:color w:val="D85C5C"/>
                <w:sz w:val="17"/>
                <w:szCs w:val="17"/>
              </w:rPr>
              <w:t xml:space="preserve">Urg.</w:t>
            </w:r>
          </w:p>
        </w:tc>
        <w:tc>
          <w:tcPr>
            <w:tcW w:type="dxa" w:w="860"/>
            <w:tcBorders>
              <w:top w:val="single" w:color="E6CFCF" w:sz="4"/>
              <w:left w:val="single" w:color="E6CFCF" w:sz="4"/>
              <w:bottom w:val="single" w:color="E6CFCF" w:sz="4"/>
              <w:right w:val="single" w:color="E6CFCF" w:sz="4"/>
            </w:tcBorders>
            <w:shd w:fill="FBEBEB" w:color="auto" w:val="clear"/>
            <w:tcMar>
              <w:top w:type="dxa" w:w="60"/>
              <w:left w:type="dxa" w:w="80"/>
              <w:bottom w:type="dxa" w:w="60"/>
              <w:right w:type="dxa" w:w="80"/>
            </w:tcMar>
          </w:tcPr>
          <w:p>
            <w:pPr>
              <w:spacing w:after="0"/>
            </w:pPr>
            <w:r>
              <w:rPr>
                <w:b/>
                <w:bCs/>
                <w:color w:val="D85C5C"/>
                <w:sz w:val="17"/>
                <w:szCs w:val="17"/>
              </w:rPr>
              <w:t xml:space="preserve">Fais.</w:t>
            </w:r>
          </w:p>
        </w:tc>
        <w:tc>
          <w:tcPr>
            <w:tcW w:type="dxa" w:w="620"/>
            <w:tcBorders>
              <w:top w:val="single" w:color="E6CFCF" w:sz="4"/>
              <w:left w:val="single" w:color="E6CFCF" w:sz="4"/>
              <w:bottom w:val="single" w:color="E6CFCF" w:sz="4"/>
              <w:right w:val="single" w:color="E6CFCF" w:sz="4"/>
            </w:tcBorders>
            <w:shd w:fill="FBEBEB" w:color="auto" w:val="clear"/>
            <w:tcMar>
              <w:top w:type="dxa" w:w="60"/>
              <w:left w:type="dxa" w:w="80"/>
              <w:bottom w:type="dxa" w:w="60"/>
              <w:right w:type="dxa" w:w="80"/>
            </w:tcMar>
          </w:tcPr>
          <w:p>
            <w:pPr>
              <w:spacing w:after="0"/>
            </w:pPr>
            <w:r>
              <w:rPr>
                <w:b/>
                <w:bCs/>
                <w:color w:val="D85C5C"/>
                <w:sz w:val="17"/>
                <w:szCs w:val="17"/>
              </w:rPr>
              <w:t xml:space="preserve">Prio.</w:t>
            </w:r>
          </w:p>
        </w:tc>
        <w:tc>
          <w:tcPr>
            <w:tcW w:type="dxa" w:w="600"/>
            <w:tcBorders>
              <w:top w:val="single" w:color="E6CFCF" w:sz="4"/>
              <w:left w:val="single" w:color="E6CFCF" w:sz="4"/>
              <w:bottom w:val="single" w:color="E6CFCF" w:sz="4"/>
              <w:right w:val="single" w:color="E6CFCF" w:sz="4"/>
            </w:tcBorders>
            <w:shd w:fill="FBEBEB" w:color="auto" w:val="clear"/>
            <w:tcMar>
              <w:top w:type="dxa" w:w="60"/>
              <w:left w:type="dxa" w:w="80"/>
              <w:bottom w:type="dxa" w:w="60"/>
              <w:right w:type="dxa" w:w="80"/>
            </w:tcMar>
          </w:tcPr>
          <w:p>
            <w:pPr>
              <w:spacing w:after="0"/>
            </w:pPr>
            <w:r>
              <w:rPr>
                <w:b/>
                <w:bCs/>
                <w:color w:val="D85C5C"/>
                <w:sz w:val="17"/>
                <w:szCs w:val="17"/>
              </w:rPr>
              <w:t xml:space="preserve">Effort</w:t>
            </w:r>
          </w:p>
        </w:tc>
        <w:tc>
          <w:tcPr>
            <w:tcW w:type="dxa" w:w="2006"/>
            <w:tcBorders>
              <w:top w:val="single" w:color="E6CFCF" w:sz="4"/>
              <w:left w:val="single" w:color="E6CFCF" w:sz="4"/>
              <w:bottom w:val="single" w:color="E6CFCF" w:sz="4"/>
              <w:right w:val="single" w:color="E6CFCF" w:sz="4"/>
            </w:tcBorders>
            <w:shd w:fill="FBEBEB" w:color="auto" w:val="clear"/>
            <w:tcMar>
              <w:top w:type="dxa" w:w="60"/>
              <w:left w:type="dxa" w:w="80"/>
              <w:bottom w:type="dxa" w:w="60"/>
              <w:right w:type="dxa" w:w="80"/>
            </w:tcMar>
          </w:tcPr>
          <w:p>
            <w:pPr>
              <w:spacing w:after="0"/>
            </w:pPr>
            <w:r>
              <w:rPr>
                <w:b/>
                <w:bCs/>
                <w:color w:val="D85C5C"/>
                <w:sz w:val="17"/>
                <w:szCs w:val="17"/>
              </w:rPr>
              <w:t xml:space="preserve">Horizon</w:t>
            </w:r>
          </w:p>
        </w:tc>
      </w:tr>
      <w:tr>
        <w:trPr>
          <w:cantSplit/>
        </w:trPr>
        <w:tc>
          <w:tcPr>
            <w:tcW w:type="dxa" w:w="52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1</w:t>
            </w:r>
          </w:p>
        </w:tc>
        <w:tc>
          <w:tcPr>
            <w:tcW w:type="dxa" w:w="32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Identifiant unique, QR et génération des lots de carnets</w:t>
            </w:r>
          </w:p>
        </w:tc>
        <w:tc>
          <w:tcPr>
            <w:tcW w:type="dxa" w:w="8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Haute</w:t>
            </w:r>
          </w:p>
        </w:tc>
        <w:tc>
          <w:tcPr>
            <w:tcW w:type="dxa" w:w="8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Haute</w:t>
            </w:r>
          </w:p>
        </w:tc>
        <w:tc>
          <w:tcPr>
            <w:tcW w:type="dxa" w:w="86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Élevée</w:t>
            </w:r>
          </w:p>
        </w:tc>
        <w:tc>
          <w:tcPr>
            <w:tcW w:type="dxa" w:w="62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P0</w:t>
            </w:r>
          </w:p>
        </w:tc>
        <w:tc>
          <w:tcPr>
            <w:tcW w:type="dxa" w:w="6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M</w:t>
            </w:r>
          </w:p>
        </w:tc>
        <w:tc>
          <w:tcPr>
            <w:tcW w:type="dxa" w:w="20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Étape 1</w:t>
            </w:r>
          </w:p>
        </w:tc>
      </w:tr>
      <w:tr>
        <w:trPr>
          <w:cantSplit/>
        </w:trPr>
        <w:tc>
          <w:tcPr>
            <w:tcW w:type="dxa" w:w="52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2</w:t>
            </w:r>
          </w:p>
        </w:tc>
        <w:tc>
          <w:tcPr>
            <w:tcW w:type="dxa" w:w="32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Inscription, consentement, recherche hors ligne</w:t>
            </w:r>
          </w:p>
        </w:tc>
        <w:tc>
          <w:tcPr>
            <w:tcW w:type="dxa" w:w="8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Haute</w:t>
            </w:r>
          </w:p>
        </w:tc>
        <w:tc>
          <w:tcPr>
            <w:tcW w:type="dxa" w:w="8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Haute</w:t>
            </w:r>
          </w:p>
        </w:tc>
        <w:tc>
          <w:tcPr>
            <w:tcW w:type="dxa" w:w="86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Élevée</w:t>
            </w:r>
          </w:p>
        </w:tc>
        <w:tc>
          <w:tcPr>
            <w:tcW w:type="dxa" w:w="62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P0</w:t>
            </w:r>
          </w:p>
        </w:tc>
        <w:tc>
          <w:tcPr>
            <w:tcW w:type="dxa" w:w="6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M</w:t>
            </w:r>
          </w:p>
        </w:tc>
        <w:tc>
          <w:tcPr>
            <w:tcW w:type="dxa" w:w="20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Étape 1</w:t>
            </w:r>
          </w:p>
        </w:tc>
      </w:tr>
      <w:tr>
        <w:trPr>
          <w:cantSplit/>
        </w:trPr>
        <w:tc>
          <w:tcPr>
            <w:tcW w:type="dxa" w:w="52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3</w:t>
            </w:r>
          </w:p>
        </w:tc>
        <w:tc>
          <w:tcPr>
            <w:tcW w:type="dxa" w:w="32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Rôles, unités d'organisation, sécurité, sauvegardes</w:t>
            </w:r>
          </w:p>
        </w:tc>
        <w:tc>
          <w:tcPr>
            <w:tcW w:type="dxa" w:w="8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Haute</w:t>
            </w:r>
          </w:p>
        </w:tc>
        <w:tc>
          <w:tcPr>
            <w:tcW w:type="dxa" w:w="8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Haute</w:t>
            </w:r>
          </w:p>
        </w:tc>
        <w:tc>
          <w:tcPr>
            <w:tcW w:type="dxa" w:w="86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Élevée</w:t>
            </w:r>
          </w:p>
        </w:tc>
        <w:tc>
          <w:tcPr>
            <w:tcW w:type="dxa" w:w="62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P0</w:t>
            </w:r>
          </w:p>
        </w:tc>
        <w:tc>
          <w:tcPr>
            <w:tcW w:type="dxa" w:w="6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M</w:t>
            </w:r>
          </w:p>
        </w:tc>
        <w:tc>
          <w:tcPr>
            <w:tcW w:type="dxa" w:w="20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Étape 1</w:t>
            </w:r>
          </w:p>
        </w:tc>
      </w:tr>
      <w:tr>
        <w:trPr>
          <w:cantSplit/>
        </w:trPr>
        <w:tc>
          <w:tcPr>
            <w:tcW w:type="dxa" w:w="52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4</w:t>
            </w:r>
          </w:p>
        </w:tc>
        <w:tc>
          <w:tcPr>
            <w:tcW w:type="dxa" w:w="32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Plan d'accouchement et signes de danger sur le carnet papier</w:t>
            </w:r>
          </w:p>
        </w:tc>
        <w:tc>
          <w:tcPr>
            <w:tcW w:type="dxa" w:w="8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Haute</w:t>
            </w:r>
          </w:p>
        </w:tc>
        <w:tc>
          <w:tcPr>
            <w:tcW w:type="dxa" w:w="8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Haute</w:t>
            </w:r>
          </w:p>
        </w:tc>
        <w:tc>
          <w:tcPr>
            <w:tcW w:type="dxa" w:w="86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Élevée</w:t>
            </w:r>
          </w:p>
        </w:tc>
        <w:tc>
          <w:tcPr>
            <w:tcW w:type="dxa" w:w="62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P0</w:t>
            </w:r>
          </w:p>
        </w:tc>
        <w:tc>
          <w:tcPr>
            <w:tcW w:type="dxa" w:w="6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S</w:t>
            </w:r>
          </w:p>
        </w:tc>
        <w:tc>
          <w:tcPr>
            <w:tcW w:type="dxa" w:w="20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Étape 1</w:t>
            </w:r>
          </w:p>
        </w:tc>
      </w:tr>
      <w:tr>
        <w:trPr>
          <w:cantSplit/>
        </w:trPr>
        <w:tc>
          <w:tcPr>
            <w:tcW w:type="dxa" w:w="52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5</w:t>
            </w:r>
          </w:p>
        </w:tc>
        <w:tc>
          <w:tcPr>
            <w:tcW w:type="dxa" w:w="32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Consultation prénatale structurée avec semaines et date prévue</w:t>
            </w:r>
          </w:p>
        </w:tc>
        <w:tc>
          <w:tcPr>
            <w:tcW w:type="dxa" w:w="8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Haute</w:t>
            </w:r>
          </w:p>
        </w:tc>
        <w:tc>
          <w:tcPr>
            <w:tcW w:type="dxa" w:w="8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Haute</w:t>
            </w:r>
          </w:p>
        </w:tc>
        <w:tc>
          <w:tcPr>
            <w:tcW w:type="dxa" w:w="86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Élevée</w:t>
            </w:r>
          </w:p>
        </w:tc>
        <w:tc>
          <w:tcPr>
            <w:tcW w:type="dxa" w:w="62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P0</w:t>
            </w:r>
          </w:p>
        </w:tc>
        <w:tc>
          <w:tcPr>
            <w:tcW w:type="dxa" w:w="6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L</w:t>
            </w:r>
          </w:p>
        </w:tc>
        <w:tc>
          <w:tcPr>
            <w:tcW w:type="dxa" w:w="20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Étapes 1 et 2</w:t>
            </w:r>
          </w:p>
        </w:tc>
      </w:tr>
      <w:tr>
        <w:trPr>
          <w:cantSplit/>
        </w:trPr>
        <w:tc>
          <w:tcPr>
            <w:tcW w:type="dxa" w:w="52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6</w:t>
            </w:r>
          </w:p>
        </w:tc>
        <w:tc>
          <w:tcPr>
            <w:tcW w:type="dxa" w:w="32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Rappels SMS de CPN et relance après rendez-vous manqué</w:t>
            </w:r>
          </w:p>
        </w:tc>
        <w:tc>
          <w:tcPr>
            <w:tcW w:type="dxa" w:w="8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Haute</w:t>
            </w:r>
          </w:p>
        </w:tc>
        <w:tc>
          <w:tcPr>
            <w:tcW w:type="dxa" w:w="8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Haute</w:t>
            </w:r>
          </w:p>
        </w:tc>
        <w:tc>
          <w:tcPr>
            <w:tcW w:type="dxa" w:w="86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Moy.</w:t>
            </w:r>
          </w:p>
        </w:tc>
        <w:tc>
          <w:tcPr>
            <w:tcW w:type="dxa" w:w="62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P0</w:t>
            </w:r>
          </w:p>
        </w:tc>
        <w:tc>
          <w:tcPr>
            <w:tcW w:type="dxa" w:w="6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L</w:t>
            </w:r>
          </w:p>
        </w:tc>
        <w:tc>
          <w:tcPr>
            <w:tcW w:type="dxa" w:w="20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Étape 1</w:t>
            </w:r>
          </w:p>
        </w:tc>
      </w:tr>
      <w:tr>
        <w:trPr>
          <w:cantSplit/>
        </w:trPr>
        <w:tc>
          <w:tcPr>
            <w:tcW w:type="dxa" w:w="52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7</w:t>
            </w:r>
          </w:p>
        </w:tc>
        <w:tc>
          <w:tcPr>
            <w:tcW w:type="dxa" w:w="32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Listes de femmes perdues de vue</w:t>
            </w:r>
          </w:p>
        </w:tc>
        <w:tc>
          <w:tcPr>
            <w:tcW w:type="dxa" w:w="8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Haute</w:t>
            </w:r>
          </w:p>
        </w:tc>
        <w:tc>
          <w:tcPr>
            <w:tcW w:type="dxa" w:w="8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Moy.</w:t>
            </w:r>
          </w:p>
        </w:tc>
        <w:tc>
          <w:tcPr>
            <w:tcW w:type="dxa" w:w="86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Élevée</w:t>
            </w:r>
          </w:p>
        </w:tc>
        <w:tc>
          <w:tcPr>
            <w:tcW w:type="dxa" w:w="62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P0</w:t>
            </w:r>
          </w:p>
        </w:tc>
        <w:tc>
          <w:tcPr>
            <w:tcW w:type="dxa" w:w="6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S</w:t>
            </w:r>
          </w:p>
        </w:tc>
        <w:tc>
          <w:tcPr>
            <w:tcW w:type="dxa" w:w="20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Étapes 1 et 2</w:t>
            </w:r>
          </w:p>
        </w:tc>
      </w:tr>
      <w:tr>
        <w:trPr>
          <w:cantSplit/>
        </w:trPr>
        <w:tc>
          <w:tcPr>
            <w:tcW w:type="dxa" w:w="52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8</w:t>
            </w:r>
          </w:p>
        </w:tc>
        <w:tc>
          <w:tcPr>
            <w:tcW w:type="dxa" w:w="32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Hors ligne et synchronisation validés sur le terrain</w:t>
            </w:r>
          </w:p>
        </w:tc>
        <w:tc>
          <w:tcPr>
            <w:tcW w:type="dxa" w:w="8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Haute</w:t>
            </w:r>
          </w:p>
        </w:tc>
        <w:tc>
          <w:tcPr>
            <w:tcW w:type="dxa" w:w="8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Haute</w:t>
            </w:r>
          </w:p>
        </w:tc>
        <w:tc>
          <w:tcPr>
            <w:tcW w:type="dxa" w:w="86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Élevée</w:t>
            </w:r>
          </w:p>
        </w:tc>
        <w:tc>
          <w:tcPr>
            <w:tcW w:type="dxa" w:w="62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P0</w:t>
            </w:r>
          </w:p>
        </w:tc>
        <w:tc>
          <w:tcPr>
            <w:tcW w:type="dxa" w:w="6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M</w:t>
            </w:r>
          </w:p>
        </w:tc>
        <w:tc>
          <w:tcPr>
            <w:tcW w:type="dxa" w:w="20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Étapes 1 et 2</w:t>
            </w:r>
          </w:p>
        </w:tc>
      </w:tr>
      <w:tr>
        <w:trPr>
          <w:cantSplit/>
        </w:trPr>
        <w:tc>
          <w:tcPr>
            <w:tcW w:type="dxa" w:w="52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9</w:t>
            </w:r>
          </w:p>
        </w:tc>
        <w:tc>
          <w:tcPr>
            <w:tcW w:type="dxa" w:w="32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Historique de la femme</w:t>
            </w:r>
          </w:p>
        </w:tc>
        <w:tc>
          <w:tcPr>
            <w:tcW w:type="dxa" w:w="8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Haute</w:t>
            </w:r>
          </w:p>
        </w:tc>
        <w:tc>
          <w:tcPr>
            <w:tcW w:type="dxa" w:w="8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Moy.</w:t>
            </w:r>
          </w:p>
        </w:tc>
        <w:tc>
          <w:tcPr>
            <w:tcW w:type="dxa" w:w="86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Élevée</w:t>
            </w:r>
          </w:p>
        </w:tc>
        <w:tc>
          <w:tcPr>
            <w:tcW w:type="dxa" w:w="62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P0</w:t>
            </w:r>
          </w:p>
        </w:tc>
        <w:tc>
          <w:tcPr>
            <w:tcW w:type="dxa" w:w="6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S</w:t>
            </w:r>
          </w:p>
        </w:tc>
        <w:tc>
          <w:tcPr>
            <w:tcW w:type="dxa" w:w="20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Étape 2</w:t>
            </w:r>
          </w:p>
        </w:tc>
      </w:tr>
      <w:tr>
        <w:trPr>
          <w:cantSplit/>
        </w:trPr>
        <w:tc>
          <w:tcPr>
            <w:tcW w:type="dxa" w:w="52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10</w:t>
            </w:r>
          </w:p>
        </w:tc>
        <w:tc>
          <w:tcPr>
            <w:tcW w:type="dxa" w:w="32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Rapport mensuel automatique et échange agrégé vers le national</w:t>
            </w:r>
          </w:p>
        </w:tc>
        <w:tc>
          <w:tcPr>
            <w:tcW w:type="dxa" w:w="8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Haute</w:t>
            </w:r>
          </w:p>
        </w:tc>
        <w:tc>
          <w:tcPr>
            <w:tcW w:type="dxa" w:w="8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Moy.</w:t>
            </w:r>
          </w:p>
        </w:tc>
        <w:tc>
          <w:tcPr>
            <w:tcW w:type="dxa" w:w="86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Moy.</w:t>
            </w:r>
          </w:p>
        </w:tc>
        <w:tc>
          <w:tcPr>
            <w:tcW w:type="dxa" w:w="62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P1</w:t>
            </w:r>
          </w:p>
        </w:tc>
        <w:tc>
          <w:tcPr>
            <w:tcW w:type="dxa" w:w="6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L</w:t>
            </w:r>
          </w:p>
        </w:tc>
        <w:tc>
          <w:tcPr>
            <w:tcW w:type="dxa" w:w="20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Étape 2</w:t>
            </w:r>
          </w:p>
        </w:tc>
      </w:tr>
      <w:tr>
        <w:trPr>
          <w:cantSplit/>
        </w:trPr>
        <w:tc>
          <w:tcPr>
            <w:tcW w:type="dxa" w:w="52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11</w:t>
            </w:r>
          </w:p>
        </w:tc>
        <w:tc>
          <w:tcPr>
            <w:tcW w:type="dxa" w:w="32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Tableaux de bord de CSB et de district</w:t>
            </w:r>
          </w:p>
        </w:tc>
        <w:tc>
          <w:tcPr>
            <w:tcW w:type="dxa" w:w="8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Haute</w:t>
            </w:r>
          </w:p>
        </w:tc>
        <w:tc>
          <w:tcPr>
            <w:tcW w:type="dxa" w:w="8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Moy.</w:t>
            </w:r>
          </w:p>
        </w:tc>
        <w:tc>
          <w:tcPr>
            <w:tcW w:type="dxa" w:w="86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Élevée</w:t>
            </w:r>
          </w:p>
        </w:tc>
        <w:tc>
          <w:tcPr>
            <w:tcW w:type="dxa" w:w="62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P1</w:t>
            </w:r>
          </w:p>
        </w:tc>
        <w:tc>
          <w:tcPr>
            <w:tcW w:type="dxa" w:w="6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M</w:t>
            </w:r>
          </w:p>
        </w:tc>
        <w:tc>
          <w:tcPr>
            <w:tcW w:type="dxa" w:w="20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Étape 2</w:t>
            </w:r>
          </w:p>
        </w:tc>
      </w:tr>
      <w:tr>
        <w:trPr>
          <w:cantSplit/>
        </w:trPr>
        <w:tc>
          <w:tcPr>
            <w:tcW w:type="dxa" w:w="52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12</w:t>
            </w:r>
          </w:p>
        </w:tc>
        <w:tc>
          <w:tcPr>
            <w:tcW w:type="dxa" w:w="32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Orientation et contre-référence</w:t>
            </w:r>
          </w:p>
        </w:tc>
        <w:tc>
          <w:tcPr>
            <w:tcW w:type="dxa" w:w="8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Haute</w:t>
            </w:r>
          </w:p>
        </w:tc>
        <w:tc>
          <w:tcPr>
            <w:tcW w:type="dxa" w:w="8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Moy.</w:t>
            </w:r>
          </w:p>
        </w:tc>
        <w:tc>
          <w:tcPr>
            <w:tcW w:type="dxa" w:w="86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Moy.</w:t>
            </w:r>
          </w:p>
        </w:tc>
        <w:tc>
          <w:tcPr>
            <w:tcW w:type="dxa" w:w="62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P1</w:t>
            </w:r>
          </w:p>
        </w:tc>
        <w:tc>
          <w:tcPr>
            <w:tcW w:type="dxa" w:w="6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M</w:t>
            </w:r>
          </w:p>
        </w:tc>
        <w:tc>
          <w:tcPr>
            <w:tcW w:type="dxa" w:w="20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Étape 2</w:t>
            </w:r>
          </w:p>
        </w:tc>
      </w:tr>
      <w:tr>
        <w:trPr>
          <w:cantSplit/>
        </w:trPr>
        <w:tc>
          <w:tcPr>
            <w:tcW w:type="dxa" w:w="52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13</w:t>
            </w:r>
          </w:p>
        </w:tc>
        <w:tc>
          <w:tcPr>
            <w:tcW w:type="dxa" w:w="32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Contrôle qualité des données (validation, valeurs aberrantes, doublons)</w:t>
            </w:r>
          </w:p>
        </w:tc>
        <w:tc>
          <w:tcPr>
            <w:tcW w:type="dxa" w:w="8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Haute</w:t>
            </w:r>
          </w:p>
        </w:tc>
        <w:tc>
          <w:tcPr>
            <w:tcW w:type="dxa" w:w="8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Moy.</w:t>
            </w:r>
          </w:p>
        </w:tc>
        <w:tc>
          <w:tcPr>
            <w:tcW w:type="dxa" w:w="86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Élevée</w:t>
            </w:r>
          </w:p>
        </w:tc>
        <w:tc>
          <w:tcPr>
            <w:tcW w:type="dxa" w:w="62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P1</w:t>
            </w:r>
          </w:p>
        </w:tc>
        <w:tc>
          <w:tcPr>
            <w:tcW w:type="dxa" w:w="6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M</w:t>
            </w:r>
          </w:p>
        </w:tc>
        <w:tc>
          <w:tcPr>
            <w:tcW w:type="dxa" w:w="20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Étape 2</w:t>
            </w:r>
          </w:p>
        </w:tc>
      </w:tr>
      <w:tr>
        <w:trPr>
          <w:cantSplit/>
        </w:trPr>
        <w:tc>
          <w:tcPr>
            <w:tcW w:type="dxa" w:w="52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14</w:t>
            </w:r>
          </w:p>
        </w:tc>
        <w:tc>
          <w:tcPr>
            <w:tcW w:type="dxa" w:w="32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Accouchement, post-partum, suivi du nouveau-né</w:t>
            </w:r>
          </w:p>
        </w:tc>
        <w:tc>
          <w:tcPr>
            <w:tcW w:type="dxa" w:w="8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Haute</w:t>
            </w:r>
          </w:p>
        </w:tc>
        <w:tc>
          <w:tcPr>
            <w:tcW w:type="dxa" w:w="8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Moy.</w:t>
            </w:r>
          </w:p>
        </w:tc>
        <w:tc>
          <w:tcPr>
            <w:tcW w:type="dxa" w:w="86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Élevée</w:t>
            </w:r>
          </w:p>
        </w:tc>
        <w:tc>
          <w:tcPr>
            <w:tcW w:type="dxa" w:w="62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P1</w:t>
            </w:r>
          </w:p>
        </w:tc>
        <w:tc>
          <w:tcPr>
            <w:tcW w:type="dxa" w:w="6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M</w:t>
            </w:r>
          </w:p>
        </w:tc>
        <w:tc>
          <w:tcPr>
            <w:tcW w:type="dxa" w:w="20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Étape 2</w:t>
            </w:r>
          </w:p>
        </w:tc>
      </w:tr>
      <w:tr>
        <w:trPr>
          <w:cantSplit/>
        </w:trPr>
        <w:tc>
          <w:tcPr>
            <w:tcW w:type="dxa" w:w="52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15</w:t>
            </w:r>
          </w:p>
        </w:tc>
        <w:tc>
          <w:tcPr>
            <w:tcW w:type="dxa" w:w="32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Helpdesk humain (file de messages et réponses)</w:t>
            </w:r>
          </w:p>
        </w:tc>
        <w:tc>
          <w:tcPr>
            <w:tcW w:type="dxa" w:w="8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Haute</w:t>
            </w:r>
          </w:p>
        </w:tc>
        <w:tc>
          <w:tcPr>
            <w:tcW w:type="dxa" w:w="8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Moy.</w:t>
            </w:r>
          </w:p>
        </w:tc>
        <w:tc>
          <w:tcPr>
            <w:tcW w:type="dxa" w:w="86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Moy.</w:t>
            </w:r>
          </w:p>
        </w:tc>
        <w:tc>
          <w:tcPr>
            <w:tcW w:type="dxa" w:w="62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P1</w:t>
            </w:r>
          </w:p>
        </w:tc>
        <w:tc>
          <w:tcPr>
            <w:tcW w:type="dxa" w:w="6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L</w:t>
            </w:r>
          </w:p>
        </w:tc>
        <w:tc>
          <w:tcPr>
            <w:tcW w:type="dxa" w:w="20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Étape 2</w:t>
            </w:r>
          </w:p>
        </w:tc>
      </w:tr>
      <w:tr>
        <w:trPr>
          <w:cantSplit/>
        </w:trPr>
        <w:tc>
          <w:tcPr>
            <w:tcW w:type="dxa" w:w="52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16</w:t>
            </w:r>
          </w:p>
        </w:tc>
        <w:tc>
          <w:tcPr>
            <w:tcW w:type="dxa" w:w="32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Vaccination de l'enfant et suivi des enfants non vaccinés</w:t>
            </w:r>
          </w:p>
        </w:tc>
        <w:tc>
          <w:tcPr>
            <w:tcW w:type="dxa" w:w="8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Haute</w:t>
            </w:r>
          </w:p>
        </w:tc>
        <w:tc>
          <w:tcPr>
            <w:tcW w:type="dxa" w:w="8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Moy.</w:t>
            </w:r>
          </w:p>
        </w:tc>
        <w:tc>
          <w:tcPr>
            <w:tcW w:type="dxa" w:w="86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Moy.</w:t>
            </w:r>
          </w:p>
        </w:tc>
        <w:tc>
          <w:tcPr>
            <w:tcW w:type="dxa" w:w="62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P1</w:t>
            </w:r>
          </w:p>
        </w:tc>
        <w:tc>
          <w:tcPr>
            <w:tcW w:type="dxa" w:w="6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M</w:t>
            </w:r>
          </w:p>
        </w:tc>
        <w:tc>
          <w:tcPr>
            <w:tcW w:type="dxa" w:w="20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Étapes 2 et 3</w:t>
            </w:r>
          </w:p>
        </w:tc>
      </w:tr>
      <w:tr>
        <w:trPr>
          <w:cantSplit/>
        </w:trPr>
        <w:tc>
          <w:tcPr>
            <w:tcW w:type="dxa" w:w="52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17</w:t>
            </w:r>
          </w:p>
        </w:tc>
        <w:tc>
          <w:tcPr>
            <w:tcW w:type="dxa" w:w="32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Messages vocaux en malgache</w:t>
            </w:r>
          </w:p>
        </w:tc>
        <w:tc>
          <w:tcPr>
            <w:tcW w:type="dxa" w:w="8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Moy.</w:t>
            </w:r>
          </w:p>
        </w:tc>
        <w:tc>
          <w:tcPr>
            <w:tcW w:type="dxa" w:w="8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Moy.</w:t>
            </w:r>
          </w:p>
        </w:tc>
        <w:tc>
          <w:tcPr>
            <w:tcW w:type="dxa" w:w="86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Moy.</w:t>
            </w:r>
          </w:p>
        </w:tc>
        <w:tc>
          <w:tcPr>
            <w:tcW w:type="dxa" w:w="62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P1</w:t>
            </w:r>
          </w:p>
        </w:tc>
        <w:tc>
          <w:tcPr>
            <w:tcW w:type="dxa" w:w="6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L</w:t>
            </w:r>
          </w:p>
        </w:tc>
        <w:tc>
          <w:tcPr>
            <w:tcW w:type="dxa" w:w="20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Étapes 2 et 3</w:t>
            </w:r>
          </w:p>
        </w:tc>
      </w:tr>
      <w:tr>
        <w:trPr>
          <w:cantSplit/>
        </w:trPr>
        <w:tc>
          <w:tcPr>
            <w:tcW w:type="dxa" w:w="52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18</w:t>
            </w:r>
          </w:p>
        </w:tc>
        <w:tc>
          <w:tcPr>
            <w:tcW w:type="dxa" w:w="32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Planification familiale</w:t>
            </w:r>
          </w:p>
        </w:tc>
        <w:tc>
          <w:tcPr>
            <w:tcW w:type="dxa" w:w="8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Moy.</w:t>
            </w:r>
          </w:p>
        </w:tc>
        <w:tc>
          <w:tcPr>
            <w:tcW w:type="dxa" w:w="8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Moy.</w:t>
            </w:r>
          </w:p>
        </w:tc>
        <w:tc>
          <w:tcPr>
            <w:tcW w:type="dxa" w:w="86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Élevée</w:t>
            </w:r>
          </w:p>
        </w:tc>
        <w:tc>
          <w:tcPr>
            <w:tcW w:type="dxa" w:w="62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P1</w:t>
            </w:r>
          </w:p>
        </w:tc>
        <w:tc>
          <w:tcPr>
            <w:tcW w:type="dxa" w:w="6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M</w:t>
            </w:r>
          </w:p>
        </w:tc>
        <w:tc>
          <w:tcPr>
            <w:tcW w:type="dxa" w:w="20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Étape 3</w:t>
            </w:r>
          </w:p>
        </w:tc>
      </w:tr>
      <w:tr>
        <w:trPr>
          <w:cantSplit/>
        </w:trPr>
        <w:tc>
          <w:tcPr>
            <w:tcW w:type="dxa" w:w="52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19</w:t>
            </w:r>
          </w:p>
        </w:tc>
        <w:tc>
          <w:tcPr>
            <w:tcW w:type="dxa" w:w="32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IA-1 : classification et réponse validée sans génération</w:t>
            </w:r>
          </w:p>
        </w:tc>
        <w:tc>
          <w:tcPr>
            <w:tcW w:type="dxa" w:w="8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Moy.</w:t>
            </w:r>
          </w:p>
        </w:tc>
        <w:tc>
          <w:tcPr>
            <w:tcW w:type="dxa" w:w="8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Moy.</w:t>
            </w:r>
          </w:p>
        </w:tc>
        <w:tc>
          <w:tcPr>
            <w:tcW w:type="dxa" w:w="86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Moy.</w:t>
            </w:r>
          </w:p>
        </w:tc>
        <w:tc>
          <w:tcPr>
            <w:tcW w:type="dxa" w:w="62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P2</w:t>
            </w:r>
          </w:p>
        </w:tc>
        <w:tc>
          <w:tcPr>
            <w:tcW w:type="dxa" w:w="6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L</w:t>
            </w:r>
          </w:p>
        </w:tc>
        <w:tc>
          <w:tcPr>
            <w:tcW w:type="dxa" w:w="20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Étapes 2 et 3</w:t>
            </w:r>
          </w:p>
        </w:tc>
      </w:tr>
      <w:tr>
        <w:trPr>
          <w:cantSplit/>
        </w:trPr>
        <w:tc>
          <w:tcPr>
            <w:tcW w:type="dxa" w:w="52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20</w:t>
            </w:r>
          </w:p>
        </w:tc>
        <w:tc>
          <w:tcPr>
            <w:tcW w:type="dxa" w:w="32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Stock simple d'intrants prioritaires</w:t>
            </w:r>
          </w:p>
        </w:tc>
        <w:tc>
          <w:tcPr>
            <w:tcW w:type="dxa" w:w="8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Moy.</w:t>
            </w:r>
          </w:p>
        </w:tc>
        <w:tc>
          <w:tcPr>
            <w:tcW w:type="dxa" w:w="8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Moy.</w:t>
            </w:r>
          </w:p>
        </w:tc>
        <w:tc>
          <w:tcPr>
            <w:tcW w:type="dxa" w:w="86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Moy.</w:t>
            </w:r>
          </w:p>
        </w:tc>
        <w:tc>
          <w:tcPr>
            <w:tcW w:type="dxa" w:w="62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P2</w:t>
            </w:r>
          </w:p>
        </w:tc>
        <w:tc>
          <w:tcPr>
            <w:tcW w:type="dxa" w:w="6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M</w:t>
            </w:r>
          </w:p>
        </w:tc>
        <w:tc>
          <w:tcPr>
            <w:tcW w:type="dxa" w:w="20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Étape 3</w:t>
            </w:r>
          </w:p>
        </w:tc>
      </w:tr>
      <w:tr>
        <w:trPr>
          <w:cantSplit/>
        </w:trPr>
        <w:tc>
          <w:tcPr>
            <w:tcW w:type="dxa" w:w="52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21</w:t>
            </w:r>
          </w:p>
        </w:tc>
        <w:tc>
          <w:tcPr>
            <w:tcW w:type="dxa" w:w="32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Paiement des abonnements par Mobile Money</w:t>
            </w:r>
          </w:p>
        </w:tc>
        <w:tc>
          <w:tcPr>
            <w:tcW w:type="dxa" w:w="8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Moy.</w:t>
            </w:r>
          </w:p>
        </w:tc>
        <w:tc>
          <w:tcPr>
            <w:tcW w:type="dxa" w:w="8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Moy.</w:t>
            </w:r>
          </w:p>
        </w:tc>
        <w:tc>
          <w:tcPr>
            <w:tcW w:type="dxa" w:w="86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Moy.</w:t>
            </w:r>
          </w:p>
        </w:tc>
        <w:tc>
          <w:tcPr>
            <w:tcW w:type="dxa" w:w="62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P2</w:t>
            </w:r>
          </w:p>
        </w:tc>
        <w:tc>
          <w:tcPr>
            <w:tcW w:type="dxa" w:w="6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M</w:t>
            </w:r>
          </w:p>
        </w:tc>
        <w:tc>
          <w:tcPr>
            <w:tcW w:type="dxa" w:w="20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Étape 3</w:t>
            </w:r>
          </w:p>
        </w:tc>
      </w:tr>
      <w:tr>
        <w:trPr>
          <w:cantSplit/>
        </w:trPr>
        <w:tc>
          <w:tcPr>
            <w:tcW w:type="dxa" w:w="52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22</w:t>
            </w:r>
          </w:p>
        </w:tc>
        <w:tc>
          <w:tcPr>
            <w:tcW w:type="dxa" w:w="32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Courbes de croissance de l'enfant (fonction native de l'application)</w:t>
            </w:r>
          </w:p>
        </w:tc>
        <w:tc>
          <w:tcPr>
            <w:tcW w:type="dxa" w:w="8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Moy.</w:t>
            </w:r>
          </w:p>
        </w:tc>
        <w:tc>
          <w:tcPr>
            <w:tcW w:type="dxa" w:w="8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Basse</w:t>
            </w:r>
          </w:p>
        </w:tc>
        <w:tc>
          <w:tcPr>
            <w:tcW w:type="dxa" w:w="86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Élevée</w:t>
            </w:r>
          </w:p>
        </w:tc>
        <w:tc>
          <w:tcPr>
            <w:tcW w:type="dxa" w:w="62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P2</w:t>
            </w:r>
          </w:p>
        </w:tc>
        <w:tc>
          <w:tcPr>
            <w:tcW w:type="dxa" w:w="6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S</w:t>
            </w:r>
          </w:p>
        </w:tc>
        <w:tc>
          <w:tcPr>
            <w:tcW w:type="dxa" w:w="20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Étape 3</w:t>
            </w:r>
          </w:p>
        </w:tc>
      </w:tr>
      <w:tr>
        <w:trPr>
          <w:cantSplit/>
        </w:trPr>
        <w:tc>
          <w:tcPr>
            <w:tcW w:type="dxa" w:w="52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23</w:t>
            </w:r>
          </w:p>
        </w:tc>
        <w:tc>
          <w:tcPr>
            <w:tcW w:type="dxa" w:w="32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Canal Messenger pour les contenus validés</w:t>
            </w:r>
          </w:p>
        </w:tc>
        <w:tc>
          <w:tcPr>
            <w:tcW w:type="dxa" w:w="8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Moy.</w:t>
            </w:r>
          </w:p>
        </w:tc>
        <w:tc>
          <w:tcPr>
            <w:tcW w:type="dxa" w:w="8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Basse</w:t>
            </w:r>
          </w:p>
        </w:tc>
        <w:tc>
          <w:tcPr>
            <w:tcW w:type="dxa" w:w="86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Moy.</w:t>
            </w:r>
          </w:p>
        </w:tc>
        <w:tc>
          <w:tcPr>
            <w:tcW w:type="dxa" w:w="62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P2</w:t>
            </w:r>
          </w:p>
        </w:tc>
        <w:tc>
          <w:tcPr>
            <w:tcW w:type="dxa" w:w="6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M</w:t>
            </w:r>
          </w:p>
        </w:tc>
        <w:tc>
          <w:tcPr>
            <w:tcW w:type="dxa" w:w="20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Étape 3</w:t>
            </w:r>
          </w:p>
        </w:tc>
      </w:tr>
      <w:tr>
        <w:trPr>
          <w:cantSplit/>
        </w:trPr>
        <w:tc>
          <w:tcPr>
            <w:tcW w:type="dxa" w:w="52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24</w:t>
            </w:r>
          </w:p>
        </w:tc>
        <w:tc>
          <w:tcPr>
            <w:tcW w:type="dxa" w:w="32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Assistant pour agents fondé sur les protocoles (IA-3)</w:t>
            </w:r>
          </w:p>
        </w:tc>
        <w:tc>
          <w:tcPr>
            <w:tcW w:type="dxa" w:w="8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Moy.</w:t>
            </w:r>
          </w:p>
        </w:tc>
        <w:tc>
          <w:tcPr>
            <w:tcW w:type="dxa" w:w="8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Basse</w:t>
            </w:r>
          </w:p>
        </w:tc>
        <w:tc>
          <w:tcPr>
            <w:tcW w:type="dxa" w:w="86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Moy.</w:t>
            </w:r>
          </w:p>
        </w:tc>
        <w:tc>
          <w:tcPr>
            <w:tcW w:type="dxa" w:w="62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P2</w:t>
            </w:r>
          </w:p>
        </w:tc>
        <w:tc>
          <w:tcPr>
            <w:tcW w:type="dxa" w:w="6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L</w:t>
            </w:r>
          </w:p>
        </w:tc>
        <w:tc>
          <w:tcPr>
            <w:tcW w:type="dxa" w:w="20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Étape 3</w:t>
            </w:r>
          </w:p>
        </w:tc>
      </w:tr>
      <w:tr>
        <w:trPr>
          <w:cantSplit/>
        </w:trPr>
        <w:tc>
          <w:tcPr>
            <w:tcW w:type="dxa" w:w="52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25</w:t>
            </w:r>
          </w:p>
        </w:tc>
        <w:tc>
          <w:tcPr>
            <w:tcW w:type="dxa" w:w="32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IA-2 : génération contrainte par les passages validés</w:t>
            </w:r>
          </w:p>
        </w:tc>
        <w:tc>
          <w:tcPr>
            <w:tcW w:type="dxa" w:w="8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Moy.</w:t>
            </w:r>
          </w:p>
        </w:tc>
        <w:tc>
          <w:tcPr>
            <w:tcW w:type="dxa" w:w="8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Basse</w:t>
            </w:r>
          </w:p>
        </w:tc>
        <w:tc>
          <w:tcPr>
            <w:tcW w:type="dxa" w:w="86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Faible</w:t>
            </w:r>
          </w:p>
        </w:tc>
        <w:tc>
          <w:tcPr>
            <w:tcW w:type="dxa" w:w="62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P2</w:t>
            </w:r>
          </w:p>
        </w:tc>
        <w:tc>
          <w:tcPr>
            <w:tcW w:type="dxa" w:w="6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XL</w:t>
            </w:r>
          </w:p>
        </w:tc>
        <w:tc>
          <w:tcPr>
            <w:tcW w:type="dxa" w:w="20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Étape 3</w:t>
            </w:r>
          </w:p>
        </w:tc>
      </w:tr>
      <w:tr>
        <w:trPr>
          <w:cantSplit/>
        </w:trPr>
        <w:tc>
          <w:tcPr>
            <w:tcW w:type="dxa" w:w="52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26</w:t>
            </w:r>
          </w:p>
        </w:tc>
        <w:tc>
          <w:tcPr>
            <w:tcW w:type="dxa" w:w="32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Micro-formation courte des agents</w:t>
            </w:r>
          </w:p>
        </w:tc>
        <w:tc>
          <w:tcPr>
            <w:tcW w:type="dxa" w:w="8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Moy.</w:t>
            </w:r>
          </w:p>
        </w:tc>
        <w:tc>
          <w:tcPr>
            <w:tcW w:type="dxa" w:w="8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Basse</w:t>
            </w:r>
          </w:p>
        </w:tc>
        <w:tc>
          <w:tcPr>
            <w:tcW w:type="dxa" w:w="86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Moy.</w:t>
            </w:r>
          </w:p>
        </w:tc>
        <w:tc>
          <w:tcPr>
            <w:tcW w:type="dxa" w:w="62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P3</w:t>
            </w:r>
          </w:p>
        </w:tc>
        <w:tc>
          <w:tcPr>
            <w:tcW w:type="dxa" w:w="6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M</w:t>
            </w:r>
          </w:p>
        </w:tc>
        <w:tc>
          <w:tcPr>
            <w:tcW w:type="dxa" w:w="20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Étape 3</w:t>
            </w:r>
          </w:p>
        </w:tc>
      </w:tr>
      <w:tr>
        <w:trPr>
          <w:cantSplit/>
        </w:trPr>
        <w:tc>
          <w:tcPr>
            <w:tcW w:type="dxa" w:w="52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27</w:t>
            </w:r>
          </w:p>
        </w:tc>
        <w:tc>
          <w:tcPr>
            <w:tcW w:type="dxa" w:w="32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Partage de dossier par QR entre appareils sans réseau (transferts)</w:t>
            </w:r>
          </w:p>
        </w:tc>
        <w:tc>
          <w:tcPr>
            <w:tcW w:type="dxa" w:w="8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Moy.</w:t>
            </w:r>
          </w:p>
        </w:tc>
        <w:tc>
          <w:tcPr>
            <w:tcW w:type="dxa" w:w="8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Basse</w:t>
            </w:r>
          </w:p>
        </w:tc>
        <w:tc>
          <w:tcPr>
            <w:tcW w:type="dxa" w:w="86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Moy.</w:t>
            </w:r>
          </w:p>
        </w:tc>
        <w:tc>
          <w:tcPr>
            <w:tcW w:type="dxa" w:w="62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P3</w:t>
            </w:r>
          </w:p>
        </w:tc>
        <w:tc>
          <w:tcPr>
            <w:tcW w:type="dxa" w:w="6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M</w:t>
            </w:r>
          </w:p>
        </w:tc>
        <w:tc>
          <w:tcPr>
            <w:tcW w:type="dxa" w:w="20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Étapes 3 et 4</w:t>
            </w:r>
          </w:p>
        </w:tc>
      </w:tr>
      <w:tr>
        <w:trPr>
          <w:cantSplit/>
        </w:trPr>
        <w:tc>
          <w:tcPr>
            <w:tcW w:type="dxa" w:w="52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28</w:t>
            </w:r>
          </w:p>
        </w:tc>
        <w:tc>
          <w:tcPr>
            <w:tcW w:type="dxa" w:w="32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Tensiomètre ou balance connectés (IoT)</w:t>
            </w:r>
          </w:p>
        </w:tc>
        <w:tc>
          <w:tcPr>
            <w:tcW w:type="dxa" w:w="8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Moy.</w:t>
            </w:r>
          </w:p>
        </w:tc>
        <w:tc>
          <w:tcPr>
            <w:tcW w:type="dxa" w:w="8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Basse</w:t>
            </w:r>
          </w:p>
        </w:tc>
        <w:tc>
          <w:tcPr>
            <w:tcW w:type="dxa" w:w="86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Faible</w:t>
            </w:r>
          </w:p>
        </w:tc>
        <w:tc>
          <w:tcPr>
            <w:tcW w:type="dxa" w:w="62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P3</w:t>
            </w:r>
          </w:p>
        </w:tc>
        <w:tc>
          <w:tcPr>
            <w:tcW w:type="dxa" w:w="6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XL</w:t>
            </w:r>
          </w:p>
        </w:tc>
        <w:tc>
          <w:tcPr>
            <w:tcW w:type="dxa" w:w="20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Étape 4</w:t>
            </w:r>
          </w:p>
        </w:tc>
      </w:tr>
      <w:tr>
        <w:trPr>
          <w:cantSplit/>
        </w:trPr>
        <w:tc>
          <w:tcPr>
            <w:tcW w:type="dxa" w:w="52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29</w:t>
            </w:r>
          </w:p>
        </w:tc>
        <w:tc>
          <w:tcPr>
            <w:tcW w:type="dxa" w:w="32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Score de risque individuel (complications, abandon)</w:t>
            </w:r>
          </w:p>
        </w:tc>
        <w:tc>
          <w:tcPr>
            <w:tcW w:type="dxa" w:w="8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Moy.</w:t>
            </w:r>
          </w:p>
        </w:tc>
        <w:tc>
          <w:tcPr>
            <w:tcW w:type="dxa" w:w="8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Basse</w:t>
            </w:r>
          </w:p>
        </w:tc>
        <w:tc>
          <w:tcPr>
            <w:tcW w:type="dxa" w:w="86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Faible</w:t>
            </w:r>
          </w:p>
        </w:tc>
        <w:tc>
          <w:tcPr>
            <w:tcW w:type="dxa" w:w="62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P3</w:t>
            </w:r>
          </w:p>
        </w:tc>
        <w:tc>
          <w:tcPr>
            <w:tcW w:type="dxa" w:w="6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XL</w:t>
            </w:r>
          </w:p>
        </w:tc>
        <w:tc>
          <w:tcPr>
            <w:tcW w:type="dxa" w:w="20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Étape 4</w:t>
            </w:r>
          </w:p>
        </w:tc>
      </w:tr>
      <w:tr>
        <w:trPr>
          <w:cantSplit/>
        </w:trPr>
        <w:tc>
          <w:tcPr>
            <w:tcW w:type="dxa" w:w="52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30</w:t>
            </w:r>
          </w:p>
        </w:tc>
        <w:tc>
          <w:tcPr>
            <w:tcW w:type="dxa" w:w="32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Passerelle nationale d'échange (FHIR, identifiant national)</w:t>
            </w:r>
          </w:p>
        </w:tc>
        <w:tc>
          <w:tcPr>
            <w:tcW w:type="dxa" w:w="8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Moy.</w:t>
            </w:r>
          </w:p>
        </w:tc>
        <w:tc>
          <w:tcPr>
            <w:tcW w:type="dxa" w:w="8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Basse</w:t>
            </w:r>
          </w:p>
        </w:tc>
        <w:tc>
          <w:tcPr>
            <w:tcW w:type="dxa" w:w="86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Faible</w:t>
            </w:r>
          </w:p>
        </w:tc>
        <w:tc>
          <w:tcPr>
            <w:tcW w:type="dxa" w:w="62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P3</w:t>
            </w:r>
          </w:p>
        </w:tc>
        <w:tc>
          <w:tcPr>
            <w:tcW w:type="dxa" w:w="6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XL</w:t>
            </w:r>
          </w:p>
        </w:tc>
        <w:tc>
          <w:tcPr>
            <w:tcW w:type="dxa" w:w="20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Étape 4</w:t>
            </w:r>
          </w:p>
        </w:tc>
      </w:tr>
    </w:tbl>
    <w:p>
      <w:pPr>
        <w:spacing w:after="130"/>
      </w:pPr>
    </w:p>
    <w:p>
      <w:pPr>
        <w:pStyle w:val="Heading1"/>
        <w:keepNext/>
      </w:pPr>
      <w:r>
        <w:t xml:space="preserve">14. Services de données et IA de surveillance pour les politiques publiques</w:t>
      </w:r>
    </w:p>
    <w:p>
      <w:pPr>
        <w:spacing w:after="130" w:line="288"/>
      </w:pPr>
      <w:r>
        <w:t xml:space="preserve">Une fois le suivi individuel en place, les données agrégées de Maternal AI peuvent servir à piloter la santé maternelle et infantile. Le modèle est un service (Health Data and Analytics as a Service) : tableaux, alertes, analyses et rapports fournis à des institutions, sans jamais transmettre de dossier individuel. Le tableau classe les services par ordre de priorité. Le type indique D pour un service de données et IA pour une analyse par apprentissage automatique ou statistique avancée. Les colonnes Imp., Urg. et Fais. se lisent comme dans la section 13.</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480"/>
        <w:gridCol w:w="3100"/>
        <w:gridCol w:w="620"/>
        <w:gridCol w:w="700"/>
        <w:gridCol w:w="700"/>
        <w:gridCol w:w="760"/>
        <w:gridCol w:w="560"/>
        <w:gridCol w:w="2486"/>
      </w:tblGrid>
      <w:tr>
        <w:trPr>
          <w:cantSplit/>
          <w:tblHeader/>
        </w:trPr>
        <w:tc>
          <w:tcPr>
            <w:tcW w:type="dxa" w:w="480"/>
            <w:tcBorders>
              <w:top w:val="single" w:color="E6CFCF" w:sz="4"/>
              <w:left w:val="single" w:color="E6CFCF" w:sz="4"/>
              <w:bottom w:val="single" w:color="E6CFCF" w:sz="4"/>
              <w:right w:val="single" w:color="E6CFCF" w:sz="4"/>
            </w:tcBorders>
            <w:shd w:fill="FBEBEB" w:color="auto" w:val="clear"/>
            <w:tcMar>
              <w:top w:type="dxa" w:w="60"/>
              <w:left w:type="dxa" w:w="80"/>
              <w:bottom w:type="dxa" w:w="60"/>
              <w:right w:type="dxa" w:w="80"/>
            </w:tcMar>
          </w:tcPr>
          <w:p>
            <w:pPr>
              <w:spacing w:after="0"/>
            </w:pPr>
            <w:r>
              <w:rPr>
                <w:b/>
                <w:bCs/>
                <w:color w:val="D85C5C"/>
                <w:sz w:val="17"/>
                <w:szCs w:val="17"/>
              </w:rPr>
              <w:t xml:space="preserve">N°</w:t>
            </w:r>
          </w:p>
        </w:tc>
        <w:tc>
          <w:tcPr>
            <w:tcW w:type="dxa" w:w="3100"/>
            <w:tcBorders>
              <w:top w:val="single" w:color="E6CFCF" w:sz="4"/>
              <w:left w:val="single" w:color="E6CFCF" w:sz="4"/>
              <w:bottom w:val="single" w:color="E6CFCF" w:sz="4"/>
              <w:right w:val="single" w:color="E6CFCF" w:sz="4"/>
            </w:tcBorders>
            <w:shd w:fill="FBEBEB" w:color="auto" w:val="clear"/>
            <w:tcMar>
              <w:top w:type="dxa" w:w="60"/>
              <w:left w:type="dxa" w:w="80"/>
              <w:bottom w:type="dxa" w:w="60"/>
              <w:right w:type="dxa" w:w="80"/>
            </w:tcMar>
          </w:tcPr>
          <w:p>
            <w:pPr>
              <w:spacing w:after="0"/>
            </w:pPr>
            <w:r>
              <w:rPr>
                <w:b/>
                <w:bCs/>
                <w:color w:val="D85C5C"/>
                <w:sz w:val="17"/>
                <w:szCs w:val="17"/>
              </w:rPr>
              <w:t xml:space="preserve">Service</w:t>
            </w:r>
          </w:p>
        </w:tc>
        <w:tc>
          <w:tcPr>
            <w:tcW w:type="dxa" w:w="620"/>
            <w:tcBorders>
              <w:top w:val="single" w:color="E6CFCF" w:sz="4"/>
              <w:left w:val="single" w:color="E6CFCF" w:sz="4"/>
              <w:bottom w:val="single" w:color="E6CFCF" w:sz="4"/>
              <w:right w:val="single" w:color="E6CFCF" w:sz="4"/>
            </w:tcBorders>
            <w:shd w:fill="FBEBEB" w:color="auto" w:val="clear"/>
            <w:tcMar>
              <w:top w:type="dxa" w:w="60"/>
              <w:left w:type="dxa" w:w="80"/>
              <w:bottom w:type="dxa" w:w="60"/>
              <w:right w:type="dxa" w:w="80"/>
            </w:tcMar>
          </w:tcPr>
          <w:p>
            <w:pPr>
              <w:spacing w:after="0"/>
            </w:pPr>
            <w:r>
              <w:rPr>
                <w:b/>
                <w:bCs/>
                <w:color w:val="D85C5C"/>
                <w:sz w:val="17"/>
                <w:szCs w:val="17"/>
              </w:rPr>
              <w:t xml:space="preserve">Type</w:t>
            </w:r>
          </w:p>
        </w:tc>
        <w:tc>
          <w:tcPr>
            <w:tcW w:type="dxa" w:w="700"/>
            <w:tcBorders>
              <w:top w:val="single" w:color="E6CFCF" w:sz="4"/>
              <w:left w:val="single" w:color="E6CFCF" w:sz="4"/>
              <w:bottom w:val="single" w:color="E6CFCF" w:sz="4"/>
              <w:right w:val="single" w:color="E6CFCF" w:sz="4"/>
            </w:tcBorders>
            <w:shd w:fill="FBEBEB" w:color="auto" w:val="clear"/>
            <w:tcMar>
              <w:top w:type="dxa" w:w="60"/>
              <w:left w:type="dxa" w:w="80"/>
              <w:bottom w:type="dxa" w:w="60"/>
              <w:right w:type="dxa" w:w="80"/>
            </w:tcMar>
          </w:tcPr>
          <w:p>
            <w:pPr>
              <w:spacing w:after="0"/>
            </w:pPr>
            <w:r>
              <w:rPr>
                <w:b/>
                <w:bCs/>
                <w:color w:val="D85C5C"/>
                <w:sz w:val="17"/>
                <w:szCs w:val="17"/>
              </w:rPr>
              <w:t xml:space="preserve">Imp.</w:t>
            </w:r>
          </w:p>
        </w:tc>
        <w:tc>
          <w:tcPr>
            <w:tcW w:type="dxa" w:w="700"/>
            <w:tcBorders>
              <w:top w:val="single" w:color="E6CFCF" w:sz="4"/>
              <w:left w:val="single" w:color="E6CFCF" w:sz="4"/>
              <w:bottom w:val="single" w:color="E6CFCF" w:sz="4"/>
              <w:right w:val="single" w:color="E6CFCF" w:sz="4"/>
            </w:tcBorders>
            <w:shd w:fill="FBEBEB" w:color="auto" w:val="clear"/>
            <w:tcMar>
              <w:top w:type="dxa" w:w="60"/>
              <w:left w:type="dxa" w:w="80"/>
              <w:bottom w:type="dxa" w:w="60"/>
              <w:right w:type="dxa" w:w="80"/>
            </w:tcMar>
          </w:tcPr>
          <w:p>
            <w:pPr>
              <w:spacing w:after="0"/>
            </w:pPr>
            <w:r>
              <w:rPr>
                <w:b/>
                <w:bCs/>
                <w:color w:val="D85C5C"/>
                <w:sz w:val="17"/>
                <w:szCs w:val="17"/>
              </w:rPr>
              <w:t xml:space="preserve">Urg.</w:t>
            </w:r>
          </w:p>
        </w:tc>
        <w:tc>
          <w:tcPr>
            <w:tcW w:type="dxa" w:w="760"/>
            <w:tcBorders>
              <w:top w:val="single" w:color="E6CFCF" w:sz="4"/>
              <w:left w:val="single" w:color="E6CFCF" w:sz="4"/>
              <w:bottom w:val="single" w:color="E6CFCF" w:sz="4"/>
              <w:right w:val="single" w:color="E6CFCF" w:sz="4"/>
            </w:tcBorders>
            <w:shd w:fill="FBEBEB" w:color="auto" w:val="clear"/>
            <w:tcMar>
              <w:top w:type="dxa" w:w="60"/>
              <w:left w:type="dxa" w:w="80"/>
              <w:bottom w:type="dxa" w:w="60"/>
              <w:right w:type="dxa" w:w="80"/>
            </w:tcMar>
          </w:tcPr>
          <w:p>
            <w:pPr>
              <w:spacing w:after="0"/>
            </w:pPr>
            <w:r>
              <w:rPr>
                <w:b/>
                <w:bCs/>
                <w:color w:val="D85C5C"/>
                <w:sz w:val="17"/>
                <w:szCs w:val="17"/>
              </w:rPr>
              <w:t xml:space="preserve">Fais.</w:t>
            </w:r>
          </w:p>
        </w:tc>
        <w:tc>
          <w:tcPr>
            <w:tcW w:type="dxa" w:w="560"/>
            <w:tcBorders>
              <w:top w:val="single" w:color="E6CFCF" w:sz="4"/>
              <w:left w:val="single" w:color="E6CFCF" w:sz="4"/>
              <w:bottom w:val="single" w:color="E6CFCF" w:sz="4"/>
              <w:right w:val="single" w:color="E6CFCF" w:sz="4"/>
            </w:tcBorders>
            <w:shd w:fill="FBEBEB" w:color="auto" w:val="clear"/>
            <w:tcMar>
              <w:top w:type="dxa" w:w="60"/>
              <w:left w:type="dxa" w:w="80"/>
              <w:bottom w:type="dxa" w:w="60"/>
              <w:right w:type="dxa" w:w="80"/>
            </w:tcMar>
          </w:tcPr>
          <w:p>
            <w:pPr>
              <w:spacing w:after="0"/>
            </w:pPr>
            <w:r>
              <w:rPr>
                <w:b/>
                <w:bCs/>
                <w:color w:val="D85C5C"/>
                <w:sz w:val="17"/>
                <w:szCs w:val="17"/>
              </w:rPr>
              <w:t xml:space="preserve">Prio.</w:t>
            </w:r>
          </w:p>
        </w:tc>
        <w:tc>
          <w:tcPr>
            <w:tcW w:type="dxa" w:w="2486"/>
            <w:tcBorders>
              <w:top w:val="single" w:color="E6CFCF" w:sz="4"/>
              <w:left w:val="single" w:color="E6CFCF" w:sz="4"/>
              <w:bottom w:val="single" w:color="E6CFCF" w:sz="4"/>
              <w:right w:val="single" w:color="E6CFCF" w:sz="4"/>
            </w:tcBorders>
            <w:shd w:fill="FBEBEB" w:color="auto" w:val="clear"/>
            <w:tcMar>
              <w:top w:type="dxa" w:w="60"/>
              <w:left w:type="dxa" w:w="80"/>
              <w:bottom w:type="dxa" w:w="60"/>
              <w:right w:type="dxa" w:w="80"/>
            </w:tcMar>
          </w:tcPr>
          <w:p>
            <w:pPr>
              <w:spacing w:after="0"/>
            </w:pPr>
            <w:r>
              <w:rPr>
                <w:b/>
                <w:bCs/>
                <w:color w:val="D85C5C"/>
                <w:sz w:val="17"/>
                <w:szCs w:val="17"/>
              </w:rPr>
              <w:t xml:space="preserve">Prérequis</w:t>
            </w:r>
          </w:p>
        </w:tc>
      </w:tr>
      <w:tr>
        <w:trPr>
          <w:cantSplit/>
        </w:trPr>
        <w:tc>
          <w:tcPr>
            <w:tcW w:type="dxa" w:w="48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1</w:t>
            </w:r>
          </w:p>
        </w:tc>
        <w:tc>
          <w:tcPr>
            <w:tcW w:type="dxa" w:w="31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Tableau de continuité des soins par district : CPN 4, accouchements assistés, femmes perdues de vue, pour les directions régionales et les programmes, aligné sur les cibles 2029</w:t>
            </w:r>
          </w:p>
        </w:tc>
        <w:tc>
          <w:tcPr>
            <w:tcW w:type="dxa" w:w="62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D</w:t>
            </w:r>
          </w:p>
        </w:tc>
        <w:tc>
          <w:tcPr>
            <w:tcW w:type="dxa" w:w="7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Haute</w:t>
            </w:r>
          </w:p>
        </w:tc>
        <w:tc>
          <w:tcPr>
            <w:tcW w:type="dxa" w:w="7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Haute</w:t>
            </w:r>
          </w:p>
        </w:tc>
        <w:tc>
          <w:tcPr>
            <w:tcW w:type="dxa" w:w="76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Élevée</w:t>
            </w:r>
          </w:p>
        </w:tc>
        <w:tc>
          <w:tcPr>
            <w:tcW w:type="dxa" w:w="56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P0</w:t>
            </w:r>
          </w:p>
        </w:tc>
        <w:tc>
          <w:tcPr>
            <w:tcW w:type="dxa" w:w="248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Données des étapes 1 et 2, accord du district</w:t>
            </w:r>
          </w:p>
        </w:tc>
      </w:tr>
      <w:tr>
        <w:trPr>
          <w:cantSplit/>
        </w:trPr>
        <w:tc>
          <w:tcPr>
            <w:tcW w:type="dxa" w:w="48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2</w:t>
            </w:r>
          </w:p>
        </w:tc>
        <w:tc>
          <w:tcPr>
            <w:tcW w:type="dxa" w:w="31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Rapport mensuel automatisé et contrôle qualité : retards de saisie, doublons, valeurs aberrantes</w:t>
            </w:r>
          </w:p>
        </w:tc>
        <w:tc>
          <w:tcPr>
            <w:tcW w:type="dxa" w:w="62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D</w:t>
            </w:r>
          </w:p>
        </w:tc>
        <w:tc>
          <w:tcPr>
            <w:tcW w:type="dxa" w:w="7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Haute</w:t>
            </w:r>
          </w:p>
        </w:tc>
        <w:tc>
          <w:tcPr>
            <w:tcW w:type="dxa" w:w="7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Haute</w:t>
            </w:r>
          </w:p>
        </w:tc>
        <w:tc>
          <w:tcPr>
            <w:tcW w:type="dxa" w:w="76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Élevée</w:t>
            </w:r>
          </w:p>
        </w:tc>
        <w:tc>
          <w:tcPr>
            <w:tcW w:type="dxa" w:w="56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P0</w:t>
            </w:r>
          </w:p>
        </w:tc>
        <w:tc>
          <w:tcPr>
            <w:tcW w:type="dxa" w:w="248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Configuration DHIS2, validation par la DEPSI</w:t>
            </w:r>
          </w:p>
        </w:tc>
      </w:tr>
      <w:tr>
        <w:trPr>
          <w:cantSplit/>
        </w:trPr>
        <w:tc>
          <w:tcPr>
            <w:tcW w:type="dxa" w:w="48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3</w:t>
            </w:r>
          </w:p>
        </w:tc>
        <w:tc>
          <w:tcPr>
            <w:tcW w:type="dxa" w:w="31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Cartographie des inégalités d'accès : cartes par district, commune et CSB, régions prioritaires, rural et urbain</w:t>
            </w:r>
          </w:p>
        </w:tc>
        <w:tc>
          <w:tcPr>
            <w:tcW w:type="dxa" w:w="62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D</w:t>
            </w:r>
          </w:p>
        </w:tc>
        <w:tc>
          <w:tcPr>
            <w:tcW w:type="dxa" w:w="7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Haute</w:t>
            </w:r>
          </w:p>
        </w:tc>
        <w:tc>
          <w:tcPr>
            <w:tcW w:type="dxa" w:w="7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Moy.</w:t>
            </w:r>
          </w:p>
        </w:tc>
        <w:tc>
          <w:tcPr>
            <w:tcW w:type="dxa" w:w="76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Élevée</w:t>
            </w:r>
          </w:p>
        </w:tc>
        <w:tc>
          <w:tcPr>
            <w:tcW w:type="dxa" w:w="56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P1</w:t>
            </w:r>
          </w:p>
        </w:tc>
        <w:tc>
          <w:tcPr>
            <w:tcW w:type="dxa" w:w="248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Hiérarchie des unités d'organisation et coordonnées à jour</w:t>
            </w:r>
          </w:p>
        </w:tc>
      </w:tr>
      <w:tr>
        <w:trPr>
          <w:cantSplit/>
        </w:trPr>
        <w:tc>
          <w:tcPr>
            <w:tcW w:type="dxa" w:w="48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4</w:t>
            </w:r>
          </w:p>
        </w:tc>
        <w:tc>
          <w:tcPr>
            <w:tcW w:type="dxa" w:w="31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Suivi des enfants non vaccinés et perdus de vue</w:t>
            </w:r>
          </w:p>
        </w:tc>
        <w:tc>
          <w:tcPr>
            <w:tcW w:type="dxa" w:w="62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D</w:t>
            </w:r>
          </w:p>
        </w:tc>
        <w:tc>
          <w:tcPr>
            <w:tcW w:type="dxa" w:w="7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Haute</w:t>
            </w:r>
          </w:p>
        </w:tc>
        <w:tc>
          <w:tcPr>
            <w:tcW w:type="dxa" w:w="7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Moy.</w:t>
            </w:r>
          </w:p>
        </w:tc>
        <w:tc>
          <w:tcPr>
            <w:tcW w:type="dxa" w:w="76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Moy.</w:t>
            </w:r>
          </w:p>
        </w:tc>
        <w:tc>
          <w:tcPr>
            <w:tcW w:type="dxa" w:w="56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P1</w:t>
            </w:r>
          </w:p>
        </w:tc>
        <w:tc>
          <w:tcPr>
            <w:tcW w:type="dxa" w:w="248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Extension au carnet de l'enfant, accord du programme concerné</w:t>
            </w:r>
          </w:p>
        </w:tc>
      </w:tr>
      <w:tr>
        <w:trPr>
          <w:cantSplit/>
        </w:trPr>
        <w:tc>
          <w:tcPr>
            <w:tcW w:type="dxa" w:w="48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5</w:t>
            </w:r>
          </w:p>
        </w:tc>
        <w:tc>
          <w:tcPr>
            <w:tcW w:type="dxa" w:w="31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Suivi des urgences obstétricales et des orientations : délais, issues</w:t>
            </w:r>
          </w:p>
        </w:tc>
        <w:tc>
          <w:tcPr>
            <w:tcW w:type="dxa" w:w="62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D</w:t>
            </w:r>
          </w:p>
        </w:tc>
        <w:tc>
          <w:tcPr>
            <w:tcW w:type="dxa" w:w="7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Haute</w:t>
            </w:r>
          </w:p>
        </w:tc>
        <w:tc>
          <w:tcPr>
            <w:tcW w:type="dxa" w:w="7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Moy.</w:t>
            </w:r>
          </w:p>
        </w:tc>
        <w:tc>
          <w:tcPr>
            <w:tcW w:type="dxa" w:w="76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Moy.</w:t>
            </w:r>
          </w:p>
        </w:tc>
        <w:tc>
          <w:tcPr>
            <w:tcW w:type="dxa" w:w="56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P1</w:t>
            </w:r>
          </w:p>
        </w:tc>
        <w:tc>
          <w:tcPr>
            <w:tcW w:type="dxa" w:w="248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Formulaire d'orientation adopté, retours des structures de référence</w:t>
            </w:r>
          </w:p>
        </w:tc>
      </w:tr>
      <w:tr>
        <w:trPr>
          <w:cantSplit/>
        </w:trPr>
        <w:tc>
          <w:tcPr>
            <w:tcW w:type="dxa" w:w="48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6</w:t>
            </w:r>
          </w:p>
        </w:tc>
        <w:tc>
          <w:tcPr>
            <w:tcW w:type="dxa" w:w="31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Détection de signaux faibles : baisse des CPN, hausse des orientations urgentes, ruptures de suivi, par analyse de séries temporelles</w:t>
            </w:r>
          </w:p>
        </w:tc>
        <w:tc>
          <w:tcPr>
            <w:tcW w:type="dxa" w:w="62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IA</w:t>
            </w:r>
          </w:p>
        </w:tc>
        <w:tc>
          <w:tcPr>
            <w:tcW w:type="dxa" w:w="7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Moy.</w:t>
            </w:r>
          </w:p>
        </w:tc>
        <w:tc>
          <w:tcPr>
            <w:tcW w:type="dxa" w:w="7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Moy.</w:t>
            </w:r>
          </w:p>
        </w:tc>
        <w:tc>
          <w:tcPr>
            <w:tcW w:type="dxa" w:w="76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Moy.</w:t>
            </w:r>
          </w:p>
        </w:tc>
        <w:tc>
          <w:tcPr>
            <w:tcW w:type="dxa" w:w="56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P2</w:t>
            </w:r>
          </w:p>
        </w:tc>
        <w:tc>
          <w:tcPr>
            <w:tcW w:type="dxa" w:w="248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Au moins une année d'historique par site, règles d'alerte validées, revue humaine</w:t>
            </w:r>
          </w:p>
        </w:tc>
      </w:tr>
      <w:tr>
        <w:trPr>
          <w:cantSplit/>
        </w:trPr>
        <w:tc>
          <w:tcPr>
            <w:tcW w:type="dxa" w:w="48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7</w:t>
            </w:r>
          </w:p>
        </w:tc>
        <w:tc>
          <w:tcPr>
            <w:tcW w:type="dxa" w:w="31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Appui numérique à la surveillance des décès maternels et périnatals : notification, revue, recommandations</w:t>
            </w:r>
          </w:p>
        </w:tc>
        <w:tc>
          <w:tcPr>
            <w:tcW w:type="dxa" w:w="62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D</w:t>
            </w:r>
          </w:p>
        </w:tc>
        <w:tc>
          <w:tcPr>
            <w:tcW w:type="dxa" w:w="7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Haute</w:t>
            </w:r>
          </w:p>
        </w:tc>
        <w:tc>
          <w:tcPr>
            <w:tcW w:type="dxa" w:w="7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Moy.</w:t>
            </w:r>
          </w:p>
        </w:tc>
        <w:tc>
          <w:tcPr>
            <w:tcW w:type="dxa" w:w="76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Faible</w:t>
            </w:r>
          </w:p>
        </w:tc>
        <w:tc>
          <w:tcPr>
            <w:tcW w:type="dxa" w:w="56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P2</w:t>
            </w:r>
          </w:p>
        </w:tc>
        <w:tc>
          <w:tcPr>
            <w:tcW w:type="dxa" w:w="248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Protocole national, comité de revue, cadre éthique renforcé</w:t>
            </w:r>
          </w:p>
        </w:tc>
      </w:tr>
      <w:tr>
        <w:trPr>
          <w:cantSplit/>
        </w:trPr>
        <w:tc>
          <w:tcPr>
            <w:tcW w:type="dxa" w:w="48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8</w:t>
            </w:r>
          </w:p>
        </w:tc>
        <w:tc>
          <w:tcPr>
            <w:tcW w:type="dxa" w:w="31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Prévision des besoins en intrants de santé maternelle (ocytocine, sulfate de magnésium, kits d'accouchement) selon les accouchements attendus</w:t>
            </w:r>
          </w:p>
        </w:tc>
        <w:tc>
          <w:tcPr>
            <w:tcW w:type="dxa" w:w="62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IA</w:t>
            </w:r>
          </w:p>
        </w:tc>
        <w:tc>
          <w:tcPr>
            <w:tcW w:type="dxa" w:w="7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Moy.</w:t>
            </w:r>
          </w:p>
        </w:tc>
        <w:tc>
          <w:tcPr>
            <w:tcW w:type="dxa" w:w="7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Moy.</w:t>
            </w:r>
          </w:p>
        </w:tc>
        <w:tc>
          <w:tcPr>
            <w:tcW w:type="dxa" w:w="76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Moy.</w:t>
            </w:r>
          </w:p>
        </w:tc>
        <w:tc>
          <w:tcPr>
            <w:tcW w:type="dxa" w:w="56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P2</w:t>
            </w:r>
          </w:p>
        </w:tc>
        <w:tc>
          <w:tcPr>
            <w:tcW w:type="dxa" w:w="248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Données de stock fiables, partenaire logistique</w:t>
            </w:r>
          </w:p>
        </w:tc>
      </w:tr>
      <w:tr>
        <w:trPr>
          <w:cantSplit/>
        </w:trPr>
        <w:tc>
          <w:tcPr>
            <w:tcW w:type="dxa" w:w="48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9</w:t>
            </w:r>
          </w:p>
        </w:tc>
        <w:tc>
          <w:tcPr>
            <w:tcW w:type="dxa" w:w="31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Alerte de continuité des soins avant cyclone ou inondation : accouchements attendus dans les zones à risque</w:t>
            </w:r>
          </w:p>
        </w:tc>
        <w:tc>
          <w:tcPr>
            <w:tcW w:type="dxa" w:w="62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IA</w:t>
            </w:r>
          </w:p>
        </w:tc>
        <w:tc>
          <w:tcPr>
            <w:tcW w:type="dxa" w:w="7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Moy.</w:t>
            </w:r>
          </w:p>
        </w:tc>
        <w:tc>
          <w:tcPr>
            <w:tcW w:type="dxa" w:w="7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Basse</w:t>
            </w:r>
          </w:p>
        </w:tc>
        <w:tc>
          <w:tcPr>
            <w:tcW w:type="dxa" w:w="76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Moy.</w:t>
            </w:r>
          </w:p>
        </w:tc>
        <w:tc>
          <w:tcPr>
            <w:tcW w:type="dxa" w:w="56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P2</w:t>
            </w:r>
          </w:p>
        </w:tc>
        <w:tc>
          <w:tcPr>
            <w:tcW w:type="dxa" w:w="248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Dates prévues fiables, données des autorités de gestion des risques</w:t>
            </w:r>
          </w:p>
        </w:tc>
      </w:tr>
      <w:tr>
        <w:trPr>
          <w:cantSplit/>
        </w:trPr>
        <w:tc>
          <w:tcPr>
            <w:tcW w:type="dxa" w:w="48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10</w:t>
            </w:r>
          </w:p>
        </w:tc>
        <w:tc>
          <w:tcPr>
            <w:tcW w:type="dxa" w:w="31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Évaluation d'impact des programmes : sites suivis comparés à des sites témoins</w:t>
            </w:r>
          </w:p>
        </w:tc>
        <w:tc>
          <w:tcPr>
            <w:tcW w:type="dxa" w:w="62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D</w:t>
            </w:r>
          </w:p>
        </w:tc>
        <w:tc>
          <w:tcPr>
            <w:tcW w:type="dxa" w:w="7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Moy.</w:t>
            </w:r>
          </w:p>
        </w:tc>
        <w:tc>
          <w:tcPr>
            <w:tcW w:type="dxa" w:w="7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Moy.</w:t>
            </w:r>
          </w:p>
        </w:tc>
        <w:tc>
          <w:tcPr>
            <w:tcW w:type="dxa" w:w="76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Moy.</w:t>
            </w:r>
          </w:p>
        </w:tc>
        <w:tc>
          <w:tcPr>
            <w:tcW w:type="dxa" w:w="56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P2</w:t>
            </w:r>
          </w:p>
        </w:tc>
        <w:tc>
          <w:tcPr>
            <w:tcW w:type="dxa" w:w="248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Sites témoins, protocole, mesure de départ</w:t>
            </w:r>
          </w:p>
        </w:tc>
      </w:tr>
      <w:tr>
        <w:trPr>
          <w:cantSplit/>
        </w:trPr>
        <w:tc>
          <w:tcPr>
            <w:tcW w:type="dxa" w:w="48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11</w:t>
            </w:r>
          </w:p>
        </w:tc>
        <w:tc>
          <w:tcPr>
            <w:tcW w:type="dxa" w:w="31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Jeux de données agrégés pour la recherche</w:t>
            </w:r>
          </w:p>
        </w:tc>
        <w:tc>
          <w:tcPr>
            <w:tcW w:type="dxa" w:w="62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D</w:t>
            </w:r>
          </w:p>
        </w:tc>
        <w:tc>
          <w:tcPr>
            <w:tcW w:type="dxa" w:w="7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Moy.</w:t>
            </w:r>
          </w:p>
        </w:tc>
        <w:tc>
          <w:tcPr>
            <w:tcW w:type="dxa" w:w="7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Basse</w:t>
            </w:r>
          </w:p>
        </w:tc>
        <w:tc>
          <w:tcPr>
            <w:tcW w:type="dxa" w:w="76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Moy.</w:t>
            </w:r>
          </w:p>
        </w:tc>
        <w:tc>
          <w:tcPr>
            <w:tcW w:type="dxa" w:w="56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P3</w:t>
            </w:r>
          </w:p>
        </w:tc>
        <w:tc>
          <w:tcPr>
            <w:tcW w:type="dxa" w:w="248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Protocole, comité d'éthique, convention</w:t>
            </w:r>
          </w:p>
        </w:tc>
      </w:tr>
      <w:tr>
        <w:trPr>
          <w:cantSplit/>
        </w:trPr>
        <w:tc>
          <w:tcPr>
            <w:tcW w:type="dxa" w:w="48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12</w:t>
            </w:r>
          </w:p>
        </w:tc>
        <w:tc>
          <w:tcPr>
            <w:tcW w:type="dxa" w:w="31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Prédiction du risque individuel (complications, abandon du suivi)</w:t>
            </w:r>
          </w:p>
        </w:tc>
        <w:tc>
          <w:tcPr>
            <w:tcW w:type="dxa" w:w="62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IA</w:t>
            </w:r>
          </w:p>
        </w:tc>
        <w:tc>
          <w:tcPr>
            <w:tcW w:type="dxa" w:w="7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Moy.</w:t>
            </w:r>
          </w:p>
        </w:tc>
        <w:tc>
          <w:tcPr>
            <w:tcW w:type="dxa" w:w="7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Basse</w:t>
            </w:r>
          </w:p>
        </w:tc>
        <w:tc>
          <w:tcPr>
            <w:tcW w:type="dxa" w:w="76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Faible</w:t>
            </w:r>
          </w:p>
        </w:tc>
        <w:tc>
          <w:tcPr>
            <w:tcW w:type="dxa" w:w="56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P3</w:t>
            </w:r>
          </w:p>
        </w:tc>
        <w:tc>
          <w:tcPr>
            <w:tcW w:type="dxa" w:w="248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Volume de données, validation clinique, cadre réglementaire. Jamais de décision autonome.</w:t>
            </w:r>
          </w:p>
        </w:tc>
      </w:tr>
      <w:tr>
        <w:trPr>
          <w:cantSplit/>
        </w:trPr>
        <w:tc>
          <w:tcPr>
            <w:tcW w:type="dxa" w:w="48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13</w:t>
            </w:r>
          </w:p>
        </w:tc>
        <w:tc>
          <w:tcPr>
            <w:tcW w:type="dxa" w:w="31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Passerelle nationale d'échange (identifiant, standards)</w:t>
            </w:r>
          </w:p>
        </w:tc>
        <w:tc>
          <w:tcPr>
            <w:tcW w:type="dxa" w:w="62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D</w:t>
            </w:r>
          </w:p>
        </w:tc>
        <w:tc>
          <w:tcPr>
            <w:tcW w:type="dxa" w:w="7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Moy.</w:t>
            </w:r>
          </w:p>
        </w:tc>
        <w:tc>
          <w:tcPr>
            <w:tcW w:type="dxa" w:w="7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Basse</w:t>
            </w:r>
          </w:p>
        </w:tc>
        <w:tc>
          <w:tcPr>
            <w:tcW w:type="dxa" w:w="76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Faible</w:t>
            </w:r>
          </w:p>
        </w:tc>
        <w:tc>
          <w:tcPr>
            <w:tcW w:type="dxa" w:w="56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P3</w:t>
            </w:r>
          </w:p>
        </w:tc>
        <w:tc>
          <w:tcPr>
            <w:tcW w:type="dxa" w:w="248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6"/>
                <w:szCs w:val="16"/>
              </w:rPr>
              <w:t xml:space="preserve">Standards nationaux adoptés</w:t>
            </w:r>
          </w:p>
        </w:tc>
      </w:tr>
    </w:tbl>
    <w:p>
      <w:pPr>
        <w:spacing w:after="130"/>
      </w:pPr>
    </w:p>
    <w:p>
      <w:pPr>
        <w:pStyle w:val="Heading2"/>
        <w:keepNext/>
      </w:pPr>
      <w:r>
        <w:t xml:space="preserve">Comment ces services sont fournis</w:t>
      </w:r>
    </w:p>
    <w:p>
      <w:pPr>
        <w:spacing w:after="130" w:line="288"/>
      </w:pPr>
      <w:r>
        <w:t xml:space="preserve">Les clients sont le ministère et ses directions, les districts, les programmes et projets financés, et à terme des fondations et des équipes de recherche. L'offre prend la forme d'un abonnement à des tableaux de bord mensuels, d'un forfait pour un programme ou d'une étude ponctuelle. Les services 1 et 2 sont ceux qu'un district ou un programme peut utiliser dès l'étape 3 : ils ne demandent ni modèle prédictif ni donnée nouvelle, seulement des données bien saisies.</w:t>
      </w:r>
    </w:p>
    <w:p>
      <w:pPr>
        <w:spacing w:after="130" w:line="288"/>
      </w:pPr>
      <w:r>
        <w:t xml:space="preserve">Techniquement, les analyses s'appuient sur les tableaux et cartes de DHIS2, ses règles de validation et sa détection de valeurs aberrantes. Pour les analyses plus avancées, une copie en lecture seule des données agrégées alimente des scripts Python et, en option, Apache Superset. Aucun dossier individuel n'y figure. Les petits effectifs sont masqués selon un seuil fixé avec le ministère. Les alertes issues de modèles sont toujours relues par une personne avant d'être transmises, les méthodes sont documentées et les résultats restent explicables aux directions qui les utilisent. Les services 7 à 13 exigent un cadre éthique et institutionnel explicite avant tout démarrage.</w:t>
      </w:r>
    </w:p>
    <w:p>
      <w:pPr>
        <w:pStyle w:val="Heading1"/>
        <w:keepNext/>
      </w:pPr>
      <w:r>
        <w:t xml:space="preserve">15. Risques propres au cahier des charges</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5906"/>
      </w:tblGrid>
      <w:tr>
        <w:trPr>
          <w:cantSplit/>
          <w:tblHeader/>
        </w:trPr>
        <w:tc>
          <w:tcPr>
            <w:tcW w:type="dxa" w:w="2600"/>
            <w:tcBorders>
              <w:top w:val="single" w:color="E6CFCF" w:sz="4"/>
              <w:left w:val="single" w:color="E6CFCF" w:sz="4"/>
              <w:bottom w:val="single" w:color="E6CFCF" w:sz="4"/>
              <w:right w:val="single" w:color="E6CFCF" w:sz="4"/>
            </w:tcBorders>
            <w:shd w:fill="FBEBEB" w:color="auto" w:val="clear"/>
            <w:tcMar>
              <w:top w:type="dxa" w:w="60"/>
              <w:left w:type="dxa" w:w="80"/>
              <w:bottom w:type="dxa" w:w="60"/>
              <w:right w:type="dxa" w:w="80"/>
            </w:tcMar>
          </w:tcPr>
          <w:p>
            <w:pPr>
              <w:spacing w:after="0"/>
            </w:pPr>
            <w:r>
              <w:rPr>
                <w:b/>
                <w:bCs/>
                <w:color w:val="D85C5C"/>
                <w:sz w:val="18"/>
                <w:szCs w:val="18"/>
              </w:rPr>
              <w:t xml:space="preserve">Risque</w:t>
            </w:r>
          </w:p>
        </w:tc>
        <w:tc>
          <w:tcPr>
            <w:tcW w:type="dxa" w:w="900"/>
            <w:tcBorders>
              <w:top w:val="single" w:color="E6CFCF" w:sz="4"/>
              <w:left w:val="single" w:color="E6CFCF" w:sz="4"/>
              <w:bottom w:val="single" w:color="E6CFCF" w:sz="4"/>
              <w:right w:val="single" w:color="E6CFCF" w:sz="4"/>
            </w:tcBorders>
            <w:shd w:fill="FBEBEB" w:color="auto" w:val="clear"/>
            <w:tcMar>
              <w:top w:type="dxa" w:w="60"/>
              <w:left w:type="dxa" w:w="80"/>
              <w:bottom w:type="dxa" w:w="60"/>
              <w:right w:type="dxa" w:w="80"/>
            </w:tcMar>
          </w:tcPr>
          <w:p>
            <w:pPr>
              <w:spacing w:after="0"/>
            </w:pPr>
            <w:r>
              <w:rPr>
                <w:b/>
                <w:bCs/>
                <w:color w:val="D85C5C"/>
                <w:sz w:val="18"/>
                <w:szCs w:val="18"/>
              </w:rPr>
              <w:t xml:space="preserve">Niveau</w:t>
            </w:r>
          </w:p>
        </w:tc>
        <w:tc>
          <w:tcPr>
            <w:tcW w:type="dxa" w:w="5906"/>
            <w:tcBorders>
              <w:top w:val="single" w:color="E6CFCF" w:sz="4"/>
              <w:left w:val="single" w:color="E6CFCF" w:sz="4"/>
              <w:bottom w:val="single" w:color="E6CFCF" w:sz="4"/>
              <w:right w:val="single" w:color="E6CFCF" w:sz="4"/>
            </w:tcBorders>
            <w:shd w:fill="FBEBEB" w:color="auto" w:val="clear"/>
            <w:tcMar>
              <w:top w:type="dxa" w:w="60"/>
              <w:left w:type="dxa" w:w="80"/>
              <w:bottom w:type="dxa" w:w="60"/>
              <w:right w:type="dxa" w:w="80"/>
            </w:tcMar>
          </w:tcPr>
          <w:p>
            <w:pPr>
              <w:spacing w:after="0"/>
            </w:pPr>
            <w:r>
              <w:rPr>
                <w:b/>
                <w:bCs/>
                <w:color w:val="D85C5C"/>
                <w:sz w:val="18"/>
                <w:szCs w:val="18"/>
              </w:rPr>
              <w:t xml:space="preserve">Réponse</w:t>
            </w:r>
          </w:p>
        </w:tc>
      </w:tr>
      <w:tr>
        <w:trPr>
          <w:cantSplit/>
        </w:trPr>
        <w:tc>
          <w:tcPr>
            <w:tcW w:type="dxa" w:w="26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L'instance DHIS2 du ministère n'est pas accessible</w:t>
            </w:r>
          </w:p>
        </w:tc>
        <w:tc>
          <w:tcPr>
            <w:tcW w:type="dxa" w:w="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Élevé</w:t>
            </w:r>
          </w:p>
        </w:tc>
        <w:tc>
          <w:tcPr>
            <w:tcW w:type="dxa" w:w="59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Instance Maternal AI de secours, convention écrite avec la DEPSI, échange agrégé plutôt que dépendance à l'instance nationale.</w:t>
            </w:r>
          </w:p>
        </w:tc>
      </w:tr>
      <w:tr>
        <w:trPr>
          <w:cantSplit/>
        </w:trPr>
        <w:tc>
          <w:tcPr>
            <w:tcW w:type="dxa" w:w="26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Incompatibilité entre versions de l'application Android et du serveur</w:t>
            </w:r>
          </w:p>
        </w:tc>
        <w:tc>
          <w:tcPr>
            <w:tcW w:type="dxa" w:w="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Moyen</w:t>
            </w:r>
          </w:p>
        </w:tc>
        <w:tc>
          <w:tcPr>
            <w:tcW w:type="dxa" w:w="59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Fixer les versions avec le ministère, tester chaque mise à jour sur l'instance de test avant production.</w:t>
            </w:r>
          </w:p>
        </w:tc>
      </w:tr>
      <w:tr>
        <w:trPr>
          <w:cantSplit/>
        </w:trPr>
        <w:tc>
          <w:tcPr>
            <w:tcW w:type="dxa" w:w="26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Compétence DHIS2 insuffisante dans l'équipe</w:t>
            </w:r>
          </w:p>
        </w:tc>
        <w:tc>
          <w:tcPr>
            <w:tcW w:type="dxa" w:w="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Moyen</w:t>
            </w:r>
          </w:p>
        </w:tc>
        <w:tc>
          <w:tcPr>
            <w:tcW w:type="dxa" w:w="59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Formation dès l'étape 0, appui externe ponctuel, documentation de toute la configuration.</w:t>
            </w:r>
          </w:p>
        </w:tc>
      </w:tr>
      <w:tr>
        <w:trPr>
          <w:cantSplit/>
        </w:trPr>
        <w:tc>
          <w:tcPr>
            <w:tcW w:type="dxa" w:w="26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Téléphones trop anciens ou insuffisants</w:t>
            </w:r>
          </w:p>
        </w:tc>
        <w:tc>
          <w:tcPr>
            <w:tcW w:type="dxa" w:w="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Moyen</w:t>
            </w:r>
          </w:p>
        </w:tc>
        <w:tc>
          <w:tcPr>
            <w:tcW w:type="dxa" w:w="59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Recensement préalable, appareil de kit fourni, version d'application adaptée.</w:t>
            </w:r>
          </w:p>
        </w:tc>
      </w:tr>
      <w:tr>
        <w:trPr>
          <w:cantSplit/>
        </w:trPr>
        <w:tc>
          <w:tcPr>
            <w:tcW w:type="dxa" w:w="26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Coût des SMS ou de la voix supérieur aux prévisions</w:t>
            </w:r>
          </w:p>
        </w:tc>
        <w:tc>
          <w:tcPr>
            <w:tcW w:type="dxa" w:w="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Moyen</w:t>
            </w:r>
          </w:p>
        </w:tc>
        <w:tc>
          <w:tcPr>
            <w:tcW w:type="dxa" w:w="59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Mesure dès l'étape 1, accords avec plusieurs opérateurs, canaux selon la valeur réelle.</w:t>
            </w:r>
          </w:p>
        </w:tc>
      </w:tr>
      <w:tr>
        <w:trPr>
          <w:cantSplit/>
        </w:trPr>
        <w:tc>
          <w:tcPr>
            <w:tcW w:type="dxa" w:w="26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Réponse d'IA erronée ou rassurante à tort</w:t>
            </w:r>
          </w:p>
        </w:tc>
        <w:tc>
          <w:tcPr>
            <w:tcW w:type="dxa" w:w="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Élevé</w:t>
            </w:r>
          </w:p>
        </w:tc>
        <w:tc>
          <w:tcPr>
            <w:tcW w:type="dxa" w:w="59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Chaîne contrôlée (règles, bibliothèque validée, vérificateur, humain), aucune génération libre au démarrage.</w:t>
            </w:r>
          </w:p>
        </w:tc>
      </w:tr>
      <w:tr>
        <w:trPr>
          <w:cantSplit/>
        </w:trPr>
        <w:tc>
          <w:tcPr>
            <w:tcW w:type="dxa" w:w="26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Fuite ou mauvais usage de données</w:t>
            </w:r>
          </w:p>
        </w:tc>
        <w:tc>
          <w:tcPr>
            <w:tcW w:type="dxa" w:w="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Élevé</w:t>
            </w:r>
          </w:p>
        </w:tc>
        <w:tc>
          <w:tcPr>
            <w:tcW w:type="dxa" w:w="59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Minimisation, QR opaque, journal d'audit, consentement écrit, revue juridique avant pilote.</w:t>
            </w:r>
          </w:p>
        </w:tc>
      </w:tr>
      <w:tr>
        <w:trPr>
          <w:cantSplit/>
        </w:trPr>
        <w:tc>
          <w:tcPr>
            <w:tcW w:type="dxa" w:w="26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Faible adoption par les agents</w:t>
            </w:r>
          </w:p>
        </w:tc>
        <w:tc>
          <w:tcPr>
            <w:tcW w:type="dxa" w:w="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Élevé</w:t>
            </w:r>
          </w:p>
        </w:tc>
        <w:tc>
          <w:tcPr>
            <w:tcW w:type="dxa" w:w="59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Observation préalable, outil qui retire du travail, formation sur site, référent par structure, district associé.</w:t>
            </w:r>
          </w:p>
        </w:tc>
      </w:tr>
      <w:tr>
        <w:trPr>
          <w:cantSplit/>
        </w:trPr>
        <w:tc>
          <w:tcPr>
            <w:tcW w:type="dxa" w:w="26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Services de données proposés trop tôt</w:t>
            </w:r>
          </w:p>
        </w:tc>
        <w:tc>
          <w:tcPr>
            <w:tcW w:type="dxa" w:w="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Moyen</w:t>
            </w:r>
          </w:p>
        </w:tc>
        <w:tc>
          <w:tcPr>
            <w:tcW w:type="dxa" w:w="59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Commencer par les services 1 et 2, qui ne dépendent que de la qualité de saisie.</w:t>
            </w:r>
          </w:p>
        </w:tc>
      </w:tr>
    </w:tbl>
    <w:p>
      <w:pPr>
        <w:spacing w:after="130"/>
      </w:pPr>
    </w:p>
    <w:p>
      <w:pPr>
        <w:pStyle w:val="Heading1"/>
        <w:keepNext/>
      </w:pPr>
      <w:r>
        <w:t xml:space="preserve">16. Livrables et critères de réception</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1700"/>
        <w:gridCol w:w="3900"/>
        <w:gridCol w:w="3806"/>
      </w:tblGrid>
      <w:tr>
        <w:trPr>
          <w:cantSplit/>
          <w:tblHeader/>
        </w:trPr>
        <w:tc>
          <w:tcPr>
            <w:tcW w:type="dxa" w:w="1700"/>
            <w:tcBorders>
              <w:top w:val="single" w:color="E6CFCF" w:sz="4"/>
              <w:left w:val="single" w:color="E6CFCF" w:sz="4"/>
              <w:bottom w:val="single" w:color="E6CFCF" w:sz="4"/>
              <w:right w:val="single" w:color="E6CFCF" w:sz="4"/>
            </w:tcBorders>
            <w:shd w:fill="FBEBEB" w:color="auto" w:val="clear"/>
            <w:tcMar>
              <w:top w:type="dxa" w:w="60"/>
              <w:left w:type="dxa" w:w="80"/>
              <w:bottom w:type="dxa" w:w="60"/>
              <w:right w:type="dxa" w:w="80"/>
            </w:tcMar>
          </w:tcPr>
          <w:p>
            <w:pPr>
              <w:spacing w:after="0"/>
            </w:pPr>
            <w:r>
              <w:rPr>
                <w:b/>
                <w:bCs/>
                <w:color w:val="D85C5C"/>
                <w:sz w:val="18"/>
                <w:szCs w:val="18"/>
              </w:rPr>
              <w:t xml:space="preserve">Étape</w:t>
            </w:r>
          </w:p>
        </w:tc>
        <w:tc>
          <w:tcPr>
            <w:tcW w:type="dxa" w:w="3900"/>
            <w:tcBorders>
              <w:top w:val="single" w:color="E6CFCF" w:sz="4"/>
              <w:left w:val="single" w:color="E6CFCF" w:sz="4"/>
              <w:bottom w:val="single" w:color="E6CFCF" w:sz="4"/>
              <w:right w:val="single" w:color="E6CFCF" w:sz="4"/>
            </w:tcBorders>
            <w:shd w:fill="FBEBEB" w:color="auto" w:val="clear"/>
            <w:tcMar>
              <w:top w:type="dxa" w:w="60"/>
              <w:left w:type="dxa" w:w="80"/>
              <w:bottom w:type="dxa" w:w="60"/>
              <w:right w:type="dxa" w:w="80"/>
            </w:tcMar>
          </w:tcPr>
          <w:p>
            <w:pPr>
              <w:spacing w:after="0"/>
            </w:pPr>
            <w:r>
              <w:rPr>
                <w:b/>
                <w:bCs/>
                <w:color w:val="D85C5C"/>
                <w:sz w:val="18"/>
                <w:szCs w:val="18"/>
              </w:rPr>
              <w:t xml:space="preserve">Livrables</w:t>
            </w:r>
          </w:p>
        </w:tc>
        <w:tc>
          <w:tcPr>
            <w:tcW w:type="dxa" w:w="3806"/>
            <w:tcBorders>
              <w:top w:val="single" w:color="E6CFCF" w:sz="4"/>
              <w:left w:val="single" w:color="E6CFCF" w:sz="4"/>
              <w:bottom w:val="single" w:color="E6CFCF" w:sz="4"/>
              <w:right w:val="single" w:color="E6CFCF" w:sz="4"/>
            </w:tcBorders>
            <w:shd w:fill="FBEBEB" w:color="auto" w:val="clear"/>
            <w:tcMar>
              <w:top w:type="dxa" w:w="60"/>
              <w:left w:type="dxa" w:w="80"/>
              <w:bottom w:type="dxa" w:w="60"/>
              <w:right w:type="dxa" w:w="80"/>
            </w:tcMar>
          </w:tcPr>
          <w:p>
            <w:pPr>
              <w:spacing w:after="0"/>
            </w:pPr>
            <w:r>
              <w:rPr>
                <w:b/>
                <w:bCs/>
                <w:color w:val="D85C5C"/>
                <w:sz w:val="18"/>
                <w:szCs w:val="18"/>
              </w:rPr>
              <w:t xml:space="preserve">Critère de réception</w:t>
            </w:r>
          </w:p>
        </w:tc>
      </w:tr>
      <w:tr>
        <w:trPr>
          <w:cantSplit/>
        </w:trPr>
        <w:tc>
          <w:tcPr>
            <w:tcW w:type="dxa" w:w="17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0</w:t>
            </w:r>
          </w:p>
        </w:tc>
        <w:tc>
          <w:tcPr>
            <w:tcW w:type="dxa" w:w="3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Carte des processus, dictionnaire de données, maquette du carnet, rapport du test technique, document de limites v0, revue juridique</w:t>
            </w:r>
          </w:p>
        </w:tc>
        <w:tc>
          <w:tcPr>
            <w:tcW w:type="dxa" w:w="38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Validation par le comité médical et la direction produit. Voie technique confirmée.</w:t>
            </w:r>
          </w:p>
        </w:tc>
      </w:tr>
      <w:tr>
        <w:trPr>
          <w:cantSplit/>
        </w:trPr>
        <w:tc>
          <w:tcPr>
            <w:tcW w:type="dxa" w:w="17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1</w:t>
            </w:r>
          </w:p>
        </w:tc>
        <w:tc>
          <w:tcPr>
            <w:tcW w:type="dxa" w:w="3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Programme DHIS2 minimal, lot de carnets, passerelle SMS, procédure de formation, catalogue de questions, journal des cycles</w:t>
            </w:r>
          </w:p>
        </w:tc>
        <w:tc>
          <w:tcPr>
            <w:tcW w:type="dxa" w:w="38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Critères F01 à F12 vérifiés sur les sites pilotes. Coût par femme suivie connu.</w:t>
            </w:r>
          </w:p>
        </w:tc>
      </w:tr>
      <w:tr>
        <w:trPr>
          <w:cantSplit/>
        </w:trPr>
        <w:tc>
          <w:tcPr>
            <w:tcW w:type="dxa" w:w="17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2</w:t>
            </w:r>
          </w:p>
        </w:tc>
        <w:tc>
          <w:tcPr>
            <w:tcW w:type="dxa" w:w="3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Version pilote complète (F13 à F17), rapport mensuel automatique, tableaux de bord, helpdesk, audit de sécurité, IA-1 évaluée</w:t>
            </w:r>
          </w:p>
        </w:tc>
        <w:tc>
          <w:tcPr>
            <w:tcW w:type="dxa" w:w="38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Rapport égal au recomptage manuel. Restauration de sauvegarde réussie. Jeu de test IA satisfait.</w:t>
            </w:r>
          </w:p>
        </w:tc>
      </w:tr>
      <w:tr>
        <w:trPr>
          <w:cantSplit/>
        </w:trPr>
        <w:tc>
          <w:tcPr>
            <w:tcW w:type="dxa" w:w="17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bCs/>
                <w:sz w:val="17"/>
                <w:szCs w:val="17"/>
              </w:rPr>
              <w:t xml:space="preserve">3</w:t>
            </w:r>
          </w:p>
        </w:tc>
        <w:tc>
          <w:tcPr>
            <w:tcW w:type="dxa" w:w="3900"/>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Déploiement sur 10 à 20 sites, tableaux agrégés pour un district ou programme, dossiers de financement, IA-2 limitée si validée</w:t>
            </w:r>
          </w:p>
        </w:tc>
        <w:tc>
          <w:tcPr>
            <w:tcW w:type="dxa" w:w="3806"/>
            <w:tcBorders>
              <w:top w:val="single" w:color="E6CFCF" w:sz="4"/>
              <w:left w:val="single" w:color="E6CFCF" w:sz="4"/>
              <w:bottom w:val="single" w:color="E6CFCF" w:sz="4"/>
              <w:right w:val="single" w:color="E6CFCF" w:sz="4"/>
            </w:tcBorders>
            <w:tcMar>
              <w:top w:type="dxa" w:w="60"/>
              <w:left w:type="dxa" w:w="80"/>
              <w:bottom w:type="dxa" w:w="60"/>
              <w:right w:type="dxa" w:w="80"/>
            </w:tcMar>
          </w:tcPr>
          <w:p>
            <w:pPr>
              <w:spacing w:after="0" w:line="252"/>
            </w:pPr>
            <w:r>
              <w:rPr>
                <w:b w:val="false"/>
                <w:bCs w:val="false"/>
                <w:sz w:val="17"/>
                <w:szCs w:val="17"/>
              </w:rPr>
              <w:t xml:space="preserve">Premiers revenus récurrents. Un tableau mensuel utilisé par une institution.</w:t>
            </w:r>
          </w:p>
        </w:tc>
      </w:tr>
    </w:tbl>
    <w:p>
      <w:pPr>
        <w:spacing w:after="130"/>
      </w:pPr>
    </w:p>
    <w:p>
      <w:pPr>
        <w:spacing w:after="130" w:line="288"/>
      </w:pPr>
      <w:r>
        <w:t xml:space="preserve">Pour chaque version, l'équipe technique remet le code ou la configuration exportée, la documentation d'installation et d'utilisation, la documentation de l'API, le dictionnaire de données, la gestion des rôles, les résultats de test, le rapport d'incidents et le document de limites mis à jour.</w:t>
      </w:r>
    </w:p>
    <w:p>
      <w:pPr>
        <w:pStyle w:val="Heading1"/>
        <w:keepNext/>
      </w:pPr>
      <w:r>
        <w:t xml:space="preserve">Sources et repères</w:t>
      </w:r>
    </w:p>
    <w:p>
      <w:pPr>
        <w:spacing w:after="130" w:line="288"/>
      </w:pPr>
      <w:r>
        <w:t xml:space="preserve">Documentation DHIS2 : présentation de l'application Android Capture, fonctions de suivi individuel, lecture et partage de QR codes, réserve d'identifiants, limites du cache local, notes de version 3.4 (mai 2026) et fonctions SMS de DHIS2. Ministère de la Santé publique : Stratégie nationale de santé digitale 2023-2027, Dossier d'investissement SRMNIA-N 2025-2029, Plan stratégique de renforcement du système d'information sanitaire 2023-2027. Santé Sud, intégration du suivi individuel à DHIS2 Tracker (juillet 2026). Management Sciences for Health, retours d'expérience sur CommCare à Madagascar. Jacaranda Health, service PROMPTS. Kepios, Digital 2026. Cahiers de projet Maternal AI v0.1 et v0.2, pour la stratégie, le contexte et la loi 2014-038.</w:t>
      </w:r>
    </w:p>
    <w:p>
      <w:pPr>
        <w:spacing w:after="130" w:line="288"/>
      </w:pPr>
      <w:r>
        <w:t xml:space="preserve">Les références aux paquets de métadonnées DHIS2 et aux documents OMS de suivi prénatal sont à évaluer à l'étape 0. Les durées, seuils et efforts sont des estimations de cadrage. Ce document ne remplace ni une validation clinique, ni une étude juridique, ni les spécifications d'intégration fournies par l'autorité ou le système concerné.</w:t>
      </w:r>
    </w:p>
    <w:sectPr>
      <w:footerReference w:type="default" r:id="rId7"/>
      <w:footerReference w:type="first" r:id="rId8"/>
      <w:pgSz w:w="11906" w:h="16838" w:orient="portrait"/>
      <w:pgMar w:top="1250" w:right="1250" w:bottom="1250" w:left="125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6CFCF" w:sz="4" w:space="6"/>
      </w:pBdr>
      <w:tabs>
        <w:tab w:val="right" w:pos="9406"/>
      </w:tabs>
    </w:pPr>
    <w:r>
      <w:rPr>
        <w:color w:val="6B6B6B"/>
        <w:sz w:val="17"/>
        <w:szCs w:val="17"/>
      </w:rPr>
      <w:t xml:space="preserve">Maternal AI  |  Cahier des charges v1.0</w:t>
    </w:r>
    <w:r>
      <w:rPr>
        <w:color w:val="6B6B6B"/>
        <w:sz w:val="17"/>
        <w:szCs w:val="17"/>
      </w:rPr>
      <w:t xml:space="preserve">	Page </w:t>
    </w:r>
    <w:r>
      <w:rPr>
        <w:color w:val="6B6B6B"/>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40" w:hanging="360"/>
      </w:pPr>
    </w:lvl>
  </w:abstractNum>
  <w:abstractNum w:abstractNumId="3" w15:restartNumberingAfterBreak="0">
    <w:multiLevelType w:val="hybridMultilevel"/>
    <w:lvl w:ilvl="0" w15:tentative="1">
      <w:start w:val="1"/>
      <w:numFmt w:val="decimal"/>
      <w:lvlText w:val="%1."/>
      <w:lvlJc w:val="left"/>
      <w:pPr>
        <w:ind w:left="640" w:hanging="360"/>
      </w:pPr>
    </w:lvl>
  </w:abstractNum>
  <w:abstractNum w:abstractNumId="4" w15:restartNumberingAfterBreak="0">
    <w:multiLevelType w:val="hybridMultilevel"/>
    <w:lvl w:ilvl="0" w15:tentative="1">
      <w:start w:val="1"/>
      <w:numFmt w:val="decimal"/>
      <w:lvlText w:val="%1."/>
      <w:lvlJc w:val="left"/>
      <w:pPr>
        <w:ind w:left="6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40"/>
      <w:outlineLvl w:val="0"/>
    </w:pPr>
    <w:rPr>
      <w:rFonts w:ascii="Calibri" w:cs="Calibri" w:eastAsia="Calibri" w:hAnsi="Calibri"/>
      <w:b/>
      <w:bCs/>
      <w:color w:val="D85C5C"/>
      <w:sz w:val="31"/>
      <w:szCs w:val="31"/>
    </w:rPr>
  </w:style>
  <w:style w:type="paragraph" w:styleId="Heading2">
    <w:name w:val="Heading 2"/>
    <w:basedOn w:val="Normal"/>
    <w:next w:val="Normal"/>
    <w:qFormat/>
    <w:pPr>
      <w:spacing w:after="100" w:before="220"/>
      <w:outlineLvl w:val="1"/>
    </w:pPr>
    <w:rPr>
      <w:rFonts w:ascii="Calibri" w:cs="Calibri" w:eastAsia="Calibri" w:hAnsi="Calibri"/>
      <w:b/>
      <w:bCs/>
      <w:color w:val="2B2B2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3d9b25d98b6b937c45f5fe843f5c0eaa6afa5a8e.png"/><Relationship Id="rId10" Type="http://schemas.openxmlformats.org/officeDocument/2006/relationships/image" Target="media/04f2228d6e4dcbad221b4757d4fd394f4f4ccda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Maternal AI - v1.0</dc:title>
  <dc:creator>Maternal AI</dc:creator>
  <cp:lastModifiedBy>Un-named</cp:lastModifiedBy>
  <cp:revision>1</cp:revision>
  <dcterms:created xsi:type="dcterms:W3CDTF">2026-09-20T13:59:43.461Z</dcterms:created>
  <dcterms:modified xsi:type="dcterms:W3CDTF">2026-09-20T13:59:43.469Z</dcterms:modified>
</cp:coreProperties>
</file>

<file path=docProps/custom.xml><?xml version="1.0" encoding="utf-8"?>
<Properties xmlns="http://schemas.openxmlformats.org/officeDocument/2006/custom-properties" xmlns:vt="http://schemas.openxmlformats.org/officeDocument/2006/docPropsVTypes"/>
</file>