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0"/>
      </w:pPr>
      <w:r>
        <w:rPr>
          <w:b/>
          <w:bCs/>
          <w:color w:val="0B2440"/>
          <w:sz w:val="40"/>
          <w:szCs w:val="40"/>
          <w:rFonts w:ascii="Calibri" w:cs="Calibri" w:eastAsia="Calibri" w:hAnsi="Calibri"/>
        </w:rPr>
        <w:t xml:space="preserve">FORTIFY</w:t>
      </w:r>
      <w:r>
        <w:rPr>
          <w:b/>
          <w:bCs/>
          <w:color w:val="12A5DB"/>
          <w:sz w:val="40"/>
          <w:szCs w:val="40"/>
          <w:rFonts w:ascii="Calibri" w:cs="Calibri" w:eastAsia="Calibri" w:hAnsi="Calibri"/>
        </w:rPr>
        <w:t xml:space="preserve"> AI</w:t>
      </w:r>
    </w:p>
    <w:p>
      <w:pPr>
        <w:spacing w:before="40" w:after="700"/>
      </w:pPr>
      <w:r>
        <w:rPr>
          <w:i/>
          <w:iCs/>
          <w:color w:val="6B7C8B"/>
          <w:sz w:val="19"/>
          <w:szCs w:val="19"/>
          <w:rFonts w:ascii="Calibri" w:cs="Calibri" w:eastAsia="Calibri" w:hAnsi="Calibri"/>
        </w:rPr>
        <w:t xml:space="preserve">Make every employee an AI expert. Securely.</w:t>
      </w:r>
    </w:p>
    <w:p>
      <w:pPr>
        <w:spacing w:after="40"/>
      </w:pPr>
      <w:r>
        <w:rPr>
          <w:b/>
          <w:bCs/>
          <w:color w:val="12A5DB"/>
          <w:sz w:val="18"/>
          <w:szCs w:val="18"/>
          <w:caps/>
          <w:rFonts w:ascii="Calibri" w:cs="Calibri" w:eastAsia="Calibri" w:hAnsi="Calibri"/>
          <w:spacing w:val="40"/>
        </w:rPr>
        <w:t xml:space="preserve">Governance Framework</w:t>
      </w:r>
    </w:p>
    <w:p>
      <w:pPr>
        <w:spacing w:after="200"/>
      </w:pPr>
      <w:r>
        <w:rPr>
          <w:b/>
          <w:bCs/>
          <w:color w:val="0B2440"/>
          <w:sz w:val="52"/>
          <w:szCs w:val="52"/>
          <w:rFonts w:ascii="Calibri" w:cs="Calibri" w:eastAsia="Calibri" w:hAnsi="Calibri"/>
        </w:rPr>
        <w:t xml:space="preserve">AI Usage Policy &amp; Governance Framework</w:t>
      </w:r>
    </w:p>
    <w:p>
      <w:pPr>
        <w:spacing w:after="700"/>
      </w:pPr>
      <w:r>
        <w:rPr>
          <w:color w:val="3C4A57"/>
          <w:sz w:val="24"/>
          <w:szCs w:val="24"/>
          <w:rFonts w:ascii="Calibri" w:cs="Calibri" w:eastAsia="Calibri" w:hAnsi="Calibri"/>
        </w:rPr>
        <w:t xml:space="preserve">A complete, deployable framework for responsible, secure AI use — the policy, the people, the enforcement, and the plan to put it in place.</w:t>
      </w:r>
    </w:p>
    <w:p>
      <w:pPr>
        <w:pBdr>
          <w:top w:val="single" w:color="12A5DB" w:sz="6"/>
        </w:pBdr>
        <w:spacing w:before="200" w:after="200"/>
      </w:pPr>
    </w:p>
    <w:p>
      <w:pPr>
        <w:spacing w:after="60" w:line="276" w:before="0"/>
      </w:pPr>
      <w:r>
        <w:rPr>
          <w:color w:val="6B7C8B"/>
          <w:sz w:val="21"/>
          <w:szCs w:val="21"/>
          <w:rFonts w:ascii="Calibri" w:cs="Calibri" w:eastAsia="Calibri" w:hAnsi="Calibri"/>
        </w:rPr>
        <w:t xml:space="preserve">Prepared for  </w:t>
      </w:r>
      <w:r>
        <w:rPr>
          <w:b/>
          <w:bCs/>
          <w:color w:val="0C1622"/>
          <w:sz w:val="21"/>
          <w:szCs w:val="21"/>
          <w:rFonts w:ascii="Calibri" w:cs="Calibri" w:eastAsia="Calibri" w:hAnsi="Calibri"/>
        </w:rPr>
        <w:t xml:space="preserve">[Company Name]</w:t>
      </w:r>
    </w:p>
    <w:p>
      <w:pPr>
        <w:spacing w:after="60" w:line="276" w:before="0"/>
      </w:pPr>
      <w:r>
        <w:rPr>
          <w:color w:val="6B7C8B"/>
          <w:sz w:val="21"/>
          <w:szCs w:val="21"/>
          <w:rFonts w:ascii="Calibri" w:cs="Calibri" w:eastAsia="Calibri" w:hAnsi="Calibri"/>
        </w:rPr>
        <w:t xml:space="preserve">Policy owner  </w:t>
      </w:r>
      <w:r>
        <w:rPr>
          <w:b/>
          <w:bCs/>
          <w:color w:val="0C1622"/>
          <w:sz w:val="21"/>
          <w:szCs w:val="21"/>
          <w:rFonts w:ascii="Calibri" w:cs="Calibri" w:eastAsia="Calibri" w:hAnsi="Calibri"/>
        </w:rPr>
        <w:t xml:space="preserve">[Name / title]</w:t>
      </w:r>
    </w:p>
    <w:p>
      <w:pPr>
        <w:spacing w:after="60" w:line="276" w:before="0"/>
      </w:pPr>
      <w:r>
        <w:rPr>
          <w:color w:val="6B7C8B"/>
          <w:sz w:val="21"/>
          <w:szCs w:val="21"/>
          <w:rFonts w:ascii="Calibri" w:cs="Calibri" w:eastAsia="Calibri" w:hAnsi="Calibri"/>
        </w:rPr>
        <w:t xml:space="preserve">Framework version  </w:t>
      </w:r>
      <w:r>
        <w:rPr>
          <w:b/>
          <w:bCs/>
          <w:color w:val="0C1622"/>
          <w:sz w:val="21"/>
          <w:szCs w:val="21"/>
          <w:rFonts w:ascii="Calibri" w:cs="Calibri" w:eastAsia="Calibri" w:hAnsi="Calibri"/>
        </w:rPr>
        <w:t xml:space="preserve">1.0</w:t>
      </w:r>
      <w:r>
        <w:rPr>
          <w:color w:val="6B7C8B"/>
          <w:sz w:val="21"/>
          <w:szCs w:val="21"/>
          <w:rFonts w:ascii="Calibri" w:cs="Calibri" w:eastAsia="Calibri" w:hAnsi="Calibri"/>
        </w:rPr>
        <w:t xml:space="preserve">        Issued  </w:t>
      </w:r>
      <w:r>
        <w:rPr>
          <w:b/>
          <w:bCs/>
          <w:color w:val="0C1622"/>
          <w:sz w:val="21"/>
          <w:szCs w:val="21"/>
          <w:rFonts w:ascii="Calibri" w:cs="Calibri" w:eastAsia="Calibri" w:hAnsi="Calibri"/>
        </w:rPr>
        <w:t xml:space="preserve">August 18, 2026</w:t>
      </w:r>
      <w:r>
        <w:rPr>
          <w:color w:val="6B7C8B"/>
          <w:sz w:val="21"/>
          <w:szCs w:val="21"/>
          <w:rFonts w:ascii="Calibri" w:cs="Calibri" w:eastAsia="Calibri" w:hAnsi="Calibri"/>
        </w:rPr>
        <w:t xml:space="preserve">        Your adoption date  </w:t>
      </w:r>
      <w:r>
        <w:rPr>
          <w:b/>
          <w:bCs/>
          <w:color w:val="0C1622"/>
          <w:sz w:val="21"/>
          <w:szCs w:val="21"/>
          <w:rFonts w:ascii="Calibri" w:cs="Calibri" w:eastAsia="Calibri" w:hAnsi="Calibri"/>
        </w:rPr>
        <w:t xml:space="preserve">[Date]</w:t>
      </w:r>
    </w:p>
    <w:p>
      <w:pPr>
        <w:spacing w:after="60" w:line="276" w:before="0"/>
      </w:pPr>
      <w:r>
        <w:rPr>
          <w:color w:val="6B7C8B"/>
          <w:sz w:val="21"/>
          <w:szCs w:val="21"/>
          <w:rFonts w:ascii="Calibri" w:cs="Calibri" w:eastAsia="Calibri" w:hAnsi="Calibri"/>
        </w:rPr>
        <w:t xml:space="preserve">Recommended review  </w:t>
      </w:r>
      <w:r>
        <w:rPr>
          <w:b/>
          <w:bCs/>
          <w:color w:val="0C1622"/>
          <w:sz w:val="21"/>
          <w:szCs w:val="21"/>
          <w:rFonts w:ascii="Calibri" w:cs="Calibri" w:eastAsia="Calibri" w:hAnsi="Calibri"/>
        </w:rPr>
        <w:t xml:space="preserve">Monthly</w:t>
      </w:r>
      <w:r>
        <w:rPr>
          <w:color w:val="3C4A57"/>
          <w:sz w:val="21"/>
          <w:szCs w:val="21"/>
          <w:rFonts w:ascii="Calibri" w:cs="Calibri" w:eastAsia="Calibri" w:hAnsi="Calibri"/>
        </w:rPr>
        <w:t xml:space="preserve"> — AI tools and the laws that govern them are changing rapidly.</w:t>
      </w:r>
    </w:p>
    <w:p>
      <w:pPr>
        <w:spacing w:before="700"/>
      </w:pPr>
      <w:r>
        <w:rPr>
          <w:color w:val="6B7C8B"/>
          <w:sz w:val="18"/>
          <w:szCs w:val="18"/>
          <w:rFonts w:ascii="Calibri" w:cs="Calibri" w:eastAsia="Calibri" w:hAnsi="Calibri"/>
        </w:rPr>
        <w:t xml:space="preserve">Provided by Fortify AI  ·  i-nett.ai  ·  (858) 337-2866  ·  nickd@i-nett.com</w:t>
      </w:r>
    </w:p>
    <w:p>
      <w:r>
        <w:br w:type="page"/>
      </w:r>
    </w:p>
    <w:p>
      <w:pPr>
        <w:spacing w:before="220" w:after="60"/>
      </w:pPr>
      <w:r>
        <w:rPr>
          <w:b/>
          <w:bCs/>
          <w:color w:val="12A5DB"/>
          <w:sz w:val="16"/>
          <w:szCs w:val="16"/>
          <w:caps/>
          <w:rFonts w:ascii="Calibri" w:cs="Calibri" w:eastAsia="Calibri" w:hAnsi="Calibri"/>
          <w:spacing w:val="30"/>
        </w:rPr>
        <w:t xml:space="preserve">How to use this framework</w:t>
      </w:r>
    </w:p>
    <w:p>
      <w:pPr>
        <w:pStyle w:val="Heading1"/>
        <w:spacing w:before="340" w:after="130"/>
      </w:pPr>
      <w:r>
        <w:rPr>
          <w:b/>
          <w:bCs/>
          <w:color w:val="0B2440"/>
          <w:sz w:val="30"/>
          <w:szCs w:val="30"/>
          <w:rFonts w:ascii="Calibri" w:cs="Calibri" w:eastAsia="Calibri" w:hAnsi="Calibri"/>
        </w:rPr>
        <w:t xml:space="preserve">How to use this framework</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document is a complete, adopt-ready AI governance framework for a business that wants the productivity of AI without the exposure. It is written so a non-technical employee can follow it, and it is built to be enforceable rather than aspirational.</w:t>
      </w:r>
    </w:p>
    <w:p>
      <w:pPr>
        <w:spacing w:after="140" w:line="276" w:before="0"/>
      </w:pPr>
      <w:r>
        <w:rPr>
          <w:color w:val="3C4A57"/>
          <w:sz w:val="21"/>
          <w:szCs w:val="21"/>
          <w:rFonts w:ascii="Calibri" w:cs="Calibri" w:eastAsia="Calibri" w:hAnsi="Calibri"/>
        </w:rPr>
        <w:t xml:space="preserve">The kit has four parts:</w:t>
      </w:r>
    </w:p>
    <w:p>
      <w:pPr>
        <w:pStyle w:val="ListParagraph"/>
        <w:numPr>
          <w:ilvl w:val="0"/>
          <w:numId w:val="2"/>
        </w:numPr>
        <w:spacing w:after="90" w:line="272"/>
      </w:pPr>
      <w:r>
        <w:rPr>
          <w:b/>
          <w:bCs/>
          <w:color w:val="0C1622"/>
          <w:sz w:val="21"/>
          <w:szCs w:val="21"/>
          <w:rFonts w:ascii="Calibri" w:cs="Calibri" w:eastAsia="Calibri" w:hAnsi="Calibri"/>
        </w:rPr>
        <w:t xml:space="preserve">The policy </w:t>
      </w:r>
      <w:r>
        <w:rPr>
          <w:color w:val="3C4A57"/>
          <w:sz w:val="21"/>
          <w:szCs w:val="21"/>
          <w:rFonts w:ascii="Calibri" w:cs="Calibri" w:eastAsia="Calibri" w:hAnsi="Calibri"/>
        </w:rPr>
        <w:t xml:space="preserve">(this document) — the rules, roles, and standards your organization adopts.</w:t>
      </w:r>
    </w:p>
    <w:p>
      <w:pPr>
        <w:pStyle w:val="ListParagraph"/>
        <w:numPr>
          <w:ilvl w:val="0"/>
          <w:numId w:val="2"/>
        </w:numPr>
        <w:spacing w:after="90" w:line="272"/>
      </w:pPr>
      <w:r>
        <w:rPr>
          <w:b/>
          <w:bCs/>
          <w:color w:val="0C1622"/>
          <w:sz w:val="21"/>
          <w:szCs w:val="21"/>
          <w:rFonts w:ascii="Calibri" w:cs="Calibri" w:eastAsia="Calibri" w:hAnsi="Calibri"/>
        </w:rPr>
        <w:t xml:space="preserve">The employee acknowledgment letter </w:t>
      </w:r>
      <w:r>
        <w:rPr>
          <w:color w:val="3C4A57"/>
          <w:sz w:val="21"/>
          <w:szCs w:val="21"/>
          <w:rFonts w:ascii="Calibri" w:cs="Calibri" w:eastAsia="Calibri" w:hAnsi="Calibri"/>
        </w:rPr>
        <w:t xml:space="preserve">— a short letter every employee reads and signs, so the policy is something people are actually held to.</w:t>
      </w:r>
    </w:p>
    <w:p>
      <w:pPr>
        <w:pStyle w:val="ListParagraph"/>
        <w:numPr>
          <w:ilvl w:val="0"/>
          <w:numId w:val="2"/>
        </w:numPr>
        <w:spacing w:after="90" w:line="272"/>
      </w:pPr>
      <w:r>
        <w:rPr>
          <w:b/>
          <w:bCs/>
          <w:color w:val="0C1622"/>
          <w:sz w:val="21"/>
          <w:szCs w:val="21"/>
          <w:rFonts w:ascii="Calibri" w:cs="Calibri" w:eastAsia="Calibri" w:hAnsi="Calibri"/>
        </w:rPr>
        <w:t xml:space="preserve">The third-party vendor letter </w:t>
      </w:r>
      <w:r>
        <w:rPr>
          <w:color w:val="3C4A57"/>
          <w:sz w:val="21"/>
          <w:szCs w:val="21"/>
          <w:rFonts w:ascii="Calibri" w:cs="Calibri" w:eastAsia="Calibri" w:hAnsi="Calibri"/>
        </w:rPr>
        <w:t xml:space="preserve">— a written commitment from every outside party that touches your data.</w:t>
      </w:r>
    </w:p>
    <w:p>
      <w:pPr>
        <w:pStyle w:val="ListParagraph"/>
        <w:numPr>
          <w:ilvl w:val="0"/>
          <w:numId w:val="2"/>
        </w:numPr>
        <w:spacing w:after="90" w:line="272"/>
      </w:pPr>
      <w:r>
        <w:rPr>
          <w:b/>
          <w:bCs/>
          <w:color w:val="0C1622"/>
          <w:sz w:val="21"/>
          <w:szCs w:val="21"/>
          <w:rFonts w:ascii="Calibri" w:cs="Calibri" w:eastAsia="Calibri" w:hAnsi="Calibri"/>
        </w:rPr>
        <w:t xml:space="preserve">The rollout checklist </w:t>
      </w:r>
      <w:r>
        <w:rPr>
          <w:color w:val="3C4A57"/>
          <w:sz w:val="21"/>
          <w:szCs w:val="21"/>
          <w:rFonts w:ascii="Calibri" w:cs="Calibri" w:eastAsia="Calibri" w:hAnsi="Calibri"/>
        </w:rPr>
        <w:t xml:space="preserve">— a step-by-step plan to put all of this in place in about 30 days.</w:t>
      </w:r>
    </w:p>
    <w:p>
      <w:pPr>
        <w:spacing w:after="140" w:line="276" w:before="0"/>
      </w:pPr>
      <w:r>
        <w:rPr>
          <w:color w:val="3C4A57"/>
          <w:sz w:val="21"/>
          <w:szCs w:val="21"/>
          <w:rFonts w:ascii="Calibri" w:cs="Calibri" w:eastAsia="Calibri" w:hAnsi="Calibri"/>
        </w:rPr>
        <w:t xml:space="preserve">Replace every </w:t>
      </w:r>
      <w:r>
        <w:rPr>
          <w:b/>
          <w:bCs/>
          <w:color w:val="0E7FB0"/>
          <w:sz w:val="21"/>
          <w:szCs w:val="21"/>
          <w:rFonts w:ascii="Calibri" w:cs="Calibri" w:eastAsia="Calibri" w:hAnsi="Calibri"/>
        </w:rPr>
        <w:t xml:space="preserve">[bracketed placeholder]</w:t>
      </w:r>
      <w:r>
        <w:rPr>
          <w:color w:val="3C4A57"/>
          <w:sz w:val="21"/>
          <w:szCs w:val="21"/>
          <w:rFonts w:ascii="Calibri" w:cs="Calibri" w:eastAsia="Calibri" w:hAnsi="Calibri"/>
        </w:rPr>
        <w:t xml:space="preserve"> with your specifics, review with qualified counsel, and adopt. Fortify AI can configure the enforcement layer — visibility into which AI tools are in use and the ability to block unapproved ones — as part of any managed plan, so the policy is backed by technology and not just goodwill.</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Before you publish this</w:t>
            </w:r>
          </w:p>
          <w:p>
            <w:pPr>
              <w:spacing w:after="80" w:line="272"/>
            </w:pPr>
            <w:r>
              <w:rPr>
                <w:b/>
                <w:bCs/>
                <w:color w:val="0B2440"/>
                <w:sz w:val="21"/>
                <w:szCs w:val="21"/>
                <w:rFonts w:ascii="Calibri" w:cs="Calibri" w:eastAsia="Calibri" w:hAnsi="Calibri"/>
              </w:rPr>
              <w:t xml:space="preserve">Attorney review required. </w:t>
            </w:r>
            <w:r>
              <w:rPr>
                <w:color w:val="0C1622"/>
                <w:sz w:val="21"/>
                <w:szCs w:val="21"/>
                <w:rFonts w:ascii="Calibri" w:cs="Calibri" w:eastAsia="Calibri" w:hAnsi="Calibri"/>
              </w:rPr>
              <w:t xml:space="preserve">This is a framework, not legal advice. Have counsel tailor governing law and venue, incident-notice timelines, data residency, and any state or sector overlays (HIPAA/PHI, GLBA/financial, PCI DSS, CJIS, education/biometric/wiretap laws) to your obligations.</w:t>
            </w:r>
          </w:p>
          <w:p>
            <w:pPr>
              <w:spacing w:after="80" w:line="272"/>
            </w:pPr>
            <w:r>
              <w:rPr>
                <w:b/>
                <w:bCs/>
                <w:color w:val="0B2440"/>
                <w:sz w:val="21"/>
                <w:szCs w:val="21"/>
                <w:rFonts w:ascii="Calibri" w:cs="Calibri" w:eastAsia="Calibri" w:hAnsi="Calibri"/>
              </w:rPr>
              <w:t xml:space="preserve">Conflicts &amp; precedence. </w:t>
            </w:r>
            <w:r>
              <w:rPr>
                <w:color w:val="0C1622"/>
                <w:sz w:val="21"/>
                <w:szCs w:val="21"/>
                <w:rFonts w:ascii="Calibri" w:cs="Calibri" w:eastAsia="Calibri" w:hAnsi="Calibri"/>
              </w:rPr>
              <w:t xml:space="preserve">If this policy ever conflicts with an executed MSA, DPA, BAA, or with governing law, the contract or the law controls. Align the language to your contract stack before rollout.</w:t>
            </w:r>
          </w:p>
          <w:p>
            <w:pPr>
              <w:spacing w:after="0" w:line="272"/>
            </w:pPr>
            <w:r>
              <w:rPr>
                <w:b/>
                <w:bCs/>
                <w:color w:val="0B2440"/>
                <w:sz w:val="21"/>
                <w:szCs w:val="21"/>
                <w:rFonts w:ascii="Calibri" w:cs="Calibri" w:eastAsia="Calibri" w:hAnsi="Calibri"/>
              </w:rPr>
              <w:t xml:space="preserve">Customize at minimum: </w:t>
            </w:r>
            <w:r>
              <w:rPr>
                <w:color w:val="0C1622"/>
                <w:sz w:val="21"/>
                <w:szCs w:val="21"/>
                <w:rFonts w:ascii="Calibri" w:cs="Calibri" w:eastAsia="Calibri" w:hAnsi="Calibri"/>
              </w:rPr>
              <w:t xml:space="preserve">company identifiers and policy owner; the approved-tools list; the “never paste” list for your environment; incident escalation and notice timing; your vendor/subprocessor list; and the regulatory modules you actually need.</w:t>
            </w:r>
          </w:p>
        </w:tc>
      </w:tr>
    </w:tbl>
    <w:p>
      <w:pPr>
        <w:spacing w:before="220" w:after="60"/>
      </w:pPr>
      <w:r>
        <w:rPr>
          <w:b/>
          <w:bCs/>
          <w:color w:val="12A5DB"/>
          <w:sz w:val="16"/>
          <w:szCs w:val="16"/>
          <w:caps/>
          <w:rFonts w:ascii="Calibri" w:cs="Calibri" w:eastAsia="Calibri" w:hAnsi="Calibri"/>
          <w:spacing w:val="30"/>
        </w:rPr>
        <w:t xml:space="preserve">Section 1</w:t>
      </w:r>
    </w:p>
    <w:p>
      <w:pPr>
        <w:pStyle w:val="Heading1"/>
        <w:spacing w:before="340" w:after="130"/>
      </w:pPr>
      <w:r>
        <w:rPr>
          <w:b/>
          <w:bCs/>
          <w:color w:val="0B2440"/>
          <w:sz w:val="30"/>
          <w:szCs w:val="30"/>
          <w:rFonts w:ascii="Calibri" w:cs="Calibri" w:eastAsia="Calibri" w:hAnsi="Calibri"/>
        </w:rPr>
        <w:t xml:space="preserve">1. Purpose &amp; scope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policy governs the use of artificial intelligence tools by everyone who acts on behalf of [Company Name] — employees, contractors, temporary staff, and volunteers. It applies to any AI tool used for company work, whether the tool is company-provided or publicly available, and whether it is used on a company device or a personal one.</w:t>
      </w:r>
    </w:p>
    <w:p>
      <w:pPr>
        <w:spacing w:after="140" w:line="276" w:before="0"/>
      </w:pPr>
      <w:r>
        <w:rPr>
          <w:color w:val="3C4A57"/>
          <w:sz w:val="21"/>
          <w:szCs w:val="21"/>
          <w:rFonts w:ascii="Calibri" w:cs="Calibri" w:eastAsia="Calibri" w:hAnsi="Calibri"/>
        </w:rPr>
        <w:t xml:space="preserve">Its purpose is simple: </w:t>
      </w:r>
      <w:r>
        <w:rPr>
          <w:b/>
          <w:bCs/>
          <w:color w:val="0C1622"/>
          <w:sz w:val="21"/>
          <w:szCs w:val="21"/>
          <w:rFonts w:ascii="Calibri" w:cs="Calibri" w:eastAsia="Calibri" w:hAnsi="Calibri"/>
        </w:rPr>
        <w:t xml:space="preserve">let our people use AI to do better work, faster, while making sure no confidential, regulated, or client information ever leaves our control through a tool nobody approved and nobody is watching.</w:t>
      </w:r>
    </w:p>
    <w:p>
      <w:pPr>
        <w:spacing w:before="220" w:after="60"/>
      </w:pPr>
      <w:r>
        <w:rPr>
          <w:b/>
          <w:bCs/>
          <w:color w:val="12A5DB"/>
          <w:sz w:val="16"/>
          <w:szCs w:val="16"/>
          <w:caps/>
          <w:rFonts w:ascii="Calibri" w:cs="Calibri" w:eastAsia="Calibri" w:hAnsi="Calibri"/>
          <w:spacing w:val="30"/>
        </w:rPr>
        <w:t xml:space="preserve">Section 2</w:t>
      </w:r>
    </w:p>
    <w:p>
      <w:pPr>
        <w:pStyle w:val="Heading1"/>
        <w:spacing w:before="340" w:after="130"/>
      </w:pPr>
      <w:r>
        <w:rPr>
          <w:b/>
          <w:bCs/>
          <w:color w:val="0B2440"/>
          <w:sz w:val="30"/>
          <w:szCs w:val="30"/>
          <w:rFonts w:ascii="Calibri" w:cs="Calibri" w:eastAsia="Calibri" w:hAnsi="Calibri"/>
        </w:rPr>
        <w:t xml:space="preserve">2. Roles &amp; responsibilities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Governance fails when it belongs to no one. These roles are named and accountable.</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2200"/>
        <w:gridCol w:w="7160"/>
      </w:tblGrid>
      <w:tr>
        <w:trPr>
          <w:tblHeader/>
        </w:trPr>
        <w:tc>
          <w:tcPr>
            <w:tcW w:type="dxa" w:w="22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Role</w:t>
            </w:r>
          </w:p>
        </w:tc>
        <w:tc>
          <w:tcPr>
            <w:tcW w:type="dxa" w:w="71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Responsibility</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Policy owner</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 named leader (not a committee) who owns this document and the approved-tools list, approves new tools, oversees incidents, and keeps the policy current. Default: [Name / title].</w:t>
            </w:r>
          </w:p>
        </w:tc>
      </w:tr>
      <w:tr>
        <w:tc>
          <w:tcPr>
            <w:tcW w:type="dxa" w:w="22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Leadership</w:t>
            </w:r>
          </w:p>
        </w:tc>
        <w:tc>
          <w:tcPr>
            <w:tcW w:type="dxa" w:w="7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Sponsors the policy, models compliant use, and makes clear that following it is expected — not optional.</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Managers</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Ensure their teams have read and signed the acknowledgment, know the approved tools for their work, and raise questions early.</w:t>
            </w:r>
          </w:p>
        </w:tc>
      </w:tr>
      <w:tr>
        <w:tc>
          <w:tcPr>
            <w:tcW w:type="dxa" w:w="22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Employees &amp; contractors</w:t>
            </w:r>
          </w:p>
        </w:tc>
        <w:tc>
          <w:tcPr>
            <w:tcW w:type="dxa" w:w="7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Use only approved tools, honor the data-classification rules, keep a human in the loop, and report incidents promptly.</w:t>
            </w:r>
          </w:p>
        </w:tc>
      </w:tr>
      <w:tr>
        <w:tc>
          <w:tcPr>
            <w:tcW w:type="dxa" w:w="22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IT / Fortify AI</w:t>
            </w:r>
          </w:p>
        </w:tc>
        <w:tc>
          <w:tcPr>
            <w:tcW w:type="dxa" w:w="7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Configures and maintains the enforcement layer (Shadow AI Discovery), provisions approved tools, monitors for unapproved use, and supports incident response.</w:t>
            </w:r>
          </w:p>
        </w:tc>
      </w:tr>
    </w:tbl>
    <w:p>
      <w:pPr>
        <w:spacing w:before="220" w:after="60"/>
      </w:pPr>
      <w:r>
        <w:rPr>
          <w:b/>
          <w:bCs/>
          <w:color w:val="12A5DB"/>
          <w:sz w:val="16"/>
          <w:szCs w:val="16"/>
          <w:caps/>
          <w:rFonts w:ascii="Calibri" w:cs="Calibri" w:eastAsia="Calibri" w:hAnsi="Calibri"/>
          <w:spacing w:val="30"/>
        </w:rPr>
        <w:t xml:space="preserve">Section 3</w:t>
      </w:r>
    </w:p>
    <w:p>
      <w:pPr>
        <w:pStyle w:val="Heading1"/>
        <w:spacing w:before="340" w:after="130"/>
      </w:pPr>
      <w:r>
        <w:rPr>
          <w:b/>
          <w:bCs/>
          <w:color w:val="0B2440"/>
          <w:sz w:val="30"/>
          <w:szCs w:val="30"/>
          <w:rFonts w:ascii="Calibri" w:cs="Calibri" w:eastAsia="Calibri" w:hAnsi="Calibri"/>
        </w:rPr>
        <w:t xml:space="preserve">3. Acceptable use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Employees are encouraged to use approved AI tools to draft, summarize, research, translate, analyze, brainstorm, and automate repetitive work — provided the information involved is properly classified for that tool (Section 6) and the output is reviewed by a qualified person before it is used (Section 7).</w:t>
      </w:r>
    </w:p>
    <w:p>
      <w:pPr>
        <w:spacing w:after="140" w:line="276" w:before="0"/>
      </w:pPr>
      <w:r>
        <w:rPr>
          <w:color w:val="3C4A57"/>
          <w:sz w:val="21"/>
          <w:szCs w:val="21"/>
          <w:rFonts w:ascii="Calibri" w:cs="Calibri" w:eastAsia="Calibri" w:hAnsi="Calibri"/>
        </w:rPr>
        <w:t xml:space="preserve">The guiding principle: </w:t>
      </w:r>
      <w:r>
        <w:rPr>
          <w:b/>
          <w:bCs/>
          <w:color w:val="0C1622"/>
          <w:sz w:val="21"/>
          <w:szCs w:val="21"/>
          <w:rFonts w:ascii="Calibri" w:cs="Calibri" w:eastAsia="Calibri" w:hAnsi="Calibri"/>
        </w:rPr>
        <w:t xml:space="preserve">AI assists; people remain accountable.</w:t>
      </w:r>
      <w:r>
        <w:rPr>
          <w:color w:val="3C4A57"/>
          <w:sz w:val="21"/>
          <w:szCs w:val="21"/>
          <w:rFonts w:ascii="Calibri" w:cs="Calibri" w:eastAsia="Calibri" w:hAnsi="Calibri"/>
        </w:rPr>
        <w:t xml:space="preserve"> A tool can draft the work, but a person owns the result.</w:t>
      </w:r>
    </w:p>
    <w:p>
      <w:pPr>
        <w:spacing w:before="220" w:after="60"/>
      </w:pPr>
      <w:r>
        <w:rPr>
          <w:b/>
          <w:bCs/>
          <w:color w:val="12A5DB"/>
          <w:sz w:val="16"/>
          <w:szCs w:val="16"/>
          <w:caps/>
          <w:rFonts w:ascii="Calibri" w:cs="Calibri" w:eastAsia="Calibri" w:hAnsi="Calibri"/>
          <w:spacing w:val="30"/>
        </w:rPr>
        <w:t xml:space="preserve">Section 4</w:t>
      </w:r>
    </w:p>
    <w:p>
      <w:pPr>
        <w:pStyle w:val="Heading1"/>
        <w:spacing w:before="340" w:after="130"/>
      </w:pPr>
      <w:r>
        <w:rPr>
          <w:b/>
          <w:bCs/>
          <w:color w:val="0B2440"/>
          <w:sz w:val="30"/>
          <w:szCs w:val="30"/>
          <w:rFonts w:ascii="Calibri" w:cs="Calibri" w:eastAsia="Calibri" w:hAnsi="Calibri"/>
        </w:rPr>
        <w:t xml:space="preserve">4. Prohibited use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The following are never permitted, on any account:</w:t>
      </w:r>
    </w:p>
    <w:p>
      <w:pPr>
        <w:pStyle w:val="ListParagraph"/>
        <w:numPr>
          <w:ilvl w:val="0"/>
          <w:numId w:val="2"/>
        </w:numPr>
        <w:spacing w:after="90" w:line="272"/>
      </w:pPr>
      <w:r>
        <w:rPr>
          <w:color w:val="3C4A57"/>
          <w:sz w:val="21"/>
          <w:szCs w:val="21"/>
          <w:rFonts w:ascii="Calibri" w:cs="Calibri" w:eastAsia="Calibri" w:hAnsi="Calibri"/>
        </w:rPr>
        <w:t xml:space="preserve">Entering confidential, regulated, or client data into a public or personal AI account (see the bright line below).</w:t>
      </w:r>
    </w:p>
    <w:p>
      <w:pPr>
        <w:pStyle w:val="ListParagraph"/>
        <w:numPr>
          <w:ilvl w:val="0"/>
          <w:numId w:val="2"/>
        </w:numPr>
        <w:spacing w:after="90" w:line="272"/>
      </w:pPr>
      <w:r>
        <w:rPr>
          <w:color w:val="3C4A57"/>
          <w:sz w:val="21"/>
          <w:szCs w:val="21"/>
          <w:rFonts w:ascii="Calibri" w:cs="Calibri" w:eastAsia="Calibri" w:hAnsi="Calibri"/>
        </w:rPr>
        <w:t xml:space="preserve">Using AI tools that are not on the approved-tools list for company work.</w:t>
      </w:r>
    </w:p>
    <w:p>
      <w:pPr>
        <w:pStyle w:val="ListParagraph"/>
        <w:numPr>
          <w:ilvl w:val="0"/>
          <w:numId w:val="2"/>
        </w:numPr>
        <w:spacing w:after="90" w:line="272"/>
      </w:pPr>
      <w:r>
        <w:rPr>
          <w:color w:val="3C4A57"/>
          <w:sz w:val="21"/>
          <w:szCs w:val="21"/>
          <w:rFonts w:ascii="Calibri" w:cs="Calibri" w:eastAsia="Calibri" w:hAnsi="Calibri"/>
        </w:rPr>
        <w:t xml:space="preserve">Presenting AI output as reviewed or verified when it has not been.</w:t>
      </w:r>
    </w:p>
    <w:p>
      <w:pPr>
        <w:pStyle w:val="ListParagraph"/>
        <w:numPr>
          <w:ilvl w:val="0"/>
          <w:numId w:val="2"/>
        </w:numPr>
        <w:spacing w:after="90" w:line="272"/>
      </w:pPr>
      <w:r>
        <w:rPr>
          <w:color w:val="3C4A57"/>
          <w:sz w:val="21"/>
          <w:szCs w:val="21"/>
          <w:rFonts w:ascii="Calibri" w:cs="Calibri" w:eastAsia="Calibri" w:hAnsi="Calibri"/>
        </w:rPr>
        <w:t xml:space="preserve">Using AI to make a final decision about a person — hiring, termination, credit, care, discipline — without meaningful human judgment.</w:t>
      </w:r>
    </w:p>
    <w:p>
      <w:pPr>
        <w:pStyle w:val="ListParagraph"/>
        <w:numPr>
          <w:ilvl w:val="0"/>
          <w:numId w:val="2"/>
        </w:numPr>
        <w:spacing w:after="90" w:line="272"/>
      </w:pPr>
      <w:r>
        <w:rPr>
          <w:color w:val="3C4A57"/>
          <w:sz w:val="21"/>
          <w:szCs w:val="21"/>
          <w:rFonts w:ascii="Calibri" w:cs="Calibri" w:eastAsia="Calibri" w:hAnsi="Calibri"/>
        </w:rPr>
        <w:t xml:space="preserve">Disabling, evading, or attempting to bypass the company’s AI monitoring or blocking controls.</w:t>
      </w:r>
    </w:p>
    <w:p>
      <w:pPr>
        <w:pStyle w:val="ListParagraph"/>
        <w:numPr>
          <w:ilvl w:val="0"/>
          <w:numId w:val="2"/>
        </w:numPr>
        <w:spacing w:after="90" w:line="272"/>
      </w:pPr>
      <w:r>
        <w:rPr>
          <w:color w:val="3C4A57"/>
          <w:sz w:val="21"/>
          <w:szCs w:val="21"/>
          <w:rFonts w:ascii="Calibri" w:cs="Calibri" w:eastAsia="Calibri" w:hAnsi="Calibri"/>
        </w:rPr>
        <w:t xml:space="preserve">Using AI to create content that is deceptive, discriminatory, infringing, or otherwise unlawful.</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The bright line</w:t>
            </w:r>
          </w:p>
          <w:p>
            <w:pPr>
              <w:spacing w:after="0" w:line="272"/>
            </w:pPr>
            <w:r>
              <w:rPr>
                <w:b/>
                <w:bCs/>
                <w:color w:val="0C1622"/>
                <w:sz w:val="21"/>
                <w:szCs w:val="21"/>
                <w:rFonts w:ascii="Calibri" w:cs="Calibri" w:eastAsia="Calibri" w:hAnsi="Calibri"/>
              </w:rPr>
              <w:t xml:space="preserve">Never paste client, patient, financial, or personally identifiable information into a public or personal AI account. </w:t>
            </w:r>
            <w:r>
              <w:rPr>
                <w:color w:val="0C1622"/>
                <w:sz w:val="21"/>
                <w:szCs w:val="21"/>
                <w:rFonts w:ascii="Calibri" w:cs="Calibri" w:eastAsia="Calibri" w:hAnsi="Calibri"/>
              </w:rPr>
              <w:t xml:space="preserve">If in doubt, treat it as confidential and use only a tool cleared for that data — or ask the policy owner first.</w:t>
            </w:r>
          </w:p>
        </w:tc>
      </w:tr>
    </w:tbl>
    <w:p>
      <w:pPr>
        <w:spacing w:before="220" w:after="60"/>
      </w:pPr>
      <w:r>
        <w:rPr>
          <w:b/>
          <w:bCs/>
          <w:color w:val="12A5DB"/>
          <w:sz w:val="16"/>
          <w:szCs w:val="16"/>
          <w:caps/>
          <w:rFonts w:ascii="Calibri" w:cs="Calibri" w:eastAsia="Calibri" w:hAnsi="Calibri"/>
          <w:spacing w:val="30"/>
        </w:rPr>
        <w:t xml:space="preserve">Section 5</w:t>
      </w:r>
    </w:p>
    <w:p>
      <w:pPr>
        <w:pStyle w:val="Heading1"/>
        <w:spacing w:before="340" w:after="130"/>
      </w:pPr>
      <w:r>
        <w:rPr>
          <w:b/>
          <w:bCs/>
          <w:color w:val="0B2440"/>
          <w:sz w:val="30"/>
          <w:szCs w:val="30"/>
          <w:rFonts w:ascii="Calibri" w:cs="Calibri" w:eastAsia="Calibri" w:hAnsi="Calibri"/>
        </w:rPr>
        <w:t xml:space="preserve">5. Approved AI tools</w:t>
      </w:r>
    </w:p>
    <w:p>
      <w:pPr>
        <w:pBdr>
          <w:bottom w:val="single" w:color="12A5DB" w:sz="6"/>
        </w:pBdr>
        <w:spacing w:before="60" w:after="160"/>
      </w:pPr>
    </w:p>
    <w:p>
      <w:pPr>
        <w:spacing w:after="140" w:line="276" w:before="0"/>
      </w:pPr>
      <w:r>
        <w:rPr>
          <w:b/>
          <w:bCs/>
          <w:color w:val="0C1622"/>
          <w:sz w:val="21"/>
          <w:szCs w:val="21"/>
          <w:rFonts w:ascii="Calibri" w:cs="Calibri" w:eastAsia="Calibri" w:hAnsi="Calibri"/>
        </w:rPr>
        <w:t xml:space="preserve">Only the tools checked below are approved for company work. </w:t>
      </w:r>
      <w:r>
        <w:rPr>
          <w:color w:val="3C4A57"/>
          <w:sz w:val="21"/>
          <w:szCs w:val="21"/>
          <w:rFonts w:ascii="Calibri" w:cs="Calibri" w:eastAsia="Calibri" w:hAnsi="Calibri"/>
        </w:rPr>
        <w:t xml:space="preserve">A tool is “approved” only once it has been vetted and configured so that company and client data stays inside a boundary we control — not simply because it is popular or enterprise-branded.</w:t>
      </w:r>
    </w:p>
    <w:p>
      <w:pPr>
        <w:spacing w:after="140" w:line="276" w:before="0"/>
      </w:pPr>
      <w:r>
        <w:rPr>
          <w:color w:val="3C4A57"/>
          <w:sz w:val="21"/>
          <w:szCs w:val="21"/>
          <w:rFonts w:ascii="Calibri" w:cs="Calibri" w:eastAsia="Calibri" w:hAnsi="Calibri"/>
        </w:rPr>
        <w:t xml:space="preserve">Our standard is deliberately strict: </w:t>
      </w:r>
      <w:r>
        <w:rPr>
          <w:b/>
          <w:bCs/>
          <w:color w:val="0C1622"/>
          <w:sz w:val="21"/>
          <w:szCs w:val="21"/>
          <w:rFonts w:ascii="Calibri" w:cs="Calibri" w:eastAsia="Calibri" w:hAnsi="Calibri"/>
        </w:rPr>
        <w:t xml:space="preserve">Fortify AI is the only tool approved out of the box</w:t>
      </w:r>
      <w:r>
        <w:rPr>
          <w:color w:val="3C4A57"/>
          <w:sz w:val="21"/>
          <w:szCs w:val="21"/>
          <w:rFonts w:ascii="Calibri" w:cs="Calibri" w:eastAsia="Calibri" w:hAnsi="Calibri"/>
        </w:rPr>
        <w:t xml:space="preserve">, because it is secure by default — data stays governed with no additional configuration required. Every other tool, including Microsoft 365 Copilot, must pass a readiness assessment and be configured and approved in writing before anyone uses it for company work.</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460"/>
        <w:gridCol w:w="3000"/>
        <w:gridCol w:w="3640"/>
        <w:gridCol w:w="2260"/>
      </w:tblGrid>
      <w:tr>
        <w:trPr>
          <w:tblHeader/>
        </w:trPr>
        <w:tc>
          <w:tcPr>
            <w:tcW w:type="dxa" w:w="4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r>
          </w:p>
        </w:tc>
        <w:tc>
          <w:tcPr>
            <w:tcW w:type="dxa" w:w="30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AI tool</w:t>
            </w:r>
          </w:p>
        </w:tc>
        <w:tc>
          <w:tcPr>
            <w:tcW w:type="dxa" w:w="364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Status for company work</w:t>
            </w:r>
          </w:p>
        </w:tc>
        <w:tc>
          <w:tcPr>
            <w:tcW w:type="dxa" w:w="22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Cleared for</w:t>
            </w:r>
          </w:p>
        </w:tc>
      </w:tr>
      <w:tr>
        <w:tc>
          <w:tcPr>
            <w:tcW w:type="dxa" w:w="460"/>
            <w:shd w:fill="FFFFFF" w:color="auto" w:val="clear"/>
            <w:tcMar>
              <w:top w:type="dxa" w:w="70"/>
              <w:left w:type="dxa" w:w="110"/>
              <w:bottom w:type="dxa" w:w="70"/>
              <w:right w:type="dxa" w:w="110"/>
            </w:tcMar>
            <w:vAlign w:val="center"/>
          </w:tcPr>
          <w:p>
            <w:pPr>
              <w:spacing w:after="0" w:line="264"/>
            </w:pPr>
            <w:r>
              <w:rPr>
                <w:color w:val="0B2440"/>
                <w:sz w:val="20"/>
                <w:szCs w:val="20"/>
                <w:rFonts w:ascii="Calibri" w:cs="Calibri" w:eastAsia="Calibri" w:hAnsi="Calibri"/>
              </w:rPr>
              <w:t xml:space="preserve">☑</w:t>
            </w:r>
          </w:p>
        </w:tc>
        <w:tc>
          <w:tcPr>
            <w:tcW w:type="dxa" w:w="3000"/>
            <w:shd w:fill="FFFFFF"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Fortify AI</w:t>
            </w:r>
          </w:p>
        </w:tc>
        <w:tc>
          <w:tcPr>
            <w:tcW w:type="dxa" w:w="3640"/>
            <w:shd w:fill="FFFFFF" w:color="auto" w:val="clear"/>
            <w:tcMar>
              <w:top w:type="dxa" w:w="70"/>
              <w:left w:type="dxa" w:w="110"/>
              <w:bottom w:type="dxa" w:w="70"/>
              <w:right w:type="dxa" w:w="110"/>
            </w:tcMar>
            <w:vAlign w:val="center"/>
          </w:tcPr>
          <w:p>
            <w:pPr>
              <w:spacing w:after="0" w:line="264"/>
            </w:pPr>
            <w:r>
              <w:rPr>
                <w:b/>
                <w:bCs/>
                <w:color w:val="0F7B3E"/>
                <w:sz w:val="19"/>
                <w:szCs w:val="19"/>
                <w:rFonts w:ascii="Calibri" w:cs="Calibri" w:eastAsia="Calibri" w:hAnsi="Calibri"/>
              </w:rPr>
              <w:t xml:space="preserve">APPROVED — secure by default</w:t>
            </w:r>
          </w:p>
        </w:tc>
        <w:tc>
          <w:tcPr>
            <w:tcW w:type="dxa" w:w="22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Internal &amp; confidential (per configuration)</w:t>
            </w:r>
          </w:p>
        </w:tc>
      </w:tr>
      <w:tr>
        <w:tc>
          <w:tcPr>
            <w:tcW w:type="dxa" w:w="460"/>
            <w:shd w:fill="F2F6F9" w:color="auto" w:val="clear"/>
            <w:tcMar>
              <w:top w:type="dxa" w:w="70"/>
              <w:left w:type="dxa" w:w="110"/>
              <w:bottom w:type="dxa" w:w="70"/>
              <w:right w:type="dxa" w:w="110"/>
            </w:tcMar>
            <w:vAlign w:val="center"/>
          </w:tcPr>
          <w:p>
            <w:pPr>
              <w:spacing w:after="0" w:line="264"/>
            </w:pPr>
            <w:r>
              <w:rPr>
                <w:color w:val="6B7C8B"/>
                <w:sz w:val="20"/>
                <w:szCs w:val="20"/>
                <w:rFonts w:ascii="Calibri" w:cs="Calibri" w:eastAsia="Calibri" w:hAnsi="Calibri"/>
              </w:rPr>
              <w:t xml:space="preserve">☐</w:t>
            </w:r>
          </w:p>
        </w:tc>
        <w:tc>
          <w:tcPr>
            <w:tcW w:type="dxa" w:w="30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Microsoft 365 Copilot</w:t>
            </w:r>
          </w:p>
        </w:tc>
        <w:tc>
          <w:tcPr>
            <w:tcW w:type="dxa" w:w="364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NOT approved until an AI readiness assessment + permissions remediation is complete (see note below)</w:t>
            </w:r>
          </w:p>
        </w:tc>
        <w:tc>
          <w:tcPr>
            <w:tcW w:type="dxa" w:w="22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after assessment &amp; written approval</w:t>
            </w:r>
          </w:p>
        </w:tc>
      </w:tr>
      <w:tr>
        <w:tc>
          <w:tcPr>
            <w:tcW w:type="dxa" w:w="460"/>
            <w:shd w:fill="FFFFFF" w:color="auto" w:val="clear"/>
            <w:tcMar>
              <w:top w:type="dxa" w:w="70"/>
              <w:left w:type="dxa" w:w="110"/>
              <w:bottom w:type="dxa" w:w="70"/>
              <w:right w:type="dxa" w:w="110"/>
            </w:tcMar>
            <w:vAlign w:val="center"/>
          </w:tcPr>
          <w:p>
            <w:pPr>
              <w:spacing w:after="0" w:line="264"/>
            </w:pPr>
            <w:r>
              <w:rPr>
                <w:color w:val="6B7C8B"/>
                <w:sz w:val="20"/>
                <w:szCs w:val="20"/>
                <w:rFonts w:ascii="Calibri" w:cs="Calibri" w:eastAsia="Calibri" w:hAnsi="Calibri"/>
              </w:rPr>
              <w:t xml:space="preserve">☐</w:t>
            </w:r>
          </w:p>
        </w:tc>
        <w:tc>
          <w:tcPr>
            <w:tcW w:type="dxa" w:w="30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Other enterprise AI (Azure OpenAI, Claude for Work, ChatGPT Enterprise, Amazon Bedrock, Google Gemini)</w:t>
            </w:r>
          </w:p>
        </w:tc>
        <w:tc>
          <w:tcPr>
            <w:tcW w:type="dxa" w:w="364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NOT approved until vetted, configured, and approved in writing</w:t>
            </w:r>
          </w:p>
        </w:tc>
        <w:tc>
          <w:tcPr>
            <w:tcW w:type="dxa" w:w="22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after assessment &amp; written approval</w:t>
            </w:r>
          </w:p>
        </w:tc>
      </w:tr>
      <w:tr>
        <w:tc>
          <w:tcPr>
            <w:tcW w:type="dxa" w:w="460"/>
            <w:shd w:fill="F2F6F9" w:color="auto" w:val="clear"/>
            <w:tcMar>
              <w:top w:type="dxa" w:w="70"/>
              <w:left w:type="dxa" w:w="110"/>
              <w:bottom w:type="dxa" w:w="70"/>
              <w:right w:type="dxa" w:w="110"/>
            </w:tcMar>
            <w:vAlign w:val="center"/>
          </w:tcPr>
          <w:p>
            <w:pPr>
              <w:spacing w:after="0" w:line="264"/>
            </w:pPr>
            <w:r>
              <w:rPr>
                <w:color w:val="6B7C8B"/>
                <w:sz w:val="20"/>
                <w:szCs w:val="20"/>
                <w:rFonts w:ascii="Calibri" w:cs="Calibri" w:eastAsia="Calibri" w:hAnsi="Calibri"/>
              </w:rPr>
              <w:t xml:space="preserve">☐</w:t>
            </w:r>
          </w:p>
        </w:tc>
        <w:tc>
          <w:tcPr>
            <w:tcW w:type="dxa" w:w="30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[Other — approved in writing]: __________________</w:t>
            </w:r>
          </w:p>
        </w:tc>
        <w:tc>
          <w:tcPr>
            <w:tcW w:type="dxa" w:w="364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[Approval date + policy owner]</w:t>
            </w:r>
          </w:p>
        </w:tc>
        <w:tc>
          <w:tcPr>
            <w:tcW w:type="dxa" w:w="22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[Define]</w:t>
            </w:r>
          </w:p>
        </w:tc>
      </w:tr>
    </w:tbl>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Why Microsoft 365 Copilot needs an assessment first</w:t>
            </w:r>
          </w:p>
          <w:p>
            <w:pPr>
              <w:spacing w:after="0" w:line="272"/>
            </w:pPr>
            <w:r>
              <w:rPr>
                <w:color w:val="0C1622"/>
                <w:sz w:val="21"/>
                <w:szCs w:val="21"/>
                <w:rFonts w:ascii="Calibri" w:cs="Calibri" w:eastAsia="Calibri" w:hAnsi="Calibri"/>
              </w:rPr>
              <w:t xml:space="preserve">Copilot surfaces whatever a user already has permission to open. If OneDrive, SharePoint, and Teams permissions were never fully locked down — which is common in environments that have grown over time — Copilot can make HR, accounting, and other sensitive files instantly discoverable to any employee who simply asks for them. Deploying Copilot before a readiness assessment and permissions remediation turns an invisible oversharing problem into a searchable one. </w:t>
            </w:r>
            <w:r>
              <w:rPr>
                <w:b/>
                <w:bCs/>
                <w:color w:val="0B2440"/>
                <w:sz w:val="21"/>
                <w:szCs w:val="21"/>
                <w:rFonts w:ascii="Calibri" w:cs="Calibri" w:eastAsia="Calibri" w:hAnsi="Calibri"/>
              </w:rPr>
              <w:t xml:space="preserve">Fortify AI completes this assessment and remediation before any Copilot rollout.</w:t>
            </w:r>
          </w:p>
        </w:tc>
      </w:tr>
    </w:tbl>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The approved-tools rule</w:t>
            </w:r>
          </w:p>
          <w:p>
            <w:pPr>
              <w:spacing w:after="0" w:line="272"/>
            </w:pPr>
            <w:r>
              <w:rPr>
                <w:b/>
                <w:bCs/>
                <w:color w:val="0C1622"/>
                <w:sz w:val="21"/>
                <w:szCs w:val="21"/>
                <w:rFonts w:ascii="Calibri" w:cs="Calibri" w:eastAsia="Calibri" w:hAnsi="Calibri"/>
              </w:rPr>
              <w:t xml:space="preserve">Any AI tool not checked above is prohibited for company work. </w:t>
            </w:r>
            <w:r>
              <w:rPr>
                <w:color w:val="0C1622"/>
                <w:sz w:val="21"/>
                <w:szCs w:val="21"/>
                <w:rFonts w:ascii="Calibri" w:cs="Calibri" w:eastAsia="Calibri" w:hAnsi="Calibri"/>
              </w:rPr>
              <w:t xml:space="preserve">Additions require advance written approval from the policy owner. Personal or consumer AI accounts may never be used for company work, on any device — unless expressly permitted in writing elsewhere in this policy.</w:t>
            </w:r>
          </w:p>
        </w:tc>
      </w:tr>
    </w:tbl>
    <w:p>
      <w:pPr>
        <w:spacing w:before="220" w:after="60"/>
      </w:pPr>
      <w:r>
        <w:rPr>
          <w:b/>
          <w:bCs/>
          <w:color w:val="12A5DB"/>
          <w:sz w:val="16"/>
          <w:szCs w:val="16"/>
          <w:caps/>
          <w:rFonts w:ascii="Calibri" w:cs="Calibri" w:eastAsia="Calibri" w:hAnsi="Calibri"/>
          <w:spacing w:val="30"/>
        </w:rPr>
        <w:t xml:space="preserve">Section 6</w:t>
      </w:r>
    </w:p>
    <w:p>
      <w:pPr>
        <w:pStyle w:val="Heading1"/>
        <w:spacing w:before="340" w:after="130"/>
      </w:pPr>
      <w:r>
        <w:rPr>
          <w:b/>
          <w:bCs/>
          <w:color w:val="0B2440"/>
          <w:sz w:val="30"/>
          <w:szCs w:val="30"/>
          <w:rFonts w:ascii="Calibri" w:cs="Calibri" w:eastAsia="Calibri" w:hAnsi="Calibri"/>
        </w:rPr>
        <w:t xml:space="preserve">6. Data classification standard</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is the most important section. It converts abstract risk into a rule an employee can apply on every task.</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1700"/>
        <w:gridCol w:w="4160"/>
        <w:gridCol w:w="3500"/>
      </w:tblGrid>
      <w:tr>
        <w:trPr>
          <w:tblHeader/>
        </w:trPr>
        <w:tc>
          <w:tcPr>
            <w:tcW w:type="dxa" w:w="17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Tier</w:t>
            </w:r>
          </w:p>
        </w:tc>
        <w:tc>
          <w:tcPr>
            <w:tcW w:type="dxa" w:w="41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Examples</w:t>
            </w:r>
          </w:p>
        </w:tc>
        <w:tc>
          <w:tcPr>
            <w:tcW w:type="dxa" w:w="35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AI use rule</w:t>
            </w:r>
          </w:p>
        </w:tc>
      </w:tr>
      <w:tr>
        <w:tc>
          <w:tcPr>
            <w:tcW w:type="dxa" w:w="1700"/>
            <w:shd w:fill="FFFFFF"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Public</w:t>
            </w:r>
          </w:p>
        </w:tc>
        <w:tc>
          <w:tcPr>
            <w:tcW w:type="dxa" w:w="4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Marketing copy already published, public web content</w:t>
            </w:r>
          </w:p>
        </w:tc>
        <w:tc>
          <w:tcPr>
            <w:tcW w:type="dxa" w:w="35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Any approved tool, including public tools</w:t>
            </w:r>
          </w:p>
        </w:tc>
      </w:tr>
      <w:tr>
        <w:tc>
          <w:tcPr>
            <w:tcW w:type="dxa" w:w="1700"/>
            <w:shd w:fill="F2F6F9"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Internal</w:t>
            </w:r>
          </w:p>
        </w:tc>
        <w:tc>
          <w:tcPr>
            <w:tcW w:type="dxa" w:w="4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Internal memos, non-sensitive plans, general operations</w:t>
            </w:r>
          </w:p>
        </w:tc>
        <w:tc>
          <w:tcPr>
            <w:tcW w:type="dxa" w:w="35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Approved business-tier tools only</w:t>
            </w:r>
          </w:p>
        </w:tc>
      </w:tr>
      <w:tr>
        <w:tc>
          <w:tcPr>
            <w:tcW w:type="dxa" w:w="1700"/>
            <w:shd w:fill="FFFFFF"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Confidential</w:t>
            </w:r>
          </w:p>
        </w:tc>
        <w:tc>
          <w:tcPr>
            <w:tcW w:type="dxa" w:w="41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Contracts, pricing, strategy, non-regulated client info</w:t>
            </w:r>
          </w:p>
        </w:tc>
        <w:tc>
          <w:tcPr>
            <w:tcW w:type="dxa" w:w="350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tools contractually cleared for confidential data</w:t>
            </w:r>
          </w:p>
        </w:tc>
      </w:tr>
      <w:tr>
        <w:tc>
          <w:tcPr>
            <w:tcW w:type="dxa" w:w="1700"/>
            <w:shd w:fill="F2F6F9" w:color="auto" w:val="clear"/>
            <w:tcMar>
              <w:top w:type="dxa" w:w="70"/>
              <w:left w:type="dxa" w:w="110"/>
              <w:bottom w:type="dxa" w:w="70"/>
              <w:right w:type="dxa" w:w="110"/>
            </w:tcMar>
            <w:vAlign w:val="center"/>
          </w:tcPr>
          <w:p>
            <w:pPr>
              <w:spacing w:after="0" w:line="264"/>
            </w:pPr>
            <w:r>
              <w:rPr>
                <w:b/>
                <w:bCs/>
                <w:color w:val="9B1C1C"/>
                <w:sz w:val="19"/>
                <w:szCs w:val="19"/>
                <w:rFonts w:ascii="Calibri" w:cs="Calibri" w:eastAsia="Calibri" w:hAnsi="Calibri"/>
              </w:rPr>
              <w:t xml:space="preserve">Regulated</w:t>
            </w:r>
          </w:p>
        </w:tc>
        <w:tc>
          <w:tcPr>
            <w:tcW w:type="dxa" w:w="41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PHI (HIPAA), PII (GDPR/CCPA), card data (PCI), CJIS/CMMC</w:t>
            </w:r>
          </w:p>
        </w:tc>
        <w:tc>
          <w:tcPr>
            <w:tcW w:type="dxa" w:w="350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Never in public or personal AI. Only in a cleared, compliant environment</w:t>
            </w:r>
          </w:p>
        </w:tc>
      </w:tr>
    </w:tbl>
    <w:p>
      <w:pPr>
        <w:spacing w:after="140" w:line="276" w:before="120"/>
      </w:pPr>
      <w:r>
        <w:rPr>
          <w:color w:val="3C4A57"/>
          <w:sz w:val="21"/>
          <w:szCs w:val="21"/>
          <w:rFonts w:ascii="Calibri" w:cs="Calibri" w:eastAsia="Calibri" w:hAnsi="Calibri"/>
        </w:rPr>
        <w:t xml:space="preserve">Map these tiers to the specific regimes you answer to (HIPAA, GDPR, CCPA, PCI-DSS, CMMC), so regulated data never reaches a tool that has not been cleared for it.</w:t>
      </w:r>
    </w:p>
    <w:p>
      <w:pPr>
        <w:spacing w:before="220" w:after="60"/>
      </w:pPr>
      <w:r>
        <w:rPr>
          <w:b/>
          <w:bCs/>
          <w:color w:val="12A5DB"/>
          <w:sz w:val="16"/>
          <w:szCs w:val="16"/>
          <w:caps/>
          <w:rFonts w:ascii="Calibri" w:cs="Calibri" w:eastAsia="Calibri" w:hAnsi="Calibri"/>
          <w:spacing w:val="30"/>
        </w:rPr>
        <w:t xml:space="preserve">Section 7</w:t>
      </w:r>
    </w:p>
    <w:p>
      <w:pPr>
        <w:pStyle w:val="Heading1"/>
        <w:spacing w:before="340" w:after="130"/>
      </w:pPr>
      <w:r>
        <w:rPr>
          <w:b/>
          <w:bCs/>
          <w:color w:val="0B2440"/>
          <w:sz w:val="30"/>
          <w:szCs w:val="30"/>
          <w:rFonts w:ascii="Calibri" w:cs="Calibri" w:eastAsia="Calibri" w:hAnsi="Calibri"/>
        </w:rPr>
        <w:t xml:space="preserve">7. Human review &amp; accountability</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A qualified person must review AI-generated output before it is sent to a client, filed, billed, published, or used in any decision about a person. The individual who signs, sends, or acts on the output owns the result — accountability stays with people, not the model.</w:t>
      </w:r>
    </w:p>
    <w:p>
      <w:pPr>
        <w:spacing w:before="220" w:after="60"/>
      </w:pPr>
      <w:r>
        <w:rPr>
          <w:b/>
          <w:bCs/>
          <w:color w:val="12A5DB"/>
          <w:sz w:val="16"/>
          <w:szCs w:val="16"/>
          <w:caps/>
          <w:rFonts w:ascii="Calibri" w:cs="Calibri" w:eastAsia="Calibri" w:hAnsi="Calibri"/>
          <w:spacing w:val="30"/>
        </w:rPr>
        <w:t xml:space="preserve">Section 8</w:t>
      </w:r>
    </w:p>
    <w:p>
      <w:pPr>
        <w:pStyle w:val="Heading1"/>
        <w:spacing w:before="340" w:after="130"/>
      </w:pPr>
      <w:r>
        <w:rPr>
          <w:b/>
          <w:bCs/>
          <w:color w:val="0B2440"/>
          <w:sz w:val="30"/>
          <w:szCs w:val="30"/>
          <w:rFonts w:ascii="Calibri" w:cs="Calibri" w:eastAsia="Calibri" w:hAnsi="Calibri"/>
        </w:rPr>
        <w:t xml:space="preserve">8. Third-party &amp; vendor requirements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Your bookkeeper, marketing help, IT contractor, and software vendors all handle your data. Any one of them running it through their own ungoverned AI is exposure you inherit but cannot see. Every vendor that touches company data must confirm, in writing (see the vendor letter), that they:</w:t>
      </w:r>
    </w:p>
    <w:p>
      <w:pPr>
        <w:pStyle w:val="ListParagraph"/>
        <w:numPr>
          <w:ilvl w:val="0"/>
          <w:numId w:val="2"/>
        </w:numPr>
        <w:spacing w:after="90" w:line="272"/>
      </w:pPr>
      <w:r>
        <w:rPr>
          <w:color w:val="3C4A57"/>
          <w:sz w:val="21"/>
          <w:szCs w:val="21"/>
          <w:rFonts w:ascii="Calibri" w:cs="Calibri" w:eastAsia="Calibri" w:hAnsi="Calibri"/>
        </w:rPr>
        <w:t xml:space="preserve">Will not enter your data into public or personal AI tools;</w:t>
      </w:r>
    </w:p>
    <w:p>
      <w:pPr>
        <w:pStyle w:val="ListParagraph"/>
        <w:numPr>
          <w:ilvl w:val="0"/>
          <w:numId w:val="2"/>
        </w:numPr>
        <w:spacing w:after="90" w:line="272"/>
      </w:pPr>
      <w:r>
        <w:rPr>
          <w:color w:val="3C4A57"/>
          <w:sz w:val="21"/>
          <w:szCs w:val="21"/>
          <w:rFonts w:ascii="Calibri" w:cs="Calibri" w:eastAsia="Calibri" w:hAnsi="Calibri"/>
        </w:rPr>
        <w:t xml:space="preserve">Will not allow AI providers to train models on your data;</w:t>
      </w:r>
    </w:p>
    <w:p>
      <w:pPr>
        <w:pStyle w:val="ListParagraph"/>
        <w:numPr>
          <w:ilvl w:val="0"/>
          <w:numId w:val="2"/>
        </w:numPr>
        <w:spacing w:after="90" w:line="272"/>
      </w:pPr>
      <w:r>
        <w:rPr>
          <w:color w:val="3C4A57"/>
          <w:sz w:val="21"/>
          <w:szCs w:val="21"/>
          <w:rFonts w:ascii="Calibri" w:cs="Calibri" w:eastAsia="Calibri" w:hAnsi="Calibri"/>
        </w:rPr>
        <w:t xml:space="preserve">Isolate your data from their other customers;</w:t>
      </w:r>
    </w:p>
    <w:p>
      <w:pPr>
        <w:pStyle w:val="ListParagraph"/>
        <w:numPr>
          <w:ilvl w:val="0"/>
          <w:numId w:val="2"/>
        </w:numPr>
        <w:spacing w:after="90" w:line="272"/>
      </w:pPr>
      <w:r>
        <w:rPr>
          <w:color w:val="3C4A57"/>
          <w:sz w:val="21"/>
          <w:szCs w:val="21"/>
          <w:rFonts w:ascii="Calibri" w:cs="Calibri" w:eastAsia="Calibri" w:hAnsi="Calibri"/>
        </w:rPr>
        <w:t xml:space="preserve">Disclose any AI processing of your data and the tools involved;</w:t>
      </w:r>
    </w:p>
    <w:p>
      <w:pPr>
        <w:pStyle w:val="ListParagraph"/>
        <w:numPr>
          <w:ilvl w:val="0"/>
          <w:numId w:val="2"/>
        </w:numPr>
        <w:spacing w:after="90" w:line="272"/>
      </w:pPr>
      <w:r>
        <w:rPr>
          <w:color w:val="3C4A57"/>
          <w:sz w:val="21"/>
          <w:szCs w:val="21"/>
          <w:rFonts w:ascii="Calibri" w:cs="Calibri" w:eastAsia="Calibri" w:hAnsi="Calibri"/>
        </w:rPr>
        <w:t xml:space="preserve">Meet your data-residency requirements; and</w:t>
      </w:r>
    </w:p>
    <w:p>
      <w:pPr>
        <w:pStyle w:val="ListParagraph"/>
        <w:numPr>
          <w:ilvl w:val="0"/>
          <w:numId w:val="2"/>
        </w:numPr>
        <w:spacing w:after="90" w:line="272"/>
      </w:pPr>
      <w:r>
        <w:rPr>
          <w:color w:val="3C4A57"/>
          <w:sz w:val="21"/>
          <w:szCs w:val="21"/>
          <w:rFonts w:ascii="Calibri" w:cs="Calibri" w:eastAsia="Calibri" w:hAnsi="Calibri"/>
        </w:rPr>
        <w:t xml:space="preserve">Notify you promptly of any AI-related incident, and flow these terms down to their own subcontractors.</w:t>
      </w:r>
    </w:p>
    <w:p>
      <w:pPr>
        <w:spacing w:after="140" w:line="276" w:before="0"/>
      </w:pPr>
      <w:r>
        <w:rPr>
          <w:color w:val="3C4A57"/>
          <w:sz w:val="21"/>
          <w:szCs w:val="21"/>
          <w:rFonts w:ascii="Calibri" w:cs="Calibri" w:eastAsia="Calibri" w:hAnsi="Calibri"/>
        </w:rPr>
        <w:t xml:space="preserve">New AI vendors must be approved before they handle company data.</w:t>
      </w:r>
    </w:p>
    <w:p>
      <w:pPr>
        <w:spacing w:before="220" w:after="60"/>
      </w:pPr>
      <w:r>
        <w:rPr>
          <w:b/>
          <w:bCs/>
          <w:color w:val="12A5DB"/>
          <w:sz w:val="16"/>
          <w:szCs w:val="16"/>
          <w:caps/>
          <w:rFonts w:ascii="Calibri" w:cs="Calibri" w:eastAsia="Calibri" w:hAnsi="Calibri"/>
          <w:spacing w:val="30"/>
        </w:rPr>
        <w:t xml:space="preserve">Section 9</w:t>
      </w:r>
    </w:p>
    <w:p>
      <w:pPr>
        <w:pStyle w:val="Heading1"/>
        <w:spacing w:before="340" w:after="130"/>
      </w:pPr>
      <w:r>
        <w:rPr>
          <w:b/>
          <w:bCs/>
          <w:color w:val="0B2440"/>
          <w:sz w:val="30"/>
          <w:szCs w:val="30"/>
          <w:rFonts w:ascii="Calibri" w:cs="Calibri" w:eastAsia="Calibri" w:hAnsi="Calibri"/>
        </w:rPr>
        <w:t xml:space="preserve">9. Data handling, prompt hygiene &amp; residency</w:t>
      </w:r>
    </w:p>
    <w:p>
      <w:pPr>
        <w:pBdr>
          <w:bottom w:val="single" w:color="12A5DB" w:sz="6"/>
        </w:pBdr>
        <w:spacing w:before="60" w:after="160"/>
      </w:pPr>
    </w:p>
    <w:p>
      <w:pPr>
        <w:spacing w:after="140" w:line="276" w:before="0"/>
      </w:pPr>
      <w:r>
        <w:rPr>
          <w:b/>
          <w:bCs/>
          <w:color w:val="0C1622"/>
          <w:sz w:val="21"/>
          <w:szCs w:val="21"/>
          <w:rFonts w:ascii="Calibri" w:cs="Calibri" w:eastAsia="Calibri" w:hAnsi="Calibri"/>
        </w:rPr>
        <w:t xml:space="preserve">Prompt hygiene. </w:t>
      </w:r>
      <w:r>
        <w:rPr>
          <w:color w:val="3C4A57"/>
          <w:sz w:val="21"/>
          <w:szCs w:val="21"/>
          <w:rFonts w:ascii="Calibri" w:cs="Calibri" w:eastAsia="Calibri" w:hAnsi="Calibri"/>
        </w:rPr>
        <w:t xml:space="preserve">Put the minimum necessary into any AI tool. Default to redacted or synthetic data in prompts, never paste secrets, keys, credentials, or identifiable logs, and keep AI-assisted work products only in approved company repositories with the correct retention tags — not personal drives or email drafts.</w:t>
      </w:r>
    </w:p>
    <w:p>
      <w:pPr>
        <w:spacing w:after="140" w:line="276" w:before="0"/>
      </w:pPr>
      <w:r>
        <w:rPr>
          <w:color w:val="3C4A57"/>
          <w:sz w:val="21"/>
          <w:szCs w:val="21"/>
          <w:rFonts w:ascii="Calibri" w:cs="Calibri" w:eastAsia="Calibri" w:hAnsi="Calibri"/>
        </w:rPr>
        <w:t xml:space="preserve">AI tools that handle company data must operate under contractual terms the company has reviewed, must not retain your inputs beyond what is necessary to deliver the service, and must meet any residency requirements that apply to your jurisdiction or contracts (for example, US-only storage). Where regulated data is involved, the tool must be covered by the appropriate agreement (e.g., a HIPAA Business Associate Agreement) before any such data is processed.</w:t>
      </w:r>
    </w:p>
    <w:p>
      <w:pPr>
        <w:spacing w:before="220" w:after="60"/>
      </w:pPr>
      <w:r>
        <w:rPr>
          <w:b/>
          <w:bCs/>
          <w:color w:val="12A5DB"/>
          <w:sz w:val="16"/>
          <w:szCs w:val="16"/>
          <w:caps/>
          <w:rFonts w:ascii="Calibri" w:cs="Calibri" w:eastAsia="Calibri" w:hAnsi="Calibri"/>
          <w:spacing w:val="30"/>
        </w:rPr>
        <w:t xml:space="preserve">Section 10</w:t>
      </w:r>
    </w:p>
    <w:p>
      <w:pPr>
        <w:pStyle w:val="Heading1"/>
        <w:spacing w:before="340" w:after="130"/>
      </w:pPr>
      <w:r>
        <w:rPr>
          <w:b/>
          <w:bCs/>
          <w:color w:val="0B2440"/>
          <w:sz w:val="30"/>
          <w:szCs w:val="30"/>
          <w:rFonts w:ascii="Calibri" w:cs="Calibri" w:eastAsia="Calibri" w:hAnsi="Calibri"/>
        </w:rPr>
        <w:t xml:space="preserve">10. Monitoring &amp; enforcement</w:t>
      </w:r>
    </w:p>
    <w:p>
      <w:pPr>
        <w:pBdr>
          <w:bottom w:val="single" w:color="12A5DB" w:sz="6"/>
        </w:pBdr>
        <w:spacing w:before="60" w:after="160"/>
      </w:pPr>
    </w:p>
    <w:p>
      <w:pPr>
        <w:spacing w:after="140" w:line="276" w:before="0"/>
      </w:pPr>
      <w:r>
        <w:rPr>
          <w:b/>
          <w:bCs/>
          <w:color w:val="0C1622"/>
          <w:sz w:val="21"/>
          <w:szCs w:val="21"/>
          <w:rFonts w:ascii="Calibri" w:cs="Calibri" w:eastAsia="Calibri" w:hAnsi="Calibri"/>
        </w:rPr>
        <w:t xml:space="preserve">A policy you cannot see being followed is a hope, not a control. </w:t>
      </w:r>
      <w:r>
        <w:rPr>
          <w:color w:val="3C4A57"/>
          <w:sz w:val="21"/>
          <w:szCs w:val="21"/>
          <w:rFonts w:ascii="Calibri" w:cs="Calibri" w:eastAsia="Calibri" w:hAnsi="Calibri"/>
        </w:rPr>
        <w:t xml:space="preserve">Most organizations cannot produce a list, today, of every AI tool their team used this week — which means the usage they are worried about is the usage they cannot see.</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Shadow AI Discovery — included on every Fortify AI managed plan</w:t>
            </w:r>
          </w:p>
          <w:p>
            <w:pPr>
              <w:spacing w:after="80" w:line="272"/>
            </w:pPr>
            <w:r>
              <w:rPr>
                <w:b/>
                <w:bCs/>
                <w:color w:val="0B2440"/>
                <w:sz w:val="21"/>
                <w:szCs w:val="21"/>
                <w:rFonts w:ascii="Calibri" w:cs="Calibri" w:eastAsia="Calibri" w:hAnsi="Calibri"/>
              </w:rPr>
              <w:t xml:space="preserve">Visibility: </w:t>
            </w:r>
            <w:r>
              <w:rPr>
                <w:color w:val="0C1622"/>
                <w:sz w:val="21"/>
                <w:szCs w:val="21"/>
                <w:rFonts w:ascii="Calibri" w:cs="Calibri" w:eastAsia="Calibri" w:hAnsi="Calibri"/>
              </w:rPr>
              <w:t xml:space="preserve">see exactly which AI tools and LLMs your team is using, across company and personal accounts.</w:t>
            </w:r>
          </w:p>
          <w:p>
            <w:pPr>
              <w:spacing w:after="80" w:line="272"/>
            </w:pPr>
            <w:r>
              <w:rPr>
                <w:b/>
                <w:bCs/>
                <w:color w:val="0B2440"/>
                <w:sz w:val="21"/>
                <w:szCs w:val="21"/>
                <w:rFonts w:ascii="Calibri" w:cs="Calibri" w:eastAsia="Calibri" w:hAnsi="Calibri"/>
              </w:rPr>
              <w:t xml:space="preserve">Control: </w:t>
            </w:r>
            <w:r>
              <w:rPr>
                <w:color w:val="0C1622"/>
                <w:sz w:val="21"/>
                <w:szCs w:val="21"/>
                <w:rFonts w:ascii="Calibri" w:cs="Calibri" w:eastAsia="Calibri" w:hAnsi="Calibri"/>
              </w:rPr>
              <w:t xml:space="preserve">block specific or unapproved LLMs from being accessed at all — so sensitive data cannot leave through a tool you never approved.</w:t>
            </w:r>
          </w:p>
          <w:p>
            <w:pPr>
              <w:spacing w:after="0" w:line="272"/>
            </w:pPr>
            <w:r>
              <w:rPr>
                <w:b/>
                <w:bCs/>
                <w:color w:val="0B2440"/>
                <w:sz w:val="21"/>
                <w:szCs w:val="21"/>
                <w:rFonts w:ascii="Calibri" w:cs="Calibri" w:eastAsia="Calibri" w:hAnsi="Calibri"/>
              </w:rPr>
              <w:t xml:space="preserve">Enablement: </w:t>
            </w:r>
            <w:r>
              <w:rPr>
                <w:color w:val="0C1622"/>
                <w:sz w:val="21"/>
                <w:szCs w:val="21"/>
                <w:rFonts w:ascii="Calibri" w:cs="Calibri" w:eastAsia="Calibri" w:hAnsi="Calibri"/>
              </w:rPr>
              <w:t xml:space="preserve">keep the tools that help, shut off the ones that put you at risk, and give every employee an approved, compliant path that is also the convenient one.</w:t>
            </w:r>
          </w:p>
        </w:tc>
      </w:tr>
    </w:tbl>
    <w:p>
      <w:pPr>
        <w:spacing w:after="140" w:line="276" w:before="120"/>
      </w:pPr>
      <w:r>
        <w:rPr>
          <w:color w:val="3C4A57"/>
          <w:sz w:val="21"/>
          <w:szCs w:val="21"/>
          <w:rFonts w:ascii="Calibri" w:cs="Calibri" w:eastAsia="Calibri" w:hAnsi="Calibri"/>
        </w:rPr>
        <w:t xml:space="preserve">The compliant path must be the convenient path. When people have an approved tool that works, and unapproved tools are blocked, the policy enforces itself.</w:t>
      </w:r>
    </w:p>
    <w:p>
      <w:pPr>
        <w:spacing w:before="220" w:after="60"/>
      </w:pPr>
      <w:r>
        <w:rPr>
          <w:b/>
          <w:bCs/>
          <w:color w:val="12A5DB"/>
          <w:sz w:val="16"/>
          <w:szCs w:val="16"/>
          <w:caps/>
          <w:rFonts w:ascii="Calibri" w:cs="Calibri" w:eastAsia="Calibri" w:hAnsi="Calibri"/>
          <w:spacing w:val="30"/>
        </w:rPr>
        <w:t xml:space="preserve">Section 11</w:t>
      </w:r>
    </w:p>
    <w:p>
      <w:pPr>
        <w:pStyle w:val="Heading1"/>
        <w:spacing w:before="340" w:after="130"/>
      </w:pPr>
      <w:r>
        <w:rPr>
          <w:b/>
          <w:bCs/>
          <w:color w:val="0B2440"/>
          <w:sz w:val="30"/>
          <w:szCs w:val="30"/>
          <w:rFonts w:ascii="Calibri" w:cs="Calibri" w:eastAsia="Calibri" w:hAnsi="Calibri"/>
        </w:rPr>
        <w:t xml:space="preserve">11. Incident handling</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If sensitive data is exposed to an unapproved tool, report it promptly through [defined channel — e.g., report to the policy owner or IT]. The goal is fast containment, not blame; early reporting limits exposure. The policy owner logs the incident, coordinates containment, and ties into the company’s existing breach-response process where regulated data is involved.</w:t>
      </w:r>
    </w:p>
    <w:p>
      <w:pPr>
        <w:spacing w:after="140" w:line="276" w:before="0"/>
      </w:pPr>
      <w:r>
        <w:rPr>
          <w:color w:val="3C4A57"/>
          <w:sz w:val="21"/>
          <w:szCs w:val="21"/>
          <w:rFonts w:ascii="Calibri" w:cs="Calibri" w:eastAsia="Calibri" w:hAnsi="Calibri"/>
        </w:rPr>
        <w:t xml:space="preserve">Where a contract or law requires it, notify the affected client or authority within the required window — commonly </w:t>
      </w:r>
      <w:r>
        <w:rPr>
          <w:b/>
          <w:bCs/>
          <w:color w:val="0C1622"/>
          <w:sz w:val="21"/>
          <w:szCs w:val="21"/>
          <w:rFonts w:ascii="Calibri" w:cs="Calibri" w:eastAsia="Calibri" w:hAnsi="Calibri"/>
        </w:rPr>
        <w:t xml:space="preserve">within 72 hours of confirming a material event.</w:t>
      </w:r>
      <w:r>
        <w:rPr>
          <w:color w:val="3C4A57"/>
          <w:sz w:val="21"/>
          <w:szCs w:val="21"/>
          <w:rFonts w:ascii="Calibri" w:cs="Calibri" w:eastAsia="Calibri" w:hAnsi="Calibri"/>
        </w:rPr>
        <w:t xml:space="preserve"> Treat misrouting of client data into a non-approved AI tool as a reportable security incident.</w:t>
      </w:r>
    </w:p>
    <w:p>
      <w:pPr>
        <w:spacing w:before="220" w:after="60"/>
      </w:pPr>
      <w:r>
        <w:rPr>
          <w:b/>
          <w:bCs/>
          <w:color w:val="12A5DB"/>
          <w:sz w:val="16"/>
          <w:szCs w:val="16"/>
          <w:caps/>
          <w:rFonts w:ascii="Calibri" w:cs="Calibri" w:eastAsia="Calibri" w:hAnsi="Calibri"/>
          <w:spacing w:val="30"/>
        </w:rPr>
        <w:t xml:space="preserve">Section 12</w:t>
      </w:r>
    </w:p>
    <w:p>
      <w:pPr>
        <w:pStyle w:val="Heading1"/>
        <w:spacing w:before="340" w:after="130"/>
      </w:pPr>
      <w:r>
        <w:rPr>
          <w:b/>
          <w:bCs/>
          <w:color w:val="0B2440"/>
          <w:sz w:val="30"/>
          <w:szCs w:val="30"/>
          <w:rFonts w:ascii="Calibri" w:cs="Calibri" w:eastAsia="Calibri" w:hAnsi="Calibri"/>
        </w:rPr>
        <w:t xml:space="preserve">12. Training &amp; enablement</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Skill with AI is the difference between a toy and a tool. Every employee should receive practical coaching on using approved tools well and safely — how to write effective prompts, when to keep a human in the loop, and how to apply the data-classification rules. New hires complete this as part of onboarding.</w:t>
      </w:r>
    </w:p>
    <w:p>
      <w:pPr>
        <w:spacing w:before="220" w:after="60"/>
      </w:pPr>
      <w:r>
        <w:rPr>
          <w:b/>
          <w:bCs/>
          <w:color w:val="12A5DB"/>
          <w:sz w:val="16"/>
          <w:szCs w:val="16"/>
          <w:caps/>
          <w:rFonts w:ascii="Calibri" w:cs="Calibri" w:eastAsia="Calibri" w:hAnsi="Calibri"/>
          <w:spacing w:val="30"/>
        </w:rPr>
        <w:t xml:space="preserve">Section 13</w:t>
      </w:r>
    </w:p>
    <w:p>
      <w:pPr>
        <w:pStyle w:val="Heading1"/>
        <w:spacing w:before="340" w:after="130"/>
      </w:pPr>
      <w:r>
        <w:rPr>
          <w:b/>
          <w:bCs/>
          <w:color w:val="0B2440"/>
          <w:sz w:val="30"/>
          <w:szCs w:val="30"/>
          <w:rFonts w:ascii="Calibri" w:cs="Calibri" w:eastAsia="Calibri" w:hAnsi="Calibri"/>
        </w:rPr>
        <w:t xml:space="preserve">13. Ownership, review &amp; version control</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The named policy owner maintains this document and the approved-tools list. The policy is reviewed at least every six months, and immediately after any material change in tools, regulation, or an incident. Each version is dated and numbered so everyone knows they are reading the current rules.</w:t>
      </w:r>
    </w:p>
    <w:p>
      <w:r>
        <w:br w:type="page"/>
      </w:r>
    </w:p>
    <w:p>
      <w:pPr>
        <w:spacing w:before="220" w:after="60"/>
      </w:pPr>
      <w:r>
        <w:rPr>
          <w:b/>
          <w:bCs/>
          <w:color w:val="12A5DB"/>
          <w:sz w:val="16"/>
          <w:szCs w:val="16"/>
          <w:caps/>
          <w:rFonts w:ascii="Calibri" w:cs="Calibri" w:eastAsia="Calibri" w:hAnsi="Calibri"/>
          <w:spacing w:val="30"/>
        </w:rPr>
        <w:t xml:space="preserve">Appendix A</w:t>
      </w:r>
    </w:p>
    <w:p>
      <w:pPr>
        <w:pStyle w:val="Heading1"/>
        <w:spacing w:before="340" w:after="130"/>
      </w:pPr>
      <w:r>
        <w:rPr>
          <w:b/>
          <w:bCs/>
          <w:color w:val="0B2440"/>
          <w:sz w:val="30"/>
          <w:szCs w:val="30"/>
          <w:rFonts w:ascii="Calibri" w:cs="Calibri" w:eastAsia="Calibri" w:hAnsi="Calibri"/>
        </w:rPr>
        <w:t xml:space="preserve">Appendix A — Data classification quick reference</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Print this and keep it where people work. When in doubt, classify up.</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4680"/>
        <w:gridCol w:w="4680"/>
      </w:tblGrid>
      <w:tr>
        <w:trPr>
          <w:tblHeader/>
        </w:trPr>
        <w:tc>
          <w:tcPr>
            <w:tcW w:type="dxa" w:w="468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If the information is…</w:t>
            </w:r>
          </w:p>
        </w:tc>
        <w:tc>
          <w:tcPr>
            <w:tcW w:type="dxa" w:w="468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Then…</w:t>
            </w:r>
          </w:p>
        </w:tc>
      </w:tr>
      <w:tr>
        <w:tc>
          <w:tcPr>
            <w:tcW w:type="dxa" w:w="468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Already public</w:t>
            </w:r>
          </w:p>
        </w:tc>
        <w:tc>
          <w:tcPr>
            <w:tcW w:type="dxa" w:w="468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Any approved tool is fine</w:t>
            </w:r>
          </w:p>
        </w:tc>
      </w:tr>
      <w:tr>
        <w:tc>
          <w:tcPr>
            <w:tcW w:type="dxa" w:w="468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Internal but not sensitive</w:t>
            </w:r>
          </w:p>
        </w:tc>
        <w:tc>
          <w:tcPr>
            <w:tcW w:type="dxa" w:w="468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Approved business-tier tools only</w:t>
            </w:r>
          </w:p>
        </w:tc>
      </w:tr>
      <w:tr>
        <w:tc>
          <w:tcPr>
            <w:tcW w:type="dxa" w:w="468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Confidential (contracts, pricing, client info)</w:t>
            </w:r>
          </w:p>
        </w:tc>
        <w:tc>
          <w:tcPr>
            <w:tcW w:type="dxa" w:w="468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Only tools cleared for confidential data</w:t>
            </w:r>
          </w:p>
        </w:tc>
      </w:tr>
      <w:tr>
        <w:tc>
          <w:tcPr>
            <w:tcW w:type="dxa" w:w="4680"/>
            <w:shd w:fill="F2F6F9" w:color="auto" w:val="clear"/>
            <w:tcMar>
              <w:top w:type="dxa" w:w="70"/>
              <w:left w:type="dxa" w:w="110"/>
              <w:bottom w:type="dxa" w:w="70"/>
              <w:right w:type="dxa" w:w="110"/>
            </w:tcMar>
            <w:vAlign w:val="center"/>
          </w:tcPr>
          <w:p>
            <w:pPr>
              <w:spacing w:after="0" w:line="264"/>
            </w:pPr>
            <w:r>
              <w:rPr>
                <w:b/>
                <w:bCs/>
                <w:color w:val="9B1C1C"/>
                <w:sz w:val="19"/>
                <w:szCs w:val="19"/>
                <w:rFonts w:ascii="Calibri" w:cs="Calibri" w:eastAsia="Calibri" w:hAnsi="Calibri"/>
              </w:rPr>
              <w:t xml:space="preserve">Regulated (PHI, PII, card, government)</w:t>
            </w:r>
          </w:p>
        </w:tc>
        <w:tc>
          <w:tcPr>
            <w:tcW w:type="dxa" w:w="4680"/>
            <w:shd w:fill="F2F6F9" w:color="auto" w:val="clear"/>
            <w:tcMar>
              <w:top w:type="dxa" w:w="70"/>
              <w:left w:type="dxa" w:w="110"/>
              <w:bottom w:type="dxa" w:w="70"/>
              <w:right w:type="dxa" w:w="110"/>
            </w:tcMar>
            <w:vAlign w:val="center"/>
          </w:tcPr>
          <w:p>
            <w:pPr>
              <w:spacing w:after="0" w:line="264"/>
            </w:pPr>
            <w:r>
              <w:rPr>
                <w:b/>
                <w:bCs/>
                <w:color w:val="0C1622"/>
                <w:sz w:val="19"/>
                <w:szCs w:val="19"/>
                <w:rFonts w:ascii="Calibri" w:cs="Calibri" w:eastAsia="Calibri" w:hAnsi="Calibri"/>
              </w:rPr>
              <w:t xml:space="preserve">Never in public/personal AI — cleared, compliant environment only</w:t>
            </w:r>
          </w:p>
        </w:tc>
      </w:tr>
    </w:tbl>
    <w:p>
      <w:r>
        <w:br w:type="page"/>
      </w:r>
    </w:p>
    <w:p>
      <w:pPr>
        <w:spacing w:before="220" w:after="60"/>
      </w:pPr>
      <w:r>
        <w:rPr>
          <w:b/>
          <w:bCs/>
          <w:color w:val="12A5DB"/>
          <w:sz w:val="16"/>
          <w:szCs w:val="16"/>
          <w:caps/>
          <w:rFonts w:ascii="Calibri" w:cs="Calibri" w:eastAsia="Calibri" w:hAnsi="Calibri"/>
          <w:spacing w:val="30"/>
        </w:rPr>
        <w:t xml:space="preserve">Appendix B</w:t>
      </w:r>
    </w:p>
    <w:p>
      <w:pPr>
        <w:pStyle w:val="Heading1"/>
        <w:spacing w:before="340" w:after="130"/>
      </w:pPr>
      <w:r>
        <w:rPr>
          <w:b/>
          <w:bCs/>
          <w:color w:val="0B2440"/>
          <w:sz w:val="30"/>
          <w:szCs w:val="30"/>
          <w:rFonts w:ascii="Calibri" w:cs="Calibri" w:eastAsia="Calibri" w:hAnsi="Calibri"/>
        </w:rPr>
        <w:t xml:space="preserve">Appendix B — Governing standards &amp; laws</w:t>
      </w:r>
    </w:p>
    <w:p>
      <w:pPr>
        <w:pBdr>
          <w:bottom w:val="single" w:color="12A5DB" w:sz="6"/>
        </w:pBdr>
        <w:spacing w:before="60" w:after="160"/>
      </w:pPr>
    </w:p>
    <w:p>
      <w:pPr>
        <w:spacing w:after="140" w:line="276" w:before="0"/>
      </w:pPr>
      <w:r>
        <w:rPr>
          <w:color w:val="3C4A57"/>
          <w:sz w:val="21"/>
          <w:szCs w:val="21"/>
          <w:rFonts w:ascii="Calibri" w:cs="Calibri" w:eastAsia="Calibri" w:hAnsi="Calibri"/>
        </w:rPr>
        <w:t xml:space="preserve">This policy is written to align with the frameworks and laws below. Map the ones that apply to your organization; your counsel confirms the final list.</w:t>
      </w:r>
    </w:p>
    <w:tbl>
      <w:tblPr>
        <w:tblW w:type="dxa" w:w="9360"/>
        <w:tblBorders>
          <w:top w:val="single" w:color="DCE4EA" w:sz="2"/>
          <w:left w:val="single" w:color="DCE4EA" w:sz="2"/>
          <w:bottom w:val="single" w:color="DCE4EA" w:sz="2"/>
          <w:right w:val="single" w:color="DCE4EA" w:sz="2"/>
          <w:insideH w:val="single" w:color="DCE4EA" w:sz="2"/>
          <w:insideV w:val="single" w:color="DCE4EA" w:sz="2"/>
        </w:tblBorders>
      </w:tblPr>
      <w:tblGrid>
        <w:gridCol w:w="2400"/>
        <w:gridCol w:w="6960"/>
      </w:tblGrid>
      <w:tr>
        <w:trPr>
          <w:tblHeader/>
        </w:trPr>
        <w:tc>
          <w:tcPr>
            <w:tcW w:type="dxa" w:w="240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Area</w:t>
            </w:r>
          </w:p>
        </w:tc>
        <w:tc>
          <w:tcPr>
            <w:tcW w:type="dxa" w:w="6960"/>
            <w:shd w:fill="0B2440" w:color="auto" w:val="clear"/>
            <w:tcMar>
              <w:top w:type="dxa" w:w="70"/>
              <w:left w:type="dxa" w:w="110"/>
              <w:bottom w:type="dxa" w:w="70"/>
              <w:right w:type="dxa" w:w="110"/>
            </w:tcMar>
            <w:vAlign w:val="center"/>
          </w:tcPr>
          <w:p>
            <w:pPr>
              <w:spacing w:after="0" w:line="264"/>
            </w:pPr>
            <w:r>
              <w:rPr>
                <w:b/>
                <w:bCs/>
                <w:color w:val="FFFFFF"/>
                <w:sz w:val="19"/>
                <w:szCs w:val="19"/>
                <w:rFonts w:ascii="Calibri" w:cs="Calibri" w:eastAsia="Calibri" w:hAnsi="Calibri"/>
              </w:rPr>
              <w:t xml:space="preserve">Standards / laws we align to</w:t>
            </w:r>
          </w:p>
        </w:tc>
      </w:tr>
      <w:tr>
        <w:tc>
          <w:tcPr>
            <w:tcW w:type="dxa" w:w="24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Privacy</w:t>
            </w:r>
          </w:p>
        </w:tc>
        <w:tc>
          <w:tcPr>
            <w:tcW w:type="dxa" w:w="69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CPRA / CCPA (service-provider &amp; contractor obligations), GLBA (financial), HIPAA (health), state breach-notification laws</w:t>
            </w:r>
          </w:p>
        </w:tc>
      </w:tr>
      <w:tr>
        <w:tc>
          <w:tcPr>
            <w:tcW w:type="dxa" w:w="24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Security &amp; assurance</w:t>
            </w:r>
          </w:p>
        </w:tc>
        <w:tc>
          <w:tcPr>
            <w:tcW w:type="dxa" w:w="69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SOC 2 / ISO 27001, NIST Cybersecurity Framework</w:t>
            </w:r>
          </w:p>
        </w:tc>
      </w:tr>
      <w:tr>
        <w:tc>
          <w:tcPr>
            <w:tcW w:type="dxa" w:w="2400"/>
            <w:shd w:fill="FFFFFF"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AI governance</w:t>
            </w:r>
          </w:p>
        </w:tc>
        <w:tc>
          <w:tcPr>
            <w:tcW w:type="dxa" w:w="6960"/>
            <w:shd w:fill="FFFFFF"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NIST AI Risk Management Framework 1.0 &amp; Generative AI Profile; Microsoft Responsible AI Standard (as an external benchmark)</w:t>
            </w:r>
          </w:p>
        </w:tc>
      </w:tr>
      <w:tr>
        <w:tc>
          <w:tcPr>
            <w:tcW w:type="dxa" w:w="2400"/>
            <w:shd w:fill="F2F6F9" w:color="auto" w:val="clear"/>
            <w:tcMar>
              <w:top w:type="dxa" w:w="70"/>
              <w:left w:type="dxa" w:w="110"/>
              <w:bottom w:type="dxa" w:w="70"/>
              <w:right w:type="dxa" w:w="110"/>
            </w:tcMar>
            <w:vAlign w:val="center"/>
          </w:tcPr>
          <w:p>
            <w:pPr>
              <w:spacing w:after="0" w:line="264"/>
            </w:pPr>
            <w:r>
              <w:rPr>
                <w:color w:val="0C1622"/>
                <w:sz w:val="19"/>
                <w:szCs w:val="19"/>
                <w:rFonts w:ascii="Calibri" w:cs="Calibri" w:eastAsia="Calibri" w:hAnsi="Calibri"/>
              </w:rPr>
              <w:t xml:space="preserve">Sector overlays (if applicable)</w:t>
            </w:r>
          </w:p>
        </w:tc>
        <w:tc>
          <w:tcPr>
            <w:tcW w:type="dxa" w:w="6960"/>
            <w:shd w:fill="F2F6F9" w:color="auto" w:val="clear"/>
            <w:tcMar>
              <w:top w:type="dxa" w:w="70"/>
              <w:left w:type="dxa" w:w="110"/>
              <w:bottom w:type="dxa" w:w="70"/>
              <w:right w:type="dxa" w:w="110"/>
            </w:tcMar>
            <w:vAlign w:val="center"/>
          </w:tcPr>
          <w:p>
            <w:pPr>
              <w:spacing w:after="0" w:line="264"/>
            </w:pPr>
            <w:r>
              <w:rPr>
                <w:color w:val="3C4A57"/>
                <w:sz w:val="19"/>
                <w:szCs w:val="19"/>
                <w:rFonts w:ascii="Calibri" w:cs="Calibri" w:eastAsia="Calibri" w:hAnsi="Calibri"/>
              </w:rPr>
              <w:t xml:space="preserve">CJIS (public safety), PCI DSS (payment), CMMC (defense), and any customer-mandated frameworks</w:t>
            </w:r>
          </w:p>
        </w:tc>
      </w:tr>
    </w:tbl>
    <w:p>
      <w:pPr>
        <w:spacing w:after="140" w:line="276" w:before="120"/>
      </w:pPr>
      <w:r>
        <w:rPr>
          <w:b/>
          <w:bCs/>
          <w:color w:val="0C1622"/>
          <w:sz w:val="21"/>
          <w:szCs w:val="21"/>
          <w:rFonts w:ascii="Calibri" w:cs="Calibri" w:eastAsia="Calibri" w:hAnsi="Calibri"/>
        </w:rPr>
        <w:t xml:space="preserve">Enterprise data boundaries. </w:t>
      </w:r>
      <w:r>
        <w:rPr>
          <w:color w:val="3C4A57"/>
          <w:sz w:val="21"/>
          <w:szCs w:val="21"/>
          <w:rFonts w:ascii="Calibri" w:cs="Calibri" w:eastAsia="Calibri" w:hAnsi="Calibri"/>
        </w:rPr>
        <w:t xml:space="preserve">When an enterprise AI service is approved after assessment, it must be configured so that prompts and outputs are not used to train foundation models, data stays within the service boundary under company SSO/MFA and DLP, and consumer endpoints are disabled for work accounts. These properties are documented by major providers (Microsoft 365 Copilot, Azure OpenAI, Amazon Bedrock, Google Cloud) and should be verified per tenant.</w:t>
      </w:r>
    </w:p>
    <w:p>
      <w:r>
        <w:br w:type="page"/>
      </w:r>
    </w:p>
    <w:p>
      <w:pPr>
        <w:spacing w:before="220" w:after="60"/>
      </w:pPr>
      <w:r>
        <w:rPr>
          <w:b/>
          <w:bCs/>
          <w:color w:val="12A5DB"/>
          <w:sz w:val="16"/>
          <w:szCs w:val="16"/>
          <w:caps/>
          <w:rFonts w:ascii="Calibri" w:cs="Calibri" w:eastAsia="Calibri" w:hAnsi="Calibri"/>
          <w:spacing w:val="30"/>
        </w:rPr>
        <w:t xml:space="preserve">Important</w:t>
      </w:r>
    </w:p>
    <w:p>
      <w:pPr>
        <w:pStyle w:val="Heading1"/>
        <w:spacing w:before="340" w:after="130"/>
      </w:pPr>
      <w:r>
        <w:rPr>
          <w:b/>
          <w:bCs/>
          <w:color w:val="0B2440"/>
          <w:sz w:val="30"/>
          <w:szCs w:val="30"/>
          <w:rFonts w:ascii="Calibri" w:cs="Calibri" w:eastAsia="Calibri" w:hAnsi="Calibri"/>
        </w:rPr>
        <w:t xml:space="preserve">Important — read before using this framework</w:t>
      </w:r>
    </w:p>
    <w:p>
      <w:pPr>
        <w:pBdr>
          <w:bottom w:val="single" w:color="12A5DB" w:sz="6"/>
        </w:pBdr>
        <w:spacing w:before="60" w:after="160"/>
      </w:pP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This is a template and a guideline — not legal advice</w:t>
            </w:r>
          </w:p>
          <w:p>
            <w:pPr>
              <w:spacing w:after="80" w:line="272"/>
            </w:pPr>
            <w:r>
              <w:rPr>
                <w:color w:val="0C1622"/>
                <w:sz w:val="21"/>
                <w:szCs w:val="21"/>
                <w:rFonts w:ascii="Calibri" w:cs="Calibri" w:eastAsia="Calibri" w:hAnsi="Calibri"/>
              </w:rPr>
              <w:t xml:space="preserve">This document is a framework and template provided for general informational purposes only. It is not legal advice and does not create an attorney-client relationship.</w:t>
            </w:r>
          </w:p>
          <w:p>
            <w:pPr>
              <w:spacing w:after="80" w:line="272"/>
            </w:pPr>
            <w:r>
              <w:rPr>
                <w:color w:val="0C1622"/>
                <w:sz w:val="21"/>
                <w:szCs w:val="21"/>
                <w:rFonts w:ascii="Calibri" w:cs="Calibri" w:eastAsia="Calibri" w:hAnsi="Calibri"/>
              </w:rPr>
              <w:t xml:space="preserve">Before editing, deploying, distributing, or relying on any part of it, review it with your own qualified legal team. Confirm it meets the standards and requirements of your organization, your jurisdiction, your industry or vertical, and any certifications or regulatory frameworks that apply to you — for example HIPAA, GLBA, PCI DSS, CJIS, SOC 2, ISO 27001, and CPRA/CCPA.</w:t>
            </w:r>
          </w:p>
          <w:p>
            <w:pPr>
              <w:spacing w:after="80" w:line="272"/>
            </w:pPr>
            <w:r>
              <w:rPr>
                <w:color w:val="0C1622"/>
                <w:sz w:val="21"/>
                <w:szCs w:val="21"/>
                <w:rFonts w:ascii="Calibri" w:cs="Calibri" w:eastAsia="Calibri" w:hAnsi="Calibri"/>
              </w:rPr>
              <w:t xml:space="preserve">You may need to add, remove, or revise provisions — including specific language, tools, and obligations — for this document to be accurate, compliant, and enforceable for your organization. If any part of it conflicts with an executed agreement or with applicable law, that agreement or law controls.</w:t>
            </w:r>
          </w:p>
          <w:p>
            <w:pPr>
              <w:spacing w:after="0" w:line="272"/>
            </w:pPr>
            <w:r>
              <w:rPr>
                <w:b/>
                <w:bCs/>
                <w:color w:val="0B2440"/>
                <w:sz w:val="21"/>
                <w:szCs w:val="21"/>
                <w:rFonts w:ascii="Calibri" w:cs="Calibri" w:eastAsia="Calibri" w:hAnsi="Calibri"/>
              </w:rPr>
              <w:t xml:space="preserve">Artificial intelligence, the tools that deliver it, and the laws that govern it are evolving rapidly. Review and update this document regularly; we recommend revisiting it monthly.</w:t>
            </w:r>
          </w:p>
        </w:tc>
      </w:tr>
    </w:tbl>
    <w:p>
      <w:pPr>
        <w:spacing w:before="200"/>
      </w:pPr>
      <w:r>
        <w:rPr>
          <w:i/>
          <w:iCs/>
          <w:color w:val="6B7C8B"/>
          <w:sz w:val="17"/>
          <w:szCs w:val="17"/>
          <w:rFonts w:ascii="Calibri" w:cs="Calibri" w:eastAsia="Calibri" w:hAnsi="Calibri"/>
        </w:rPr>
        <w:t xml:space="preserve">Issued August 18, 2026  ·  Version 1.0  ·  Provided by Fortify AI  ·  Not legal advice.</w:t>
      </w:r>
    </w:p>
    <w:sectPr>
      <w:footerReference w:type="default" r:id="rId6"/>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4EA" w:sz="2"/>
      </w:pBdr>
      <w:spacing w:before="80"/>
    </w:pPr>
    <w:r>
      <w:rPr>
        <w:color w:val="6B7C8B"/>
        <w:sz w:val="15"/>
        <w:szCs w:val="15"/>
        <w:rFonts w:ascii="Calibri" w:cs="Calibri" w:eastAsia="Calibri" w:hAnsi="Calibri"/>
      </w:rPr>
      <w:t xml:space="preserve">FORTIFY AI</w:t>
    </w:r>
    <w:r>
      <w:rPr>
        <w:color w:val="6B7C8B"/>
        <w:sz w:val="15"/>
        <w:szCs w:val="15"/>
        <w:rFonts w:ascii="Calibri" w:cs="Calibri" w:eastAsia="Calibri" w:hAnsi="Calibri"/>
      </w:rPr>
      <w:ptab w:alignment="center" w:relativeTo="margin" w:leader="none"/>
    </w:r>
    <w:r>
      <w:rPr>
        <w:color w:val="6B7C8B"/>
        <w:sz w:val="15"/>
        <w:szCs w:val="15"/>
        <w:rFonts w:ascii="Calibri" w:cs="Calibri" w:eastAsia="Calibri" w:hAnsi="Calibri"/>
      </w:rPr>
      <w:t xml:space="preserve">AI Usage Policy Framework</w:t>
    </w:r>
    <w:r>
      <w:rPr>
        <w:color w:val="6B7C8B"/>
        <w:sz w:val="15"/>
        <w:szCs w:val="15"/>
        <w:rFonts w:ascii="Calibri" w:cs="Calibri" w:eastAsia="Calibri" w:hAnsi="Calibri"/>
      </w:rPr>
      <w:ptab w:alignment="right" w:relativeTo="margin" w:leader="none"/>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2A5DB"/>
      </w:rPr>
    </w:lvl>
  </w:abstractNum>
  <w:abstractNum w:abstractNumId="3" w15:restartNumberingAfterBreak="0">
    <w:multiLevelType w:val="hybridMultilevel"/>
    <w:lvl w:ilvl="0" w15:tentative="1">
      <w:start w:val="1"/>
      <w:numFmt w:val="decimal"/>
      <w:lvlText w:val="%1."/>
      <w:lvlJc w:val="left"/>
      <w:pPr>
        <w:ind w:left="360" w:hanging="260"/>
      </w:pPr>
      <w:rPr>
        <w:b/>
        <w:bCs/>
        <w:color w:val="0B2440"/>
      </w:rPr>
    </w:lvl>
  </w:abstractNum>
  <w:abstractNum w:abstractNumId="4" w15:restartNumberingAfterBreak="0">
    <w:multiLevelType w:val="hybridMultilevel"/>
    <w:lvl w:ilvl="0" w15:tentative="1">
      <w:start w:val="1"/>
      <w:numFmt w:val="decimal"/>
      <w:lvlText w:val="%1."/>
      <w:lvlJc w:val="left"/>
      <w:pPr>
        <w:ind w:left="400" w:hanging="300"/>
      </w:pPr>
      <w:rPr>
        <w:b/>
        <w:bCs/>
        <w:color w:val="0B24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C4A5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2026-08-19T00:14:48.730Z</dcterms:created>
  <dcterms:modified xsi:type="dcterms:W3CDTF">2026-08-19T00:14:48.743Z</dcterms:modified>
</cp:coreProperties>
</file>

<file path=docProps/custom.xml><?xml version="1.0" encoding="utf-8"?>
<Properties xmlns="http://schemas.openxmlformats.org/officeDocument/2006/custom-properties" xmlns:vt="http://schemas.openxmlformats.org/officeDocument/2006/docPropsVTypes"/>
</file>