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FORTIFY</w:t>
      </w:r>
      <w:r>
        <w:rPr>
          <w:b/>
          <w:bCs/>
          <w:color w:val="12A5DB"/>
          <w:sz w:val="30"/>
          <w:szCs w:val="30"/>
          <w:rFonts w:ascii="Calibri" w:cs="Calibri" w:eastAsia="Calibri" w:hAnsi="Calibri"/>
        </w:rPr>
        <w:t xml:space="preserve">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Client addendum</w:t>
      </w:r>
    </w:p>
    <w:p>
      <w:pPr>
        <w:spacing w:after="20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Client AI Processing Addendum (Short Form)</w:t>
      </w:r>
    </w:p>
    <w:p>
      <w:pPr>
        <w:spacing w:after="14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This addendum supplements the agreement (MSA/DPA) between </w:t>
      </w: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[Client]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 and </w:t>
      </w: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Fortify AI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 and governs how AI is used when processing Client Data. If it conflicts with the underlying agreement or governing law, that agreement or law controls.</w:t>
      </w:r>
    </w:p>
    <w:p>
      <w:pPr>
        <w:pStyle w:val="Heading2"/>
        <w:spacing w:before="260" w:after="90"/>
      </w:pPr>
      <w:r>
        <w:rPr>
          <w:b/>
          <w:bCs/>
          <w:color w:val="0B2440"/>
          <w:sz w:val="24"/>
          <w:szCs w:val="24"/>
          <w:rFonts w:ascii="Calibri" w:cs="Calibri" w:eastAsia="Calibri" w:hAnsi="Calibri"/>
        </w:rPr>
        <w:t xml:space="preserve">Our commitments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Purpose limitation.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We process Client Data only to deliver the contracted services, in a service-provider / contractor posture under CPRA/CCPA — never for our own purposes.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No training on Client Data by default.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Client Data is not used to train, retrain, or improve foundation models; only limited security/abuse processing permitted under enterprise terms applies.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Grounding over fine-tuning.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We prefer retrieval / “on-your-data” patterns; any fine-tuning is segregated per client with separate keys and retention controls.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Security.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SSO/MFA, encryption, DLP/eDiscovery, tenant segregation, and provenance logging for material client work; incident notice within 72 hours of confirming a material event.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Subprocessors &amp; model providers.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Maintained on an approved list, with flow-down terms: no training on Client Data, equivalent security, deletion, and breach notice.</w:t>
      </w:r>
    </w:p>
    <w:p>
      <w:pPr>
        <w:pStyle w:val="ListParagraph"/>
        <w:numPr>
          <w:ilvl w:val="0"/>
          <w:numId w:val="2"/>
        </w:numPr>
        <w:spacing w:after="90" w:line="272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Exit &amp; residency.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Deletion or return of Client Data on exit; data-residency requirements honored; optional HIPAA / GLBA / PCI / CJIS modules added where applicable.</w:t>
      </w:r>
    </w:p>
    <w:p>
      <w:pPr>
        <w:spacing w:before="340" w:after="0"/>
      </w:pPr>
      <w:r>
        <w:rPr>
          <w:color w:val="6B7C8B"/>
          <w:sz w:val="18"/>
          <w:szCs w:val="18"/>
          <w:rFonts w:ascii="Calibri" w:cs="Calibri" w:eastAsia="Calibri" w:hAnsi="Calibri"/>
        </w:rPr>
        <w:t xml:space="preserve">Client</w:t>
      </w:r>
      <w:r>
        <w:rPr>
          <w:color w:val="6B7C8B"/>
          <w:sz w:val="18"/>
          <w:szCs w:val="18"/>
          <w:rFonts w:ascii="Calibri" w:cs="Calibri" w:eastAsia="Calibri" w:hAnsi="Calibri"/>
        </w:rPr>
        <w:ptab w:alignment="right" w:relativeTo="margin" w:leader="none"/>
      </w:r>
      <w:r>
        <w:rPr>
          <w:color w:val="6B7C8B"/>
          <w:sz w:val="18"/>
          <w:szCs w:val="18"/>
          <w:rFonts w:ascii="Calibri" w:cs="Calibri" w:eastAsia="Calibri" w:hAnsi="Calibri"/>
        </w:rPr>
        <w:t xml:space="preserve">Fortify AI</w:t>
      </w:r>
    </w:p>
    <w:p>
      <w:pPr>
        <w:pBdr>
          <w:bottom w:val="single" w:color="0C1622" w:sz="4"/>
        </w:pBdr>
        <w:spacing w:before="300"/>
      </w:pPr>
      <w:r>
        <w:rPr>
          <w:sz w:val="21"/>
          <w:szCs w:val="21"/>
          <w:rFonts w:ascii="Calibri" w:cs="Calibri" w:eastAsia="Calibri" w:hAnsi="Calibri"/>
        </w:rPr>
        <w:t xml:space="preserve"> </w:t>
      </w:r>
      <w:r>
        <w:rPr>
          <w:sz w:val="21"/>
          <w:szCs w:val="21"/>
          <w:rFonts w:ascii="Calibri" w:cs="Calibri" w:eastAsia="Calibri" w:hAnsi="Calibri"/>
        </w:rPr>
        <w:ptab w:alignment="right" w:relativeTo="margin" w:leader="none"/>
      </w:r>
    </w:p>
    <w:p>
      <w:pPr>
        <w:spacing w:after="40"/>
      </w:pPr>
      <w:r>
        <w:rPr>
          <w:color w:val="6B7C8B"/>
          <w:sz w:val="18"/>
          <w:szCs w:val="18"/>
          <w:rFonts w:ascii="Calibri" w:cs="Calibri" w:eastAsia="Calibri" w:hAnsi="Calibri"/>
        </w:rPr>
        <w:t xml:space="preserve">Name / title / date</w:t>
      </w:r>
      <w:r>
        <w:rPr>
          <w:color w:val="6B7C8B"/>
          <w:sz w:val="18"/>
          <w:szCs w:val="18"/>
          <w:rFonts w:ascii="Calibri" w:cs="Calibri" w:eastAsia="Calibri" w:hAnsi="Calibri"/>
        </w:rPr>
        <w:ptab w:alignment="right" w:relativeTo="margin" w:leader="none"/>
      </w:r>
      <w:r>
        <w:rPr>
          <w:color w:val="6B7C8B"/>
          <w:sz w:val="18"/>
          <w:szCs w:val="18"/>
          <w:rFonts w:ascii="Calibri" w:cs="Calibri" w:eastAsia="Calibri" w:hAnsi="Calibri"/>
        </w:rPr>
        <w:t xml:space="preserve">Name / title / date</w:t>
      </w:r>
    </w:p>
    <w:p>
      <w:pPr>
        <w:pBdr>
          <w:top w:val="single" w:color="DCE4EA" w:sz="2"/>
        </w:pBdr>
        <w:spacing w:before="5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Short-form template for general information; not legal advice. Have your legal team align it to your MSA/DPA and applicable law before use. Issued August 18, 2026 · review monthly · Provided by Fortify AI.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Usage Policy Framework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2026-08-19T00:14:48.843Z</dcterms:created>
  <dcterms:modified xsi:type="dcterms:W3CDTF">2026-08-19T00:14:48.843Z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