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FORTIFY</w:t>
      </w:r>
      <w:r>
        <w:rPr>
          <w:b/>
          <w:bCs/>
          <w:color w:val="12A5DB"/>
          <w:sz w:val="30"/>
          <w:szCs w:val="30"/>
          <w:rFonts w:ascii="Calibri" w:cs="Calibri" w:eastAsia="Calibri" w:hAnsi="Calibri"/>
        </w:rPr>
        <w:t xml:space="preserve">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IMPLEMENTATION CHECKLIST</w:t>
      </w:r>
    </w:p>
    <w:p>
      <w:pPr>
        <w:spacing w:after="12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Policy Rollout — 30-Day Plan</w:t>
      </w:r>
    </w:p>
    <w:p>
      <w:pPr>
        <w:spacing w:after="22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Work top to bottom. Most organizations complete this in about 30 days. Fortify AI can run the enforcement steps (Discovery and blocking) for you as part of any managed plan.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1 — Assess (Days 1–5)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See what is actually happening before you write a rule.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Run a Shadow AI discovery to inventory which AI tools and LLMs are in use — company and personal accounts.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data types your organization handles (client, patient, financial, PII, regulated).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List the outside vendors who touch your data.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Identify the regulations that apply (HIPAA, GDPR/CCPA, PCI, CMMC).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2 — Define (Days 5–12)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Turn the framework into your specifics.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Name the policy owner.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Fill in the data-classification tiers with your real examples.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Build the approved-tools list (cleared-for-confidential vs. public-only).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Adapt the policy placeholders and have counsel review.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3 — Deploy (Days 12–20)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Put the compliant path in front of people.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Provision approved, business-tier AI tools for staff.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Distribute the AI Usage Policy to all staff.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Collect signed employee acknowledgment letters.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Send the vendor letter to every vendor that touches your data; track signatures.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4 — Enforce (Days 18–25)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Make the policy something you can see being followed.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Turn on Shadow AI Discovery for ongoing visibility.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Block unapproved / high-risk LLMs from being accessed.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Confirm regulated data is only reachable through cleared, compliant tools.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Phase 5 — Sustain (Ongoing)</w:t>
      </w:r>
    </w:p>
    <w:p>
      <w:pPr>
        <w:spacing w:after="100" w:line="276" w:before="0"/>
      </w:pPr>
      <w:r>
        <w:rPr>
          <w:i/>
          <w:iCs/>
          <w:color w:val="6B7C8B"/>
          <w:sz w:val="21"/>
          <w:szCs w:val="21"/>
          <w:rFonts w:ascii="Calibri" w:cs="Calibri" w:eastAsia="Calibri" w:hAnsi="Calibri"/>
        </w:rPr>
        <w:t xml:space="preserve">Keep it current — AI tools and their terms change fast.</w:t>
      </w:r>
    </w:p>
    <w:tbl>
      <w:tblPr>
        <w:tblW w:type="dxa" w:w="9360"/>
        <w:tblBorders>
          <w:top w:val="single" w:color="DCE4EA" w:sz="2"/>
          <w:left w:val="single" w:color="DCE4EA" w:sz="2"/>
          <w:bottom w:val="single" w:color="DCE4EA" w:sz="2"/>
          <w:right w:val="single" w:color="DCE4EA" w:sz="2"/>
          <w:insideH w:val="single" w:color="DCE4EA" w:sz="2"/>
          <w:insideV w:val="single" w:color="DCE4EA" w:sz="2"/>
        </w:tblBorders>
      </w:tblPr>
      <w:tblGrid>
        <w:gridCol w:w="560"/>
        <w:gridCol w:w="6100"/>
        <w:gridCol w:w="1500"/>
        <w:gridCol w:w="1200"/>
      </w:tblGrid>
      <w:tr>
        <w:trPr>
          <w:tblHeader/>
        </w:trPr>
        <w:tc>
          <w:tcPr>
            <w:tcW w:type="dxa" w:w="56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✓</w:t>
            </w:r>
          </w:p>
        </w:tc>
        <w:tc>
          <w:tcPr>
            <w:tcW w:type="dxa" w:w="61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Task</w:t>
            </w:r>
          </w:p>
        </w:tc>
        <w:tc>
          <w:tcPr>
            <w:tcW w:type="dxa" w:w="15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Owner</w:t>
            </w:r>
          </w:p>
        </w:tc>
        <w:tc>
          <w:tcPr>
            <w:tcW w:type="dxa" w:w="1200"/>
            <w:shd w:fill="0B24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Deliver practical AI coaching to every employee; add it to onboarding.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Set the review cadence (at least every 6 months) and calendar it.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Log and review any incidents; update the policy after material changes.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  <w:tr>
        <w:tc>
          <w:tcPr>
            <w:tcW w:type="dxa" w:w="56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0B2440"/>
                <w:sz w:val="22"/>
                <w:szCs w:val="22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61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Re-run discovery periodically to catch new shadow AI.</w:t>
            </w:r>
          </w:p>
        </w:tc>
        <w:tc>
          <w:tcPr>
            <w:tcW w:type="dxa" w:w="15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[Owner]</w:t>
            </w:r>
          </w:p>
        </w:tc>
        <w:tc>
          <w:tcPr>
            <w:tcW w:type="dxa" w:w="1200"/>
            <w:shd w:fill="F2F6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color w:val="3C4A57"/>
                <w:sz w:val="19"/>
                <w:szCs w:val="19"/>
                <w:rFonts w:ascii="Calibri" w:cs="Calibri" w:eastAsia="Calibri" w:hAnsi="Calibri"/>
              </w:rPr>
              <w:t xml:space="preserve">[Date]</w:t>
            </w:r>
          </w:p>
        </w:tc>
      </w:tr>
    </w:tbl>
    <w:p>
      <w:pPr>
        <w:spacing w:after="160"/>
      </w:pPr>
      <w:r>
        <w:rPr>
          <w:color w:val="3C4A57"/>
          <w:sz w:val="8"/>
          <w:szCs w:val="8"/>
          <w:rFonts w:ascii="Calibri" w:cs="Calibri" w:eastAsia="Calibri" w:hAnsi="Calibri"/>
        </w:rPr>
        <w:t xml:space="preserve"> </w:t>
      </w:r>
    </w:p>
    <w:p>
      <w:pPr>
        <w:pBdr>
          <w:top w:val="single" w:color="DCE4EA" w:sz="2"/>
        </w:pBdr>
        <w:spacing w:before="3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Provided by Fortify AI  ·  i-nett.ai  ·  (858) 337-2866. Want us to run the enforcement steps for you? Book a 30-minute review at i-nett.ai/resources.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2026-08-18T23:53:40.095Z</dcterms:created>
  <dcterms:modified xsi:type="dcterms:W3CDTF">2026-08-18T23:53:40.095Z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