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B2440"/>
          <w:sz w:val="30"/>
          <w:szCs w:val="30"/>
          <w:rFonts w:ascii="Calibri" w:cs="Calibri" w:eastAsia="Calibri" w:hAnsi="Calibri"/>
        </w:rPr>
        <w:t xml:space="preserve">FORTIFY</w:t>
      </w:r>
      <w:r>
        <w:rPr>
          <w:b/>
          <w:bCs/>
          <w:color w:val="12A5DB"/>
          <w:sz w:val="30"/>
          <w:szCs w:val="30"/>
          <w:rFonts w:ascii="Calibri" w:cs="Calibri" w:eastAsia="Calibri" w:hAnsi="Calibri"/>
        </w:rPr>
        <w:t xml:space="preserve"> AI</w:t>
      </w:r>
    </w:p>
    <w:p>
      <w:pPr>
        <w:pBdr>
          <w:bottom w:val="single" w:color="12A5DB" w:sz="6"/>
        </w:pBdr>
        <w:spacing w:before="60" w:after="160"/>
      </w:pPr>
    </w:p>
    <w:p>
      <w:pPr>
        <w:spacing w:after="40"/>
      </w:pPr>
      <w:r>
        <w:rPr>
          <w:b/>
          <w:bCs/>
          <w:color w:val="12A5DB"/>
          <w:sz w:val="17"/>
          <w:szCs w:val="17"/>
          <w:caps/>
          <w:rFonts w:ascii="Calibri" w:cs="Calibri" w:eastAsia="Calibri" w:hAnsi="Calibri"/>
          <w:spacing w:val="40"/>
        </w:rPr>
        <w:t xml:space="preserve">Client addendum</w:t>
      </w:r>
    </w:p>
    <w:p>
      <w:pPr>
        <w:spacing w:after="200"/>
      </w:pPr>
      <w:r>
        <w:rPr>
          <w:b/>
          <w:bCs/>
          <w:color w:val="0B2440"/>
          <w:sz w:val="32"/>
          <w:szCs w:val="32"/>
          <w:rFonts w:ascii="Calibri" w:cs="Calibri" w:eastAsia="Calibri" w:hAnsi="Calibri"/>
        </w:rPr>
        <w:t xml:space="preserve">Client AI Processing Addendum (Short Form)</w:t>
      </w:r>
    </w:p>
    <w:p>
      <w:pPr>
        <w:spacing w:after="140" w:line="276" w:before="0"/>
      </w:pPr>
      <w:r>
        <w:rPr>
          <w:color w:val="3C4A57"/>
          <w:sz w:val="21"/>
          <w:szCs w:val="21"/>
          <w:rFonts w:ascii="Calibri" w:cs="Calibri" w:eastAsia="Calibri" w:hAnsi="Calibri"/>
        </w:rPr>
        <w:t xml:space="preserve">This addendum supplements the agreement (MSA/DPA) between </w:t>
      </w:r>
      <w:r>
        <w:rPr>
          <w:b/>
          <w:bCs/>
          <w:color w:val="0C1622"/>
          <w:sz w:val="21"/>
          <w:szCs w:val="21"/>
          <w:rFonts w:ascii="Calibri" w:cs="Calibri" w:eastAsia="Calibri" w:hAnsi="Calibri"/>
        </w:rPr>
        <w:t xml:space="preserve">[Client]</w:t>
      </w:r>
      <w:r>
        <w:rPr>
          <w:color w:val="3C4A57"/>
          <w:sz w:val="21"/>
          <w:szCs w:val="21"/>
          <w:rFonts w:ascii="Calibri" w:cs="Calibri" w:eastAsia="Calibri" w:hAnsi="Calibri"/>
        </w:rPr>
        <w:t xml:space="preserve"> and </w:t>
      </w:r>
      <w:r>
        <w:rPr>
          <w:b/>
          <w:bCs/>
          <w:color w:val="0C1622"/>
          <w:sz w:val="21"/>
          <w:szCs w:val="21"/>
          <w:rFonts w:ascii="Calibri" w:cs="Calibri" w:eastAsia="Calibri" w:hAnsi="Calibri"/>
        </w:rPr>
        <w:t xml:space="preserve">Fortify AI</w:t>
      </w:r>
      <w:r>
        <w:rPr>
          <w:color w:val="3C4A57"/>
          <w:sz w:val="21"/>
          <w:szCs w:val="21"/>
          <w:rFonts w:ascii="Calibri" w:cs="Calibri" w:eastAsia="Calibri" w:hAnsi="Calibri"/>
        </w:rPr>
        <w:t xml:space="preserve"> and governs how AI is used when processing Client Data. If it conflicts with the underlying agreement or governing law, that agreement or law controls.</w:t>
      </w:r>
    </w:p>
    <w:p>
      <w:pPr>
        <w:pStyle w:val="Heading2"/>
        <w:spacing w:before="260" w:after="90"/>
      </w:pPr>
      <w:r>
        <w:rPr>
          <w:b/>
          <w:bCs/>
          <w:color w:val="0B2440"/>
          <w:sz w:val="24"/>
          <w:szCs w:val="24"/>
          <w:rFonts w:ascii="Calibri" w:cs="Calibri" w:eastAsia="Calibri" w:hAnsi="Calibri"/>
        </w:rPr>
        <w:t xml:space="preserve">Our commitments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b/>
          <w:bCs/>
          <w:color w:val="0C1622"/>
          <w:sz w:val="21"/>
          <w:szCs w:val="21"/>
          <w:rFonts w:ascii="Calibri" w:cs="Calibri" w:eastAsia="Calibri" w:hAnsi="Calibri"/>
        </w:rPr>
        <w:t xml:space="preserve">Purpose limitation. </w:t>
      </w:r>
      <w:r>
        <w:rPr>
          <w:color w:val="3C4A57"/>
          <w:sz w:val="21"/>
          <w:szCs w:val="21"/>
          <w:rFonts w:ascii="Calibri" w:cs="Calibri" w:eastAsia="Calibri" w:hAnsi="Calibri"/>
        </w:rPr>
        <w:t xml:space="preserve">We process Client Data only to deliver the contracted services, in a service-provider / contractor posture under CPRA/CCPA — never for our own purposes.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b/>
          <w:bCs/>
          <w:color w:val="0C1622"/>
          <w:sz w:val="21"/>
          <w:szCs w:val="21"/>
          <w:rFonts w:ascii="Calibri" w:cs="Calibri" w:eastAsia="Calibri" w:hAnsi="Calibri"/>
        </w:rPr>
        <w:t xml:space="preserve">No training on Client Data by default. </w:t>
      </w:r>
      <w:r>
        <w:rPr>
          <w:color w:val="3C4A57"/>
          <w:sz w:val="21"/>
          <w:szCs w:val="21"/>
          <w:rFonts w:ascii="Calibri" w:cs="Calibri" w:eastAsia="Calibri" w:hAnsi="Calibri"/>
        </w:rPr>
        <w:t xml:space="preserve">Client Data is not used to train, retrain, or improve foundation models; only limited security/abuse processing permitted under enterprise terms applies.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b/>
          <w:bCs/>
          <w:color w:val="0C1622"/>
          <w:sz w:val="21"/>
          <w:szCs w:val="21"/>
          <w:rFonts w:ascii="Calibri" w:cs="Calibri" w:eastAsia="Calibri" w:hAnsi="Calibri"/>
        </w:rPr>
        <w:t xml:space="preserve">Grounding over fine-tuning. </w:t>
      </w:r>
      <w:r>
        <w:rPr>
          <w:color w:val="3C4A57"/>
          <w:sz w:val="21"/>
          <w:szCs w:val="21"/>
          <w:rFonts w:ascii="Calibri" w:cs="Calibri" w:eastAsia="Calibri" w:hAnsi="Calibri"/>
        </w:rPr>
        <w:t xml:space="preserve">We prefer retrieval / “on-your-data” patterns; any fine-tuning is segregated per client with separate keys and retention controls.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b/>
          <w:bCs/>
          <w:color w:val="0C1622"/>
          <w:sz w:val="21"/>
          <w:szCs w:val="21"/>
          <w:rFonts w:ascii="Calibri" w:cs="Calibri" w:eastAsia="Calibri" w:hAnsi="Calibri"/>
        </w:rPr>
        <w:t xml:space="preserve">Security. </w:t>
      </w:r>
      <w:r>
        <w:rPr>
          <w:color w:val="3C4A57"/>
          <w:sz w:val="21"/>
          <w:szCs w:val="21"/>
          <w:rFonts w:ascii="Calibri" w:cs="Calibri" w:eastAsia="Calibri" w:hAnsi="Calibri"/>
        </w:rPr>
        <w:t xml:space="preserve">SSO/MFA, encryption, DLP/eDiscovery, tenant segregation, and provenance logging for material client work; incident notice within 72 hours of confirming a material event.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b/>
          <w:bCs/>
          <w:color w:val="0C1622"/>
          <w:sz w:val="21"/>
          <w:szCs w:val="21"/>
          <w:rFonts w:ascii="Calibri" w:cs="Calibri" w:eastAsia="Calibri" w:hAnsi="Calibri"/>
        </w:rPr>
        <w:t xml:space="preserve">Subprocessors &amp; model providers. </w:t>
      </w:r>
      <w:r>
        <w:rPr>
          <w:color w:val="3C4A57"/>
          <w:sz w:val="21"/>
          <w:szCs w:val="21"/>
          <w:rFonts w:ascii="Calibri" w:cs="Calibri" w:eastAsia="Calibri" w:hAnsi="Calibri"/>
        </w:rPr>
        <w:t xml:space="preserve">Maintained on an approved list, with flow-down terms: no training on Client Data, equivalent security, deletion, and breach notice.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b/>
          <w:bCs/>
          <w:color w:val="0C1622"/>
          <w:sz w:val="21"/>
          <w:szCs w:val="21"/>
          <w:rFonts w:ascii="Calibri" w:cs="Calibri" w:eastAsia="Calibri" w:hAnsi="Calibri"/>
        </w:rPr>
        <w:t xml:space="preserve">Exit &amp; residency. </w:t>
      </w:r>
      <w:r>
        <w:rPr>
          <w:color w:val="3C4A57"/>
          <w:sz w:val="21"/>
          <w:szCs w:val="21"/>
          <w:rFonts w:ascii="Calibri" w:cs="Calibri" w:eastAsia="Calibri" w:hAnsi="Calibri"/>
        </w:rPr>
        <w:t xml:space="preserve">Deletion or return of Client Data on exit; data-residency requirements honored; optional HIPAA / GLBA / PCI / CJIS modules added where applicable.</w:t>
      </w:r>
    </w:p>
    <w:p>
      <w:pPr>
        <w:spacing w:before="340" w:after="0"/>
      </w:pPr>
      <w:r>
        <w:rPr>
          <w:color w:val="6B7C8B"/>
          <w:sz w:val="18"/>
          <w:szCs w:val="18"/>
          <w:rFonts w:ascii="Calibri" w:cs="Calibri" w:eastAsia="Calibri" w:hAnsi="Calibri"/>
        </w:rPr>
        <w:t xml:space="preserve">Client</w:t>
      </w:r>
      <w:r>
        <w:rPr>
          <w:color w:val="6B7C8B"/>
          <w:sz w:val="18"/>
          <w:szCs w:val="18"/>
          <w:rFonts w:ascii="Calibri" w:cs="Calibri" w:eastAsia="Calibri" w:hAnsi="Calibri"/>
        </w:rPr>
        <w:ptab w:alignment="right" w:relativeTo="margin" w:leader="none"/>
      </w:r>
      <w:r>
        <w:rPr>
          <w:color w:val="6B7C8B"/>
          <w:sz w:val="18"/>
          <w:szCs w:val="18"/>
          <w:rFonts w:ascii="Calibri" w:cs="Calibri" w:eastAsia="Calibri" w:hAnsi="Calibri"/>
        </w:rPr>
        <w:t xml:space="preserve">Fortify AI</w:t>
      </w:r>
    </w:p>
    <w:p>
      <w:pPr>
        <w:pBdr>
          <w:bottom w:val="single" w:color="0C1622" w:sz="4"/>
        </w:pBdr>
        <w:spacing w:before="300"/>
      </w:pPr>
      <w:r>
        <w:rPr>
          <w:sz w:val="21"/>
          <w:szCs w:val="21"/>
          <w:rFonts w:ascii="Calibri" w:cs="Calibri" w:eastAsia="Calibri" w:hAnsi="Calibri"/>
        </w:rPr>
        <w:t xml:space="preserve"> </w:t>
      </w:r>
      <w:r>
        <w:rPr>
          <w:sz w:val="21"/>
          <w:szCs w:val="21"/>
          <w:rFonts w:ascii="Calibri" w:cs="Calibri" w:eastAsia="Calibri" w:hAnsi="Calibri"/>
        </w:rPr>
        <w:ptab w:alignment="right" w:relativeTo="margin" w:leader="none"/>
      </w:r>
    </w:p>
    <w:p>
      <w:pPr>
        <w:spacing w:after="40"/>
      </w:pPr>
      <w:r>
        <w:rPr>
          <w:color w:val="6B7C8B"/>
          <w:sz w:val="18"/>
          <w:szCs w:val="18"/>
          <w:rFonts w:ascii="Calibri" w:cs="Calibri" w:eastAsia="Calibri" w:hAnsi="Calibri"/>
        </w:rPr>
        <w:t xml:space="preserve">Name / title / date</w:t>
      </w:r>
      <w:r>
        <w:rPr>
          <w:color w:val="6B7C8B"/>
          <w:sz w:val="18"/>
          <w:szCs w:val="18"/>
          <w:rFonts w:ascii="Calibri" w:cs="Calibri" w:eastAsia="Calibri" w:hAnsi="Calibri"/>
        </w:rPr>
        <w:ptab w:alignment="right" w:relativeTo="margin" w:leader="none"/>
      </w:r>
      <w:r>
        <w:rPr>
          <w:color w:val="6B7C8B"/>
          <w:sz w:val="18"/>
          <w:szCs w:val="18"/>
          <w:rFonts w:ascii="Calibri" w:cs="Calibri" w:eastAsia="Calibri" w:hAnsi="Calibri"/>
        </w:rPr>
        <w:t xml:space="preserve">Name / title / date</w:t>
      </w:r>
    </w:p>
    <w:p>
      <w:pPr>
        <w:pBdr>
          <w:top w:val="single" w:color="DCE4EA" w:sz="2"/>
        </w:pBdr>
        <w:spacing w:before="500"/>
      </w:pPr>
      <w:r>
        <w:rPr>
          <w:i/>
          <w:iCs/>
          <w:color w:val="6B7C8B"/>
          <w:sz w:val="17"/>
          <w:szCs w:val="17"/>
          <w:rFonts w:ascii="Calibri" w:cs="Calibri" w:eastAsia="Calibri" w:hAnsi="Calibri"/>
        </w:rPr>
        <w:t xml:space="preserve">Short-form template for general information; not legal advice. Have counsel align it to your MSA/DPA before use. Provided by Fortify AI.</w:t>
      </w:r>
    </w:p>
    <w:sectPr>
      <w:footerReference w:type="default" r:id="rId6"/>
      <w:pgSz w:w="12240" w:h="15840" w:orient="portrait"/>
      <w:pgMar w:top="1440" w:right="144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CE4EA" w:sz="2"/>
      </w:pBdr>
      <w:spacing w:before="80"/>
    </w:pPr>
    <w:r>
      <w:rPr>
        <w:color w:val="6B7C8B"/>
        <w:sz w:val="15"/>
        <w:szCs w:val="15"/>
        <w:rFonts w:ascii="Calibri" w:cs="Calibri" w:eastAsia="Calibri" w:hAnsi="Calibri"/>
      </w:rPr>
      <w:t xml:space="preserve">FORTIFY AI</w:t>
    </w:r>
    <w:r>
      <w:rPr>
        <w:color w:val="6B7C8B"/>
        <w:sz w:val="15"/>
        <w:szCs w:val="15"/>
        <w:rFonts w:ascii="Calibri" w:cs="Calibri" w:eastAsia="Calibri" w:hAnsi="Calibri"/>
      </w:rPr>
      <w:ptab w:alignment="center" w:relativeTo="margin" w:leader="none"/>
    </w:r>
    <w:r>
      <w:rPr>
        <w:color w:val="6B7C8B"/>
        <w:sz w:val="15"/>
        <w:szCs w:val="15"/>
        <w:rFonts w:ascii="Calibri" w:cs="Calibri" w:eastAsia="Calibri" w:hAnsi="Calibri"/>
      </w:rPr>
      <w:t xml:space="preserve">AI Usage Policy Framework</w:t>
    </w:r>
    <w:r>
      <w:rPr>
        <w:color w:val="6B7C8B"/>
        <w:sz w:val="15"/>
        <w:szCs w:val="15"/>
        <w:rFonts w:ascii="Calibri" w:cs="Calibri" w:eastAsia="Calibri" w:hAnsi="Calibri"/>
      </w:rPr>
      <w:ptab w:alignment="right" w:relativeTo="margin" w:leader="none"/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12A5DB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  <w:rPr>
        <w:b/>
        <w:bCs/>
        <w:color w:val="0B2440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  <w:rPr>
        <w:b/>
        <w:bCs/>
        <w:color w:val="0B244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3C4A57"/>
        <w:sz w:val="21"/>
        <w:szCs w:val="21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2026-08-18T23:53:40.124Z</dcterms:created>
  <dcterms:modified xsi:type="dcterms:W3CDTF">2026-08-18T23:53:40.124Z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