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B2440"/>
          <w:sz w:val="26"/>
          <w:szCs w:val="26"/>
          <w:rFonts w:ascii="Calibri" w:cs="Calibri" w:eastAsia="Calibri" w:hAnsi="Calibri"/>
        </w:rPr>
        <w:t xml:space="preserve">FORTIFY</w:t>
      </w:r>
      <w:r>
        <w:rPr>
          <w:b/>
          <w:bCs/>
          <w:color w:val="12A5DB"/>
          <w:sz w:val="26"/>
          <w:szCs w:val="26"/>
          <w:rFonts w:ascii="Calibri" w:cs="Calibri" w:eastAsia="Calibri" w:hAnsi="Calibri"/>
        </w:rPr>
        <w:t xml:space="preserve"> AI</w:t>
      </w:r>
      <w:r>
        <w:rPr>
          <w:sz w:val="15"/>
          <w:szCs w:val="15"/>
          <w:rFonts w:ascii="Calibri" w:cs="Calibri" w:eastAsia="Calibri" w:hAnsi="Calibri"/>
        </w:rPr>
        <w:ptab w:alignment="right" w:relativeTo="margin" w:leader="none"/>
      </w:r>
      <w:r>
        <w:rPr>
          <w:b/>
          <w:bCs/>
          <w:color w:val="6B7C8B"/>
          <w:sz w:val="15"/>
          <w:szCs w:val="15"/>
          <w:rFonts w:ascii="Calibri" w:cs="Calibri" w:eastAsia="Calibri" w:hAnsi="Calibri"/>
          <w:spacing w:val="30"/>
        </w:rPr>
        <w:t xml:space="preserve">FOR THE CEO &amp; CFO</w:t>
      </w:r>
    </w:p>
    <w:p>
      <w:pPr>
        <w:pBdr>
          <w:bottom w:val="single" w:color="12A5DB" w:sz="6"/>
        </w:pBdr>
        <w:spacing w:before="60" w:after="0"/>
      </w:pPr>
    </w:p>
    <w:p>
      <w:pPr>
        <w:spacing w:before="360" w:after="160"/>
      </w:pPr>
      <w:r>
        <w:rPr>
          <w:b/>
          <w:bCs/>
          <w:color w:val="0C1622"/>
          <w:sz w:val="40"/>
          <w:szCs w:val="40"/>
          <w:rFonts w:ascii="Calibri" w:cs="Calibri" w:eastAsia="Calibri" w:hAnsi="Calibri"/>
        </w:rPr>
        <w:t xml:space="preserve">Every top AI model. One secure login. One bill.</w:t>
      </w:r>
    </w:p>
    <w:p>
      <w:pPr>
        <w:spacing w:after="300" w:line="288"/>
      </w:pPr>
      <w:r>
        <w:rPr>
          <w:color w:val="3C4A57"/>
          <w:sz w:val="22"/>
          <w:szCs w:val="22"/>
          <w:rFonts w:ascii="Calibri" w:cs="Calibri" w:eastAsia="Calibri" w:hAnsi="Calibri"/>
        </w:rPr>
        <w:t xml:space="preserve">Enterprise AI that makes your whole team faster — without asking you to pick one model, watch your data, or forecast a bill you can’t predict.</w:t>
      </w:r>
    </w:p>
    <w:p>
      <w:pPr>
        <w:pBdr>
          <w:bottom w:val="single" w:color="DCE4EA" w:sz="2"/>
        </w:pBdr>
        <w:spacing w:after="2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40"/>
            </w:tcMar>
          </w:tcPr>
          <w:p>
            <w:pPr>
              <w:spacing w:after="90" w:line="252"/>
            </w:pPr>
            <w:r>
              <w:rPr>
                <w:b/>
                <w:bCs/>
                <w:color w:val="0C1622"/>
                <w:sz w:val="20"/>
                <w:szCs w:val="20"/>
                <w:rFonts w:ascii="Calibri" w:cs="Calibri" w:eastAsia="Calibri" w:hAnsi="Calibri"/>
              </w:rPr>
              <w:t xml:space="preserve">Every team gets the model it wants — </w:t>
            </w:r>
            <w:r>
              <w:rPr>
                <w:b/>
                <w:bCs/>
                <w:color w:val="12A5DB"/>
                <w:sz w:val="20"/>
                <w:szCs w:val="20"/>
                <w:rFonts w:ascii="Calibri" w:cs="Calibri" w:eastAsia="Calibri" w:hAnsi="Calibri"/>
              </w:rPr>
              <w:t xml:space="preserve">without picking one.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The leading model from every major provider, one secure login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No one opening personal accounts to get the model they need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Model access set by policy, not by whoever has a credit card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40"/>
            </w:tcMar>
          </w:tcPr>
          <w:p>
            <w:pPr>
              <w:spacing w:after="90" w:line="252"/>
            </w:pPr>
            <w:r>
              <w:rPr>
                <w:b/>
                <w:bCs/>
                <w:color w:val="0C1622"/>
                <w:sz w:val="20"/>
                <w:szCs w:val="20"/>
                <w:rFonts w:ascii="Calibri" w:cs="Calibri" w:eastAsia="Calibri" w:hAnsi="Calibri"/>
              </w:rPr>
              <w:t xml:space="preserve">Nothing you touch ever leaves. </w:t>
            </w:r>
            <w:r>
              <w:rPr>
                <w:b/>
                <w:bCs/>
                <w:color w:val="12A5DB"/>
                <w:sz w:val="20"/>
                <w:szCs w:val="20"/>
                <w:rFonts w:ascii="Calibri" w:cs="Calibri" w:eastAsia="Calibri" w:hAnsi="Calibri"/>
              </w:rPr>
              <w:t xml:space="preserve">Nothing trains a model.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Zero data retention configured across every model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Your data never trains anyone’s model — ever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One compliance answer for every model, not one per tool</w:t>
            </w:r>
          </w:p>
        </w:tc>
      </w:tr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40"/>
            </w:tcMar>
          </w:tcPr>
          <w:p>
            <w:pPr>
              <w:spacing w:after="90" w:line="252"/>
            </w:pPr>
            <w:r>
              <w:rPr>
                <w:b/>
                <w:bCs/>
                <w:color w:val="0C1622"/>
                <w:sz w:val="20"/>
                <w:szCs w:val="20"/>
                <w:rFonts w:ascii="Calibri" w:cs="Calibri" w:eastAsia="Calibri" w:hAnsi="Calibri"/>
              </w:rPr>
              <w:t xml:space="preserve">Real workflows and agents — </w:t>
            </w:r>
            <w:r>
              <w:rPr>
                <w:b/>
                <w:bCs/>
                <w:color w:val="12A5DB"/>
                <w:sz w:val="20"/>
                <w:szCs w:val="20"/>
                <w:rFonts w:ascii="Calibri" w:cs="Calibri" w:eastAsia="Calibri" w:hAnsi="Calibri"/>
              </w:rPr>
              <w:t xml:space="preserve">built with you, or by us.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b/>
                <w:bCs/>
                <w:color w:val="0C1622"/>
                <w:sz w:val="17"/>
                <w:szCs w:val="17"/>
                <w:rFonts w:ascii="Calibri" w:cs="Calibri" w:eastAsia="Calibri" w:hAnsi="Calibri"/>
              </w:rPr>
              <w:t xml:space="preserve">Put repetitive work on autopilot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 — invoice processing, follow-ups, reporting, data entry between systems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b/>
                <w:bCs/>
                <w:color w:val="0C1622"/>
                <w:sz w:val="17"/>
                <w:szCs w:val="17"/>
                <w:rFonts w:ascii="Calibri" w:cs="Calibri" w:eastAsia="Calibri" w:hAnsi="Calibri"/>
              </w:rPr>
              <w:t xml:space="preserve">Skip the long AI project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 — your team builds in plain English, or ours builds it with you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b/>
                <w:bCs/>
                <w:color w:val="0C1622"/>
                <w:sz w:val="17"/>
                <w:szCs w:val="17"/>
                <w:rFonts w:ascii="Calibri" w:cs="Calibri" w:eastAsia="Calibri" w:hAnsi="Calibri"/>
              </w:rPr>
              <w:t xml:space="preserve">More productivity, less waste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 — tuned for accuracy, security, and token cost, with a human in the loop where it counts</w:t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40"/>
            </w:tcMar>
          </w:tcPr>
          <w:p>
            <w:pPr>
              <w:spacing w:after="90" w:line="252"/>
            </w:pPr>
            <w:r>
              <w:rPr>
                <w:b/>
                <w:bCs/>
                <w:color w:val="0C1622"/>
                <w:sz w:val="20"/>
                <w:szCs w:val="20"/>
                <w:rFonts w:ascii="Calibri" w:cs="Calibri" w:eastAsia="Calibri" w:hAnsi="Calibri"/>
              </w:rPr>
              <w:t xml:space="preserve">One number your CFO </w:t>
            </w:r>
            <w:r>
              <w:rPr>
                <w:b/>
                <w:bCs/>
                <w:color w:val="12A5DB"/>
                <w:sz w:val="20"/>
                <w:szCs w:val="20"/>
                <w:rFonts w:ascii="Calibri" w:cs="Calibri" w:eastAsia="Calibri" w:hAnsi="Calibri"/>
              </w:rPr>
              <w:t xml:space="preserve">can actually forecast.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One all-in price per user — models, governance, coaching, automation, support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Priced below a single premium AI seat</w:t>
            </w:r>
          </w:p>
          <w:p>
            <w:pPr>
              <w:spacing w:after="60" w:line="250"/>
              <w:ind w:left="210" w:hanging="210"/>
            </w:pPr>
            <w:r>
              <w:rPr>
                <w:b/>
                <w:bCs/>
                <w:color w:val="12A5DB"/>
                <w:sz w:val="17"/>
                <w:szCs w:val="17"/>
                <w:rFonts w:ascii="Calibri" w:cs="Calibri" w:eastAsia="Calibri" w:hAnsi="Calibri"/>
              </w:rPr>
              <w:t xml:space="preserve">—  </w:t>
            </w:r>
            <w:r>
              <w:rPr>
                <w:color w:val="3C4A57"/>
                <w:sz w:val="17"/>
                <w:szCs w:val="17"/>
                <w:rFonts w:ascii="Calibri" w:cs="Calibri" w:eastAsia="Calibri" w:hAnsi="Calibri"/>
              </w:rPr>
              <w:t xml:space="preserve">No surprise consumption bills, no separate automation tool, no extra hire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DCE4EA" w:sz="2"/>
          <w:left w:val="single" w:color="12A5DB" w:sz="24"/>
          <w:bottom w:val="single" w:color="DCE4EA" w:sz="2"/>
          <w:right w:val="single" w:color="DCE4E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2440"/>
                <w:sz w:val="17"/>
                <w:szCs w:val="17"/>
                <w:caps/>
                <w:rFonts w:ascii="Calibri" w:cs="Calibri" w:eastAsia="Calibri" w:hAnsi="Calibri"/>
                <w:spacing w:val="20"/>
              </w:rPr>
              <w:t xml:space="preserve">The outcome</w:t>
            </w:r>
          </w:p>
          <w:p>
            <w:pPr>
              <w:spacing w:after="80" w:line="272"/>
            </w:pPr>
            <w:r>
              <w:rPr>
                <w:color w:val="0C1622"/>
                <w:sz w:val="21"/>
                <w:szCs w:val="21"/>
                <w:rFonts w:ascii="Calibri" w:cs="Calibri" w:eastAsia="Calibri" w:hAnsi="Calibri"/>
              </w:rPr>
              <w:t xml:space="preserve">Adoption that compounds, a documented governance answer for your cyber-insurance renewal, and AI that moves the business without putting it at risk.</w:t>
            </w:r>
          </w:p>
          <w:p>
            <w:pPr>
              <w:spacing w:after="0" w:line="272"/>
            </w:pPr>
            <w:r>
              <w:rPr>
                <w:b/>
                <w:bCs/>
                <w:color w:val="0B2440"/>
                <w:sz w:val="21"/>
                <w:szCs w:val="21"/>
                <w:rFonts w:ascii="Calibri" w:cs="Calibri" w:eastAsia="Calibri" w:hAnsi="Calibri"/>
              </w:rPr>
              <w:t xml:space="preserve">Start free: </w:t>
            </w:r>
            <w:r>
              <w:rPr>
                <w:color w:val="0C1622"/>
                <w:sz w:val="21"/>
                <w:szCs w:val="21"/>
                <w:rFonts w:ascii="Calibri" w:cs="Calibri" w:eastAsia="Calibri" w:hAnsi="Calibri"/>
              </w:rPr>
              <w:t xml:space="preserve">a 30-minute AI Risk &amp; Shadow AI Assessment — your top three exposures and a one-page action plan to keep, whether or not you work with us.</w:t>
            </w:r>
          </w:p>
        </w:tc>
      </w:tr>
    </w:tbl>
    <w:p>
      <w:pPr>
        <w:pBdr>
          <w:top w:val="single" w:color="DCE4EA" w:sz="2"/>
        </w:pBdr>
        <w:spacing w:before="260" w:after="0"/>
      </w:pPr>
      <w:r>
        <w:rPr>
          <w:color w:val="6B7C8B"/>
          <w:sz w:val="16"/>
          <w:szCs w:val="16"/>
          <w:rFonts w:ascii="Calibri" w:cs="Calibri" w:eastAsia="Calibri" w:hAnsi="Calibri"/>
        </w:rPr>
        <w:t xml:space="preserve">Fortify AI · Make every employee an AI expert. Securely.</w:t>
      </w:r>
      <w:r>
        <w:rPr>
          <w:sz w:val="16"/>
          <w:szCs w:val="16"/>
          <w:rFonts w:ascii="Calibri" w:cs="Calibri" w:eastAsia="Calibri" w:hAnsi="Calibri"/>
        </w:rPr>
        <w:ptab w:alignment="right" w:relativeTo="margin" w:leader="none"/>
      </w:r>
      <w:r>
        <w:rPr>
          <w:color w:val="6B7C8B"/>
          <w:sz w:val="16"/>
          <w:szCs w:val="16"/>
          <w:rFonts w:ascii="Calibri" w:cs="Calibri" w:eastAsia="Calibri" w:hAnsi="Calibri"/>
        </w:rPr>
        <w:t xml:space="preserve">Nick Dreyfus · (858) 337-2866 · i-nett.ai</w:t>
      </w:r>
    </w:p>
    <w:sectPr>
      <w:footerReference w:type="default" r:id="rId6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4EA" w:sz="2"/>
      </w:pBdr>
      <w:spacing w:before="80"/>
    </w:pPr>
    <w:r>
      <w:rPr>
        <w:color w:val="6B7C8B"/>
        <w:sz w:val="15"/>
        <w:szCs w:val="15"/>
        <w:rFonts w:ascii="Calibri" w:cs="Calibri" w:eastAsia="Calibri" w:hAnsi="Calibri"/>
      </w:rPr>
      <w:t xml:space="preserve">FORTIFY AI</w:t>
    </w:r>
    <w:r>
      <w:rPr>
        <w:color w:val="6B7C8B"/>
        <w:sz w:val="15"/>
        <w:szCs w:val="15"/>
        <w:rFonts w:ascii="Calibri" w:cs="Calibri" w:eastAsia="Calibri" w:hAnsi="Calibri"/>
      </w:rPr>
      <w:ptab w:alignment="center" w:relativeTo="margin" w:leader="none"/>
    </w:r>
    <w:r>
      <w:rPr>
        <w:color w:val="6B7C8B"/>
        <w:sz w:val="15"/>
        <w:szCs w:val="15"/>
        <w:rFonts w:ascii="Calibri" w:cs="Calibri" w:eastAsia="Calibri" w:hAnsi="Calibri"/>
      </w:rPr>
      <w:t xml:space="preserve">AI Usage Policy Framework</w:t>
    </w:r>
    <w:r>
      <w:rPr>
        <w:color w:val="6B7C8B"/>
        <w:sz w:val="15"/>
        <w:szCs w:val="15"/>
        <w:rFonts w:ascii="Calibri" w:cs="Calibri" w:eastAsia="Calibri" w:hAnsi="Calibri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2A5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B244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B24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C4A57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2026-08-19T00:56:46.200Z</dcterms:created>
  <dcterms:modified xsi:type="dcterms:W3CDTF">2026-08-19T00:56:46.200Z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