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i-NETT</w:t>
      </w:r>
      <w:r>
        <w:rPr>
          <w:b/>
          <w:bCs/>
          <w:color w:val="12A5DB"/>
          <w:sz w:val="17"/>
          <w:szCs w:val="17"/>
          <w:rFonts w:ascii="Calibri" w:cs="Calibri" w:eastAsia="Calibri" w:hAnsi="Calibri"/>
          <w:spacing w:val="20"/>
        </w:rPr>
        <w:t xml:space="preserve">  ·  FORTIFY AI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40"/>
      </w:pPr>
      <w:r>
        <w:rPr>
          <w:b/>
          <w:bCs/>
          <w:color w:val="12A5DB"/>
          <w:sz w:val="17"/>
          <w:szCs w:val="17"/>
          <w:caps/>
          <w:rFonts w:ascii="Calibri" w:cs="Calibri" w:eastAsia="Calibri" w:hAnsi="Calibri"/>
          <w:spacing w:val="40"/>
        </w:rPr>
        <w:t xml:space="preserve">IMPLEMENTATION CHECKLIST</w:t>
      </w:r>
    </w:p>
    <w:p>
      <w:pPr>
        <w:spacing w:after="120"/>
      </w:pPr>
      <w:r>
        <w:rPr>
          <w:b/>
          <w:bCs/>
          <w:color w:val="0B2440"/>
          <w:sz w:val="32"/>
          <w:szCs w:val="32"/>
          <w:rFonts w:ascii="Calibri" w:cs="Calibri" w:eastAsia="Calibri" w:hAnsi="Calibri"/>
        </w:rPr>
        <w:t xml:space="preserve">AI Policy Rollout — 30-Day Plan</w:t>
      </w:r>
    </w:p>
    <w:p>
      <w:pPr>
        <w:spacing w:after="220" w:line="276" w:before="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Work top to bottom. Most organizations complete this in about 30 days. i-NETT can run the enforcement steps (Discovery and blocking) for you as part of any managed plan.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1 — Assess (Days 1–5)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See what is actually happening before you write a rule.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Run a Shadow AI discovery to inventory which AI tools and LLMs are in use — company and personal accounts.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List the data types your organization handles (client, patient, financial, PII, regulated).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List the outside vendors who touch your data.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Identify the regulations that apply (HIPAA, GDPR/CCPA, PCI, CMMC).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2 — Define (Days 5–12)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Turn the framework into your specifics.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Name the policy owner.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Fill in the data-classification tiers with your real examples.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Build the approved-tools list (cleared-for-confidential vs. public-only).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Adapt the policy placeholders and have counsel review.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3 — Deploy (Days 12–20)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Put the compliant path in front of people.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Provision approved, business-tier AI tools for staff.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Distribute the AI Usage Policy to all staff.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Collect signed employee acknowledgment letters.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Send the vendor letter to every vendor that touches your data; track signatures.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4 — Enforce (Days 18–25)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Make the policy something you can see being followed.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Turn on Shadow AI Discovery for ongoing visibility.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Block unapproved / high-risk LLMs from being accessed.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Confirm regulated data is only reachable through cleared, compliant tools.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5 — Sustain (Ongoing)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Keep it current — AI tools and their terms change fast.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Deliver practical AI coaching to every employee; add it to onboarding.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Set the review cadence (at least every 6 months) and calendar it.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Log and review any incidents; update the policy after material changes.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Re-run discovery periodically to catch new shadow AI.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Bdr>
          <w:top w:val="single" w:color="DCE4EA" w:sz="2"/>
        </w:pBdr>
        <w:spacing w:before="300"/>
      </w:pPr>
      <w:r>
        <w:rPr>
          <w:i/>
          <w:iCs/>
          <w:color w:val="6B7C8B"/>
          <w:sz w:val="17"/>
          <w:szCs w:val="17"/>
          <w:rFonts w:ascii="Calibri" w:cs="Calibri" w:eastAsia="Calibri" w:hAnsi="Calibri"/>
        </w:rPr>
        <w:t xml:space="preserve">Provided by i-NETT / Fortify AI  ·  i-nett.ai  ·  (858) 337-2866. Want us to run the enforcement steps for you? Book a 30-minute review at i-nett.ai/resources.</w:t>
      </w:r>
    </w:p>
    <w:sectPr>
      <w:footerReference w:type="default" r:id="rId6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4EA" w:sz="2"/>
      </w:pBdr>
      <w:spacing w:before="80"/>
    </w:pPr>
    <w:r>
      <w:rPr>
        <w:color w:val="6B7C8B"/>
        <w:sz w:val="15"/>
        <w:szCs w:val="15"/>
        <w:rFonts w:ascii="Calibri" w:cs="Calibri" w:eastAsia="Calibri" w:hAnsi="Calibri"/>
      </w:rPr>
      <w:t xml:space="preserve">i-NETT · Fortify AI</w:t>
    </w:r>
    <w:r>
      <w:rPr>
        <w:color w:val="6B7C8B"/>
        <w:sz w:val="15"/>
        <w:szCs w:val="15"/>
        <w:rFonts w:ascii="Calibri" w:cs="Calibri" w:eastAsia="Calibri" w:hAnsi="Calibri"/>
      </w:rPr>
      <w:ptab w:alignment="center" w:relativeTo="margin" w:leader="none"/>
    </w:r>
    <w:r>
      <w:rPr>
        <w:color w:val="6B7C8B"/>
        <w:sz w:val="15"/>
        <w:szCs w:val="15"/>
        <w:rFonts w:ascii="Calibri" w:cs="Calibri" w:eastAsia="Calibri" w:hAnsi="Calibri"/>
      </w:rPr>
      <w:t xml:space="preserve">AI Usage Policy Framework</w:t>
    </w:r>
    <w:r>
      <w:rPr>
        <w:color w:val="6B7C8B"/>
        <w:sz w:val="15"/>
        <w:szCs w:val="15"/>
        <w:rFonts w:ascii="Calibri" w:cs="Calibri" w:eastAsia="Calibri" w:hAnsi="Calibri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2A5D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0B244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44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C4A57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2026-08-18T19:47:44.440Z</dcterms:created>
  <dcterms:modified xsi:type="dcterms:W3CDTF">2026-08-18T19:47:44.440Z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