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0"/>
      </w:pPr>
      <w:r>
        <w:rPr>
          <w:b/>
          <w:bCs/>
          <w:color w:val="0B2440"/>
          <w:sz w:val="40"/>
          <w:szCs w:val="40"/>
          <w:rFonts w:ascii="Calibri" w:cs="Calibri" w:eastAsia="Calibri" w:hAnsi="Calibri"/>
        </w:rPr>
        <w:t xml:space="preserve">i-NETT</w:t>
      </w:r>
      <w:r>
        <w:rPr>
          <w:b/>
          <w:bCs/>
          <w:color w:val="12A5DB"/>
          <w:sz w:val="22"/>
          <w:szCs w:val="22"/>
          <w:rFonts w:ascii="Calibri" w:cs="Calibri" w:eastAsia="Calibri" w:hAnsi="Calibri"/>
          <w:spacing w:val="20"/>
        </w:rPr>
        <w:t xml:space="preserve">  ·  FORTIFY AI</w:t>
      </w:r>
    </w:p>
    <w:p>
      <w:pPr>
        <w:spacing w:before="40" w:after="700"/>
      </w:pPr>
      <w:r>
        <w:rPr>
          <w:i/>
          <w:iCs/>
          <w:color w:val="6B7C8B"/>
          <w:sz w:val="19"/>
          <w:szCs w:val="19"/>
          <w:rFonts w:ascii="Calibri" w:cs="Calibri" w:eastAsia="Calibri" w:hAnsi="Calibri"/>
        </w:rPr>
        <w:t xml:space="preserve">Make every employee an AI expert. Securely.</w:t>
      </w:r>
    </w:p>
    <w:p>
      <w:pPr>
        <w:spacing w:after="40"/>
      </w:pPr>
      <w:r>
        <w:rPr>
          <w:b/>
          <w:bCs/>
          <w:color w:val="12A5DB"/>
          <w:sz w:val="18"/>
          <w:szCs w:val="18"/>
          <w:caps/>
          <w:rFonts w:ascii="Calibri" w:cs="Calibri" w:eastAsia="Calibri" w:hAnsi="Calibri"/>
          <w:spacing w:val="40"/>
        </w:rPr>
        <w:t xml:space="preserve">Governance Framework</w:t>
      </w:r>
    </w:p>
    <w:p>
      <w:pPr>
        <w:spacing w:after="200"/>
      </w:pPr>
      <w:r>
        <w:rPr>
          <w:b/>
          <w:bCs/>
          <w:color w:val="0B2440"/>
          <w:sz w:val="52"/>
          <w:szCs w:val="52"/>
          <w:rFonts w:ascii="Calibri" w:cs="Calibri" w:eastAsia="Calibri" w:hAnsi="Calibri"/>
        </w:rPr>
        <w:t xml:space="preserve">AI Usage Policy &amp; Governance Framework</w:t>
      </w:r>
    </w:p>
    <w:p>
      <w:pPr>
        <w:spacing w:after="700"/>
      </w:pPr>
      <w:r>
        <w:rPr>
          <w:color w:val="3C4A57"/>
          <w:sz w:val="24"/>
          <w:szCs w:val="24"/>
          <w:rFonts w:ascii="Calibri" w:cs="Calibri" w:eastAsia="Calibri" w:hAnsi="Calibri"/>
        </w:rPr>
        <w:t xml:space="preserve">A complete, deployable framework for responsible, secure AI use — the policy, the people, the enforcement, and the plan to put it in place.</w:t>
      </w:r>
    </w:p>
    <w:p>
      <w:pPr>
        <w:pBdr>
          <w:top w:val="single" w:color="12A5DB" w:sz="6"/>
        </w:pBdr>
        <w:spacing w:before="200" w:after="200"/>
      </w:pPr>
    </w:p>
    <w:p>
      <w:pPr>
        <w:spacing w:after="60" w:line="276" w:before="0"/>
      </w:pPr>
      <w:r>
        <w:rPr>
          <w:color w:val="6B7C8B"/>
          <w:sz w:val="21"/>
          <w:szCs w:val="21"/>
          <w:rFonts w:ascii="Calibri" w:cs="Calibri" w:eastAsia="Calibri" w:hAnsi="Calibri"/>
        </w:rPr>
        <w:t xml:space="preserve">Prepared for  </w:t>
      </w:r>
      <w:r>
        <w:rPr>
          <w:b/>
          <w:bCs/>
          <w:color w:val="0C1622"/>
          <w:sz w:val="21"/>
          <w:szCs w:val="21"/>
          <w:rFonts w:ascii="Calibri" w:cs="Calibri" w:eastAsia="Calibri" w:hAnsi="Calibri"/>
        </w:rPr>
        <w:t xml:space="preserve">[Company Name]</w:t>
      </w:r>
    </w:p>
    <w:p>
      <w:pPr>
        <w:spacing w:after="60" w:line="276" w:before="0"/>
      </w:pPr>
      <w:r>
        <w:rPr>
          <w:color w:val="6B7C8B"/>
          <w:sz w:val="21"/>
          <w:szCs w:val="21"/>
          <w:rFonts w:ascii="Calibri" w:cs="Calibri" w:eastAsia="Calibri" w:hAnsi="Calibri"/>
        </w:rPr>
        <w:t xml:space="preserve">Policy owner  </w:t>
      </w:r>
      <w:r>
        <w:rPr>
          <w:b/>
          <w:bCs/>
          <w:color w:val="0C1622"/>
          <w:sz w:val="21"/>
          <w:szCs w:val="21"/>
          <w:rFonts w:ascii="Calibri" w:cs="Calibri" w:eastAsia="Calibri" w:hAnsi="Calibri"/>
        </w:rPr>
        <w:t xml:space="preserve">[Name / title]</w:t>
      </w:r>
    </w:p>
    <w:p>
      <w:pPr>
        <w:spacing w:after="60" w:line="276" w:before="0"/>
      </w:pPr>
      <w:r>
        <w:rPr>
          <w:color w:val="6B7C8B"/>
          <w:sz w:val="21"/>
          <w:szCs w:val="21"/>
          <w:rFonts w:ascii="Calibri" w:cs="Calibri" w:eastAsia="Calibri" w:hAnsi="Calibri"/>
        </w:rPr>
        <w:t xml:space="preserve">Version  </w:t>
      </w:r>
      <w:r>
        <w:rPr>
          <w:b/>
          <w:bCs/>
          <w:color w:val="0C1622"/>
          <w:sz w:val="21"/>
          <w:szCs w:val="21"/>
          <w:rFonts w:ascii="Calibri" w:cs="Calibri" w:eastAsia="Calibri" w:hAnsi="Calibri"/>
        </w:rPr>
        <w:t xml:space="preserve">1.0</w:t>
      </w:r>
      <w:r>
        <w:rPr>
          <w:color w:val="6B7C8B"/>
          <w:sz w:val="21"/>
          <w:szCs w:val="21"/>
          <w:rFonts w:ascii="Calibri" w:cs="Calibri" w:eastAsia="Calibri" w:hAnsi="Calibri"/>
        </w:rPr>
        <w:t xml:space="preserve">       Effective  </w:t>
      </w:r>
      <w:r>
        <w:rPr>
          <w:b/>
          <w:bCs/>
          <w:color w:val="0C1622"/>
          <w:sz w:val="21"/>
          <w:szCs w:val="21"/>
          <w:rFonts w:ascii="Calibri" w:cs="Calibri" w:eastAsia="Calibri" w:hAnsi="Calibri"/>
        </w:rPr>
        <w:t xml:space="preserve">[Date]</w:t>
      </w:r>
      <w:r>
        <w:rPr>
          <w:color w:val="6B7C8B"/>
          <w:sz w:val="21"/>
          <w:szCs w:val="21"/>
          <w:rFonts w:ascii="Calibri" w:cs="Calibri" w:eastAsia="Calibri" w:hAnsi="Calibri"/>
        </w:rPr>
        <w:t xml:space="preserve">       Next review  </w:t>
      </w:r>
      <w:r>
        <w:rPr>
          <w:b/>
          <w:bCs/>
          <w:color w:val="0C1622"/>
          <w:sz w:val="21"/>
          <w:szCs w:val="21"/>
          <w:rFonts w:ascii="Calibri" w:cs="Calibri" w:eastAsia="Calibri" w:hAnsi="Calibri"/>
        </w:rPr>
        <w:t xml:space="preserve">[Date + 6 months]</w:t>
      </w:r>
    </w:p>
    <w:p>
      <w:pPr>
        <w:spacing w:before="700"/>
      </w:pPr>
      <w:r>
        <w:rPr>
          <w:color w:val="6B7C8B"/>
          <w:sz w:val="18"/>
          <w:szCs w:val="18"/>
          <w:rFonts w:ascii="Calibri" w:cs="Calibri" w:eastAsia="Calibri" w:hAnsi="Calibri"/>
        </w:rPr>
        <w:t xml:space="preserve">Provided by i-NETT / Fortify AI  ·  i-nett.ai  ·  (858) 337-2866  ·  nickd@i-nett.com</w:t>
      </w:r>
    </w:p>
    <w:p>
      <w:r>
        <w:br w:type="page"/>
      </w:r>
    </w:p>
    <w:p>
      <w:pPr>
        <w:spacing w:before="220" w:after="60"/>
      </w:pPr>
      <w:r>
        <w:rPr>
          <w:b/>
          <w:bCs/>
          <w:color w:val="12A5DB"/>
          <w:sz w:val="16"/>
          <w:szCs w:val="16"/>
          <w:caps/>
          <w:rFonts w:ascii="Calibri" w:cs="Calibri" w:eastAsia="Calibri" w:hAnsi="Calibri"/>
          <w:spacing w:val="30"/>
        </w:rPr>
        <w:t xml:space="preserve">How to use this framework</w:t>
      </w:r>
    </w:p>
    <w:p>
      <w:pPr>
        <w:pStyle w:val="Heading1"/>
        <w:spacing w:before="340" w:after="130"/>
      </w:pPr>
      <w:r>
        <w:rPr>
          <w:b/>
          <w:bCs/>
          <w:color w:val="0B2440"/>
          <w:sz w:val="30"/>
          <w:szCs w:val="30"/>
          <w:rFonts w:ascii="Calibri" w:cs="Calibri" w:eastAsia="Calibri" w:hAnsi="Calibri"/>
        </w:rPr>
        <w:t xml:space="preserve">How to use this framework</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document is a complete, adopt-ready AI governance framework for a business that wants the productivity of AI without the exposure. It is written so a non-technical employee can follow it, and it is built to be enforceable rather than aspirational.</w:t>
      </w:r>
    </w:p>
    <w:p>
      <w:pPr>
        <w:spacing w:after="140" w:line="276" w:before="0"/>
      </w:pPr>
      <w:r>
        <w:rPr>
          <w:color w:val="3C4A57"/>
          <w:sz w:val="21"/>
          <w:szCs w:val="21"/>
          <w:rFonts w:ascii="Calibri" w:cs="Calibri" w:eastAsia="Calibri" w:hAnsi="Calibri"/>
        </w:rPr>
        <w:t xml:space="preserve">The kit has four parts:</w:t>
      </w:r>
    </w:p>
    <w:p>
      <w:pPr>
        <w:pStyle w:val="ListParagraph"/>
        <w:numPr>
          <w:ilvl w:val="0"/>
          <w:numId w:val="2"/>
        </w:numPr>
        <w:spacing w:after="90" w:line="272"/>
      </w:pPr>
      <w:r>
        <w:rPr>
          <w:b/>
          <w:bCs/>
          <w:color w:val="0C1622"/>
          <w:sz w:val="21"/>
          <w:szCs w:val="21"/>
          <w:rFonts w:ascii="Calibri" w:cs="Calibri" w:eastAsia="Calibri" w:hAnsi="Calibri"/>
        </w:rPr>
        <w:t xml:space="preserve">The policy </w:t>
      </w:r>
      <w:r>
        <w:rPr>
          <w:color w:val="3C4A57"/>
          <w:sz w:val="21"/>
          <w:szCs w:val="21"/>
          <w:rFonts w:ascii="Calibri" w:cs="Calibri" w:eastAsia="Calibri" w:hAnsi="Calibri"/>
        </w:rPr>
        <w:t xml:space="preserve">(this document) — the rules, roles, and standards your organization adopts.</w:t>
      </w:r>
    </w:p>
    <w:p>
      <w:pPr>
        <w:pStyle w:val="ListParagraph"/>
        <w:numPr>
          <w:ilvl w:val="0"/>
          <w:numId w:val="2"/>
        </w:numPr>
        <w:spacing w:after="90" w:line="272"/>
      </w:pPr>
      <w:r>
        <w:rPr>
          <w:b/>
          <w:bCs/>
          <w:color w:val="0C1622"/>
          <w:sz w:val="21"/>
          <w:szCs w:val="21"/>
          <w:rFonts w:ascii="Calibri" w:cs="Calibri" w:eastAsia="Calibri" w:hAnsi="Calibri"/>
        </w:rPr>
        <w:t xml:space="preserve">The employee acknowledgment letter </w:t>
      </w:r>
      <w:r>
        <w:rPr>
          <w:color w:val="3C4A57"/>
          <w:sz w:val="21"/>
          <w:szCs w:val="21"/>
          <w:rFonts w:ascii="Calibri" w:cs="Calibri" w:eastAsia="Calibri" w:hAnsi="Calibri"/>
        </w:rPr>
        <w:t xml:space="preserve">— a short letter every employee reads and signs, so the policy is something people are actually held to.</w:t>
      </w:r>
    </w:p>
    <w:p>
      <w:pPr>
        <w:pStyle w:val="ListParagraph"/>
        <w:numPr>
          <w:ilvl w:val="0"/>
          <w:numId w:val="2"/>
        </w:numPr>
        <w:spacing w:after="90" w:line="272"/>
      </w:pPr>
      <w:r>
        <w:rPr>
          <w:b/>
          <w:bCs/>
          <w:color w:val="0C1622"/>
          <w:sz w:val="21"/>
          <w:szCs w:val="21"/>
          <w:rFonts w:ascii="Calibri" w:cs="Calibri" w:eastAsia="Calibri" w:hAnsi="Calibri"/>
        </w:rPr>
        <w:t xml:space="preserve">The third-party vendor letter </w:t>
      </w:r>
      <w:r>
        <w:rPr>
          <w:color w:val="3C4A57"/>
          <w:sz w:val="21"/>
          <w:szCs w:val="21"/>
          <w:rFonts w:ascii="Calibri" w:cs="Calibri" w:eastAsia="Calibri" w:hAnsi="Calibri"/>
        </w:rPr>
        <w:t xml:space="preserve">— a written commitment from every outside party that touches your data.</w:t>
      </w:r>
    </w:p>
    <w:p>
      <w:pPr>
        <w:pStyle w:val="ListParagraph"/>
        <w:numPr>
          <w:ilvl w:val="0"/>
          <w:numId w:val="2"/>
        </w:numPr>
        <w:spacing w:after="90" w:line="272"/>
      </w:pPr>
      <w:r>
        <w:rPr>
          <w:b/>
          <w:bCs/>
          <w:color w:val="0C1622"/>
          <w:sz w:val="21"/>
          <w:szCs w:val="21"/>
          <w:rFonts w:ascii="Calibri" w:cs="Calibri" w:eastAsia="Calibri" w:hAnsi="Calibri"/>
        </w:rPr>
        <w:t xml:space="preserve">The rollout checklist </w:t>
      </w:r>
      <w:r>
        <w:rPr>
          <w:color w:val="3C4A57"/>
          <w:sz w:val="21"/>
          <w:szCs w:val="21"/>
          <w:rFonts w:ascii="Calibri" w:cs="Calibri" w:eastAsia="Calibri" w:hAnsi="Calibri"/>
        </w:rPr>
        <w:t xml:space="preserve">— a step-by-step plan to put all of this in place in about 30 days.</w:t>
      </w:r>
    </w:p>
    <w:p>
      <w:pPr>
        <w:spacing w:after="140" w:line="276" w:before="0"/>
      </w:pPr>
      <w:r>
        <w:rPr>
          <w:color w:val="3C4A57"/>
          <w:sz w:val="21"/>
          <w:szCs w:val="21"/>
          <w:rFonts w:ascii="Calibri" w:cs="Calibri" w:eastAsia="Calibri" w:hAnsi="Calibri"/>
        </w:rPr>
        <w:t xml:space="preserve">Replace every </w:t>
      </w:r>
      <w:r>
        <w:rPr>
          <w:b/>
          <w:bCs/>
          <w:color w:val="0E7FB0"/>
          <w:sz w:val="21"/>
          <w:szCs w:val="21"/>
          <w:rFonts w:ascii="Calibri" w:cs="Calibri" w:eastAsia="Calibri" w:hAnsi="Calibri"/>
        </w:rPr>
        <w:t xml:space="preserve">[bracketed placeholder]</w:t>
      </w:r>
      <w:r>
        <w:rPr>
          <w:color w:val="3C4A57"/>
          <w:sz w:val="21"/>
          <w:szCs w:val="21"/>
          <w:rFonts w:ascii="Calibri" w:cs="Calibri" w:eastAsia="Calibri" w:hAnsi="Calibri"/>
        </w:rPr>
        <w:t xml:space="preserve"> with your specifics, review with qualified counsel, and adopt. i-NETT can configure the enforcement layer — visibility into which AI tools are in use and the ability to block unapproved ones — as part of any managed plan, so the policy is backed by technology and not just goodwill.</w:t>
      </w:r>
    </w:p>
    <w:p>
      <w:pPr>
        <w:spacing w:before="220" w:after="60"/>
      </w:pPr>
      <w:r>
        <w:rPr>
          <w:b/>
          <w:bCs/>
          <w:color w:val="12A5DB"/>
          <w:sz w:val="16"/>
          <w:szCs w:val="16"/>
          <w:caps/>
          <w:rFonts w:ascii="Calibri" w:cs="Calibri" w:eastAsia="Calibri" w:hAnsi="Calibri"/>
          <w:spacing w:val="30"/>
        </w:rPr>
        <w:t xml:space="preserve">Section 1</w:t>
      </w:r>
    </w:p>
    <w:p>
      <w:pPr>
        <w:pStyle w:val="Heading1"/>
        <w:spacing w:before="340" w:after="130"/>
      </w:pPr>
      <w:r>
        <w:rPr>
          <w:b/>
          <w:bCs/>
          <w:color w:val="0B2440"/>
          <w:sz w:val="30"/>
          <w:szCs w:val="30"/>
          <w:rFonts w:ascii="Calibri" w:cs="Calibri" w:eastAsia="Calibri" w:hAnsi="Calibri"/>
        </w:rPr>
        <w:t xml:space="preserve">1. Purpose &amp; scope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policy governs the use of artificial intelligence tools by everyone who acts on behalf of [Company Name] — employees, contractors, temporary staff, and volunteers. It applies to any AI tool used for company work, whether the tool is company-provided or publicly available, and whether it is used on a company device or a personal one.</w:t>
      </w:r>
    </w:p>
    <w:p>
      <w:pPr>
        <w:spacing w:after="140" w:line="276" w:before="0"/>
      </w:pPr>
      <w:r>
        <w:rPr>
          <w:color w:val="3C4A57"/>
          <w:sz w:val="21"/>
          <w:szCs w:val="21"/>
          <w:rFonts w:ascii="Calibri" w:cs="Calibri" w:eastAsia="Calibri" w:hAnsi="Calibri"/>
        </w:rPr>
        <w:t xml:space="preserve">Its purpose is simple: </w:t>
      </w:r>
      <w:r>
        <w:rPr>
          <w:b/>
          <w:bCs/>
          <w:color w:val="0C1622"/>
          <w:sz w:val="21"/>
          <w:szCs w:val="21"/>
          <w:rFonts w:ascii="Calibri" w:cs="Calibri" w:eastAsia="Calibri" w:hAnsi="Calibri"/>
        </w:rPr>
        <w:t xml:space="preserve">let our people use AI to do better work, faster, while making sure no confidential, regulated, or client information ever leaves our control through a tool nobody approved and nobody is watching.</w:t>
      </w:r>
    </w:p>
    <w:p>
      <w:pPr>
        <w:spacing w:before="220" w:after="60"/>
      </w:pPr>
      <w:r>
        <w:rPr>
          <w:b/>
          <w:bCs/>
          <w:color w:val="12A5DB"/>
          <w:sz w:val="16"/>
          <w:szCs w:val="16"/>
          <w:caps/>
          <w:rFonts w:ascii="Calibri" w:cs="Calibri" w:eastAsia="Calibri" w:hAnsi="Calibri"/>
          <w:spacing w:val="30"/>
        </w:rPr>
        <w:t xml:space="preserve">Section 2</w:t>
      </w:r>
    </w:p>
    <w:p>
      <w:pPr>
        <w:pStyle w:val="Heading1"/>
        <w:spacing w:before="340" w:after="130"/>
      </w:pPr>
      <w:r>
        <w:rPr>
          <w:b/>
          <w:bCs/>
          <w:color w:val="0B2440"/>
          <w:sz w:val="30"/>
          <w:szCs w:val="30"/>
          <w:rFonts w:ascii="Calibri" w:cs="Calibri" w:eastAsia="Calibri" w:hAnsi="Calibri"/>
        </w:rPr>
        <w:t xml:space="preserve">2. Roles &amp; responsibilities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Governance fails when it belongs to no one. These roles are named and accountable.</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2200"/>
        <w:gridCol w:w="7160"/>
      </w:tblGrid>
      <w:tr>
        <w:trPr>
          <w:tblHeader/>
        </w:trPr>
        <w:tc>
          <w:tcPr>
            <w:tcW w:type="dxa" w:w="22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Role</w:t>
            </w:r>
          </w:p>
        </w:tc>
        <w:tc>
          <w:tcPr>
            <w:tcW w:type="dxa" w:w="71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Responsibility</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Policy owner</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 named leader (not a committee) who owns this document and the approved-tools list, approves new tools, oversees incidents, and keeps the policy current. Default: [Name / title].</w:t>
            </w:r>
          </w:p>
        </w:tc>
      </w:tr>
      <w:tr>
        <w:tc>
          <w:tcPr>
            <w:tcW w:type="dxa" w:w="22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Leadership</w:t>
            </w:r>
          </w:p>
        </w:tc>
        <w:tc>
          <w:tcPr>
            <w:tcW w:type="dxa" w:w="7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Sponsors the policy, models compliant use, and makes clear that following it is expected — not optional.</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Managers</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Ensure their teams have read and signed the acknowledgment, know the approved tools for their work, and raise questions early.</w:t>
            </w:r>
          </w:p>
        </w:tc>
      </w:tr>
      <w:tr>
        <w:tc>
          <w:tcPr>
            <w:tcW w:type="dxa" w:w="22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Employees &amp; contractors</w:t>
            </w:r>
          </w:p>
        </w:tc>
        <w:tc>
          <w:tcPr>
            <w:tcW w:type="dxa" w:w="7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Use only approved tools, honor the data-classification rules, keep a human in the loop, and report incidents promptly.</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IT / i-NETT</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Configures and maintains the enforcement layer (Shadow AI Discovery), provisions approved tools, monitors for unapproved use, and supports incident response.</w:t>
            </w:r>
          </w:p>
        </w:tc>
      </w:tr>
    </w:tbl>
    <w:p>
      <w:pPr>
        <w:spacing w:before="220" w:after="60"/>
      </w:pPr>
      <w:r>
        <w:rPr>
          <w:b/>
          <w:bCs/>
          <w:color w:val="12A5DB"/>
          <w:sz w:val="16"/>
          <w:szCs w:val="16"/>
          <w:caps/>
          <w:rFonts w:ascii="Calibri" w:cs="Calibri" w:eastAsia="Calibri" w:hAnsi="Calibri"/>
          <w:spacing w:val="30"/>
        </w:rPr>
        <w:t xml:space="preserve">Section 3</w:t>
      </w:r>
    </w:p>
    <w:p>
      <w:pPr>
        <w:pStyle w:val="Heading1"/>
        <w:spacing w:before="340" w:after="130"/>
      </w:pPr>
      <w:r>
        <w:rPr>
          <w:b/>
          <w:bCs/>
          <w:color w:val="0B2440"/>
          <w:sz w:val="30"/>
          <w:szCs w:val="30"/>
          <w:rFonts w:ascii="Calibri" w:cs="Calibri" w:eastAsia="Calibri" w:hAnsi="Calibri"/>
        </w:rPr>
        <w:t xml:space="preserve">3. Acceptable use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Employees are encouraged to use approved AI tools to draft, summarize, research, translate, analyze, brainstorm, and automate repetitive work — provided the information involved is properly classified for that tool (Section 6) and the output is reviewed by a qualified person before it is used (Section 7).</w:t>
      </w:r>
    </w:p>
    <w:p>
      <w:pPr>
        <w:spacing w:after="140" w:line="276" w:before="0"/>
      </w:pPr>
      <w:r>
        <w:rPr>
          <w:color w:val="3C4A57"/>
          <w:sz w:val="21"/>
          <w:szCs w:val="21"/>
          <w:rFonts w:ascii="Calibri" w:cs="Calibri" w:eastAsia="Calibri" w:hAnsi="Calibri"/>
        </w:rPr>
        <w:t xml:space="preserve">The guiding principle: </w:t>
      </w:r>
      <w:r>
        <w:rPr>
          <w:b/>
          <w:bCs/>
          <w:color w:val="0C1622"/>
          <w:sz w:val="21"/>
          <w:szCs w:val="21"/>
          <w:rFonts w:ascii="Calibri" w:cs="Calibri" w:eastAsia="Calibri" w:hAnsi="Calibri"/>
        </w:rPr>
        <w:t xml:space="preserve">AI assists; people remain accountable.</w:t>
      </w:r>
      <w:r>
        <w:rPr>
          <w:color w:val="3C4A57"/>
          <w:sz w:val="21"/>
          <w:szCs w:val="21"/>
          <w:rFonts w:ascii="Calibri" w:cs="Calibri" w:eastAsia="Calibri" w:hAnsi="Calibri"/>
        </w:rPr>
        <w:t xml:space="preserve"> A tool can draft the work, but a person owns the result.</w:t>
      </w:r>
    </w:p>
    <w:p>
      <w:pPr>
        <w:spacing w:before="220" w:after="60"/>
      </w:pPr>
      <w:r>
        <w:rPr>
          <w:b/>
          <w:bCs/>
          <w:color w:val="12A5DB"/>
          <w:sz w:val="16"/>
          <w:szCs w:val="16"/>
          <w:caps/>
          <w:rFonts w:ascii="Calibri" w:cs="Calibri" w:eastAsia="Calibri" w:hAnsi="Calibri"/>
          <w:spacing w:val="30"/>
        </w:rPr>
        <w:t xml:space="preserve">Section 4</w:t>
      </w:r>
    </w:p>
    <w:p>
      <w:pPr>
        <w:pStyle w:val="Heading1"/>
        <w:spacing w:before="340" w:after="130"/>
      </w:pPr>
      <w:r>
        <w:rPr>
          <w:b/>
          <w:bCs/>
          <w:color w:val="0B2440"/>
          <w:sz w:val="30"/>
          <w:szCs w:val="30"/>
          <w:rFonts w:ascii="Calibri" w:cs="Calibri" w:eastAsia="Calibri" w:hAnsi="Calibri"/>
        </w:rPr>
        <w:t xml:space="preserve">4. Prohibited use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The following are never permitted, on any account:</w:t>
      </w:r>
    </w:p>
    <w:p>
      <w:pPr>
        <w:pStyle w:val="ListParagraph"/>
        <w:numPr>
          <w:ilvl w:val="0"/>
          <w:numId w:val="2"/>
        </w:numPr>
        <w:spacing w:after="90" w:line="272"/>
      </w:pPr>
      <w:r>
        <w:rPr>
          <w:color w:val="3C4A57"/>
          <w:sz w:val="21"/>
          <w:szCs w:val="21"/>
          <w:rFonts w:ascii="Calibri" w:cs="Calibri" w:eastAsia="Calibri" w:hAnsi="Calibri"/>
        </w:rPr>
        <w:t xml:space="preserve">Entering confidential, regulated, or client data into a public or personal AI account (see the bright line below).</w:t>
      </w:r>
    </w:p>
    <w:p>
      <w:pPr>
        <w:pStyle w:val="ListParagraph"/>
        <w:numPr>
          <w:ilvl w:val="0"/>
          <w:numId w:val="2"/>
        </w:numPr>
        <w:spacing w:after="90" w:line="272"/>
      </w:pPr>
      <w:r>
        <w:rPr>
          <w:color w:val="3C4A57"/>
          <w:sz w:val="21"/>
          <w:szCs w:val="21"/>
          <w:rFonts w:ascii="Calibri" w:cs="Calibri" w:eastAsia="Calibri" w:hAnsi="Calibri"/>
        </w:rPr>
        <w:t xml:space="preserve">Using AI tools that are not on the approved-tools list for company work.</w:t>
      </w:r>
    </w:p>
    <w:p>
      <w:pPr>
        <w:pStyle w:val="ListParagraph"/>
        <w:numPr>
          <w:ilvl w:val="0"/>
          <w:numId w:val="2"/>
        </w:numPr>
        <w:spacing w:after="90" w:line="272"/>
      </w:pPr>
      <w:r>
        <w:rPr>
          <w:color w:val="3C4A57"/>
          <w:sz w:val="21"/>
          <w:szCs w:val="21"/>
          <w:rFonts w:ascii="Calibri" w:cs="Calibri" w:eastAsia="Calibri" w:hAnsi="Calibri"/>
        </w:rPr>
        <w:t xml:space="preserve">Presenting AI output as reviewed or verified when it has not been.</w:t>
      </w:r>
    </w:p>
    <w:p>
      <w:pPr>
        <w:pStyle w:val="ListParagraph"/>
        <w:numPr>
          <w:ilvl w:val="0"/>
          <w:numId w:val="2"/>
        </w:numPr>
        <w:spacing w:after="90" w:line="272"/>
      </w:pPr>
      <w:r>
        <w:rPr>
          <w:color w:val="3C4A57"/>
          <w:sz w:val="21"/>
          <w:szCs w:val="21"/>
          <w:rFonts w:ascii="Calibri" w:cs="Calibri" w:eastAsia="Calibri" w:hAnsi="Calibri"/>
        </w:rPr>
        <w:t xml:space="preserve">Using AI to make a final decision about a person — hiring, termination, credit, care, discipline — without meaningful human judgment.</w:t>
      </w:r>
    </w:p>
    <w:p>
      <w:pPr>
        <w:pStyle w:val="ListParagraph"/>
        <w:numPr>
          <w:ilvl w:val="0"/>
          <w:numId w:val="2"/>
        </w:numPr>
        <w:spacing w:after="90" w:line="272"/>
      </w:pPr>
      <w:r>
        <w:rPr>
          <w:color w:val="3C4A57"/>
          <w:sz w:val="21"/>
          <w:szCs w:val="21"/>
          <w:rFonts w:ascii="Calibri" w:cs="Calibri" w:eastAsia="Calibri" w:hAnsi="Calibri"/>
        </w:rPr>
        <w:t xml:space="preserve">Disabling, evading, or attempting to bypass the company’s AI monitoring or blocking controls.</w:t>
      </w:r>
    </w:p>
    <w:p>
      <w:pPr>
        <w:pStyle w:val="ListParagraph"/>
        <w:numPr>
          <w:ilvl w:val="0"/>
          <w:numId w:val="2"/>
        </w:numPr>
        <w:spacing w:after="90" w:line="272"/>
      </w:pPr>
      <w:r>
        <w:rPr>
          <w:color w:val="3C4A57"/>
          <w:sz w:val="21"/>
          <w:szCs w:val="21"/>
          <w:rFonts w:ascii="Calibri" w:cs="Calibri" w:eastAsia="Calibri" w:hAnsi="Calibri"/>
        </w:rPr>
        <w:t xml:space="preserve">Using AI to create content that is deceptive, discriminatory, infringing, or otherwise unlawful.</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The bright line</w:t>
            </w:r>
          </w:p>
          <w:p>
            <w:pPr>
              <w:spacing w:after="0" w:line="272"/>
            </w:pPr>
            <w:r>
              <w:rPr>
                <w:b/>
                <w:bCs/>
                <w:color w:val="0C1622"/>
                <w:sz w:val="21"/>
                <w:szCs w:val="21"/>
                <w:rFonts w:ascii="Calibri" w:cs="Calibri" w:eastAsia="Calibri" w:hAnsi="Calibri"/>
              </w:rPr>
              <w:t xml:space="preserve">Never paste client, patient, financial, or personally identifiable information into a public or personal AI account. </w:t>
            </w:r>
            <w:r>
              <w:rPr>
                <w:color w:val="0C1622"/>
                <w:sz w:val="21"/>
                <w:szCs w:val="21"/>
                <w:rFonts w:ascii="Calibri" w:cs="Calibri" w:eastAsia="Calibri" w:hAnsi="Calibri"/>
              </w:rPr>
              <w:t xml:space="preserve">If in doubt, treat it as confidential and use only a tool cleared for that data — or ask the policy owner first.</w:t>
            </w:r>
          </w:p>
        </w:tc>
      </w:tr>
    </w:tbl>
    <w:p>
      <w:pPr>
        <w:spacing w:before="220" w:after="60"/>
      </w:pPr>
      <w:r>
        <w:rPr>
          <w:b/>
          <w:bCs/>
          <w:color w:val="12A5DB"/>
          <w:sz w:val="16"/>
          <w:szCs w:val="16"/>
          <w:caps/>
          <w:rFonts w:ascii="Calibri" w:cs="Calibri" w:eastAsia="Calibri" w:hAnsi="Calibri"/>
          <w:spacing w:val="30"/>
        </w:rPr>
        <w:t xml:space="preserve">Section 5</w:t>
      </w:r>
    </w:p>
    <w:p>
      <w:pPr>
        <w:pStyle w:val="Heading1"/>
        <w:spacing w:before="340" w:after="130"/>
      </w:pPr>
      <w:r>
        <w:rPr>
          <w:b/>
          <w:bCs/>
          <w:color w:val="0B2440"/>
          <w:sz w:val="30"/>
          <w:szCs w:val="30"/>
          <w:rFonts w:ascii="Calibri" w:cs="Calibri" w:eastAsia="Calibri" w:hAnsi="Calibri"/>
        </w:rPr>
        <w:t xml:space="preserve">5. Approved tools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Only tools on the approved-tools list may be used for company work. Tools cleared for confidential or regulated data are listed separately from tools acceptable only for public, non-sensitive content. If a tool is not on the list, it is not approved — request additions through the policy owner.</w:t>
      </w:r>
    </w:p>
    <w:p>
      <w:pPr>
        <w:spacing w:after="140" w:line="276" w:before="0"/>
      </w:pPr>
      <w:r>
        <w:rPr>
          <w:i/>
          <w:iCs/>
          <w:color w:val="6B7C8B"/>
          <w:sz w:val="21"/>
          <w:szCs w:val="21"/>
          <w:rFonts w:ascii="Calibri" w:cs="Calibri" w:eastAsia="Calibri" w:hAnsi="Calibri"/>
        </w:rPr>
        <w:t xml:space="preserve">Starter list — replace with your own: </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2900"/>
        <w:gridCol w:w="2400"/>
        <w:gridCol w:w="2560"/>
        <w:gridCol w:w="1500"/>
      </w:tblGrid>
      <w:tr>
        <w:trPr>
          <w:tblHeader/>
        </w:trPr>
        <w:tc>
          <w:tcPr>
            <w:tcW w:type="dxa" w:w="29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Tool</w:t>
            </w:r>
          </w:p>
        </w:tc>
        <w:tc>
          <w:tcPr>
            <w:tcW w:type="dxa" w:w="24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Approved for</w:t>
            </w:r>
          </w:p>
        </w:tc>
        <w:tc>
          <w:tcPr>
            <w:tcW w:type="dxa" w:w="25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Not approved for</w:t>
            </w:r>
          </w:p>
        </w:tc>
        <w:tc>
          <w:tcPr>
            <w:tcW w:type="dxa" w:w="15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Owner</w:t>
            </w:r>
          </w:p>
        </w:tc>
      </w:tr>
      <w:tr>
        <w:tc>
          <w:tcPr>
            <w:tcW w:type="dxa" w:w="29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[Company ChatGPT / Copilot / Claude, business tier]</w:t>
            </w:r>
          </w:p>
        </w:tc>
        <w:tc>
          <w:tcPr>
            <w:tcW w:type="dxa" w:w="24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Internal &amp; confidential (per contract)</w:t>
            </w:r>
          </w:p>
        </w:tc>
        <w:tc>
          <w:tcPr>
            <w:tcW w:type="dxa" w:w="25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Regulated data unless contract confirms</w:t>
            </w:r>
          </w:p>
        </w:tc>
        <w:tc>
          <w:tcPr>
            <w:tcW w:type="dxa" w:w="15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[Owner]</w:t>
            </w:r>
          </w:p>
        </w:tc>
      </w:tr>
      <w:tr>
        <w:tc>
          <w:tcPr>
            <w:tcW w:type="dxa" w:w="29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[Public / free AI tools]</w:t>
            </w:r>
          </w:p>
        </w:tc>
        <w:tc>
          <w:tcPr>
            <w:tcW w:type="dxa" w:w="24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Public, non-sensitive content only</w:t>
            </w:r>
          </w:p>
        </w:tc>
        <w:tc>
          <w:tcPr>
            <w:tcW w:type="dxa" w:w="25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Internal, confidential, or regulated data</w:t>
            </w:r>
          </w:p>
        </w:tc>
        <w:tc>
          <w:tcPr>
            <w:tcW w:type="dxa" w:w="15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[Owner]</w:t>
            </w:r>
          </w:p>
        </w:tc>
      </w:tr>
      <w:tr>
        <w:tc>
          <w:tcPr>
            <w:tcW w:type="dxa" w:w="29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[Specialized vendor AI]</w:t>
            </w:r>
          </w:p>
        </w:tc>
        <w:tc>
          <w:tcPr>
            <w:tcW w:type="dxa" w:w="24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[Define]</w:t>
            </w:r>
          </w:p>
        </w:tc>
        <w:tc>
          <w:tcPr>
            <w:tcW w:type="dxa" w:w="25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[Define]</w:t>
            </w:r>
          </w:p>
        </w:tc>
        <w:tc>
          <w:tcPr>
            <w:tcW w:type="dxa" w:w="15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[Owner]</w:t>
            </w:r>
          </w:p>
        </w:tc>
      </w:tr>
    </w:tbl>
    <w:p>
      <w:pPr>
        <w:spacing w:before="220" w:after="60"/>
      </w:pPr>
      <w:r>
        <w:rPr>
          <w:b/>
          <w:bCs/>
          <w:color w:val="12A5DB"/>
          <w:sz w:val="16"/>
          <w:szCs w:val="16"/>
          <w:caps/>
          <w:rFonts w:ascii="Calibri" w:cs="Calibri" w:eastAsia="Calibri" w:hAnsi="Calibri"/>
          <w:spacing w:val="30"/>
        </w:rPr>
        <w:t xml:space="preserve">Section 6</w:t>
      </w:r>
    </w:p>
    <w:p>
      <w:pPr>
        <w:pStyle w:val="Heading1"/>
        <w:spacing w:before="340" w:after="130"/>
      </w:pPr>
      <w:r>
        <w:rPr>
          <w:b/>
          <w:bCs/>
          <w:color w:val="0B2440"/>
          <w:sz w:val="30"/>
          <w:szCs w:val="30"/>
          <w:rFonts w:ascii="Calibri" w:cs="Calibri" w:eastAsia="Calibri" w:hAnsi="Calibri"/>
        </w:rPr>
        <w:t xml:space="preserve">6. Data classification standard</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is the most important section. It converts abstract risk into a rule an employee can apply on every task.</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1700"/>
        <w:gridCol w:w="4160"/>
        <w:gridCol w:w="3500"/>
      </w:tblGrid>
      <w:tr>
        <w:trPr>
          <w:tblHeader/>
        </w:trPr>
        <w:tc>
          <w:tcPr>
            <w:tcW w:type="dxa" w:w="17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Tier</w:t>
            </w:r>
          </w:p>
        </w:tc>
        <w:tc>
          <w:tcPr>
            <w:tcW w:type="dxa" w:w="41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Examples</w:t>
            </w:r>
          </w:p>
        </w:tc>
        <w:tc>
          <w:tcPr>
            <w:tcW w:type="dxa" w:w="35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AI use rule</w:t>
            </w:r>
          </w:p>
        </w:tc>
      </w:tr>
      <w:tr>
        <w:tc>
          <w:tcPr>
            <w:tcW w:type="dxa" w:w="1700"/>
            <w:shd w:fill="FFFFFF"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Public</w:t>
            </w:r>
          </w:p>
        </w:tc>
        <w:tc>
          <w:tcPr>
            <w:tcW w:type="dxa" w:w="4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Marketing copy already published, public web content</w:t>
            </w:r>
          </w:p>
        </w:tc>
        <w:tc>
          <w:tcPr>
            <w:tcW w:type="dxa" w:w="35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Any approved tool, including public tools</w:t>
            </w:r>
          </w:p>
        </w:tc>
      </w:tr>
      <w:tr>
        <w:tc>
          <w:tcPr>
            <w:tcW w:type="dxa" w:w="1700"/>
            <w:shd w:fill="F2F6F9"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Internal</w:t>
            </w:r>
          </w:p>
        </w:tc>
        <w:tc>
          <w:tcPr>
            <w:tcW w:type="dxa" w:w="4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Internal memos, non-sensitive plans, general operations</w:t>
            </w:r>
          </w:p>
        </w:tc>
        <w:tc>
          <w:tcPr>
            <w:tcW w:type="dxa" w:w="35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Approved business-tier tools only</w:t>
            </w:r>
          </w:p>
        </w:tc>
      </w:tr>
      <w:tr>
        <w:tc>
          <w:tcPr>
            <w:tcW w:type="dxa" w:w="1700"/>
            <w:shd w:fill="FFFFFF"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Confidential</w:t>
            </w:r>
          </w:p>
        </w:tc>
        <w:tc>
          <w:tcPr>
            <w:tcW w:type="dxa" w:w="4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Contracts, pricing, strategy, non-regulated client info</w:t>
            </w:r>
          </w:p>
        </w:tc>
        <w:tc>
          <w:tcPr>
            <w:tcW w:type="dxa" w:w="35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tools contractually cleared for confidential data</w:t>
            </w:r>
          </w:p>
        </w:tc>
      </w:tr>
      <w:tr>
        <w:tc>
          <w:tcPr>
            <w:tcW w:type="dxa" w:w="1700"/>
            <w:shd w:fill="F2F6F9" w:color="auto" w:val="clear"/>
            <w:tcMar>
              <w:top w:type="dxa" w:w="70"/>
              <w:left w:type="dxa" w:w="110"/>
              <w:bottom w:type="dxa" w:w="70"/>
              <w:right w:type="dxa" w:w="110"/>
            </w:tcMar>
            <w:vAlign w:val="center"/>
          </w:tcPr>
          <w:p>
            <w:pPr>
              <w:spacing w:after="0" w:line="264"/>
            </w:pPr>
            <w:r>
              <w:rPr>
                <w:b/>
                <w:bCs/>
                <w:color w:val="9B1C1C"/>
                <w:sz w:val="19"/>
                <w:szCs w:val="19"/>
                <w:rFonts w:ascii="Calibri" w:cs="Calibri" w:eastAsia="Calibri" w:hAnsi="Calibri"/>
              </w:rPr>
              <w:t xml:space="preserve">Regulated</w:t>
            </w:r>
          </w:p>
        </w:tc>
        <w:tc>
          <w:tcPr>
            <w:tcW w:type="dxa" w:w="4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PHI (HIPAA), PII (GDPR/CCPA), card data (PCI), CJIS/CMMC</w:t>
            </w:r>
          </w:p>
        </w:tc>
        <w:tc>
          <w:tcPr>
            <w:tcW w:type="dxa" w:w="35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Never in public or personal AI. Only in a cleared, compliant environment</w:t>
            </w:r>
          </w:p>
        </w:tc>
      </w:tr>
    </w:tbl>
    <w:p>
      <w:pPr>
        <w:spacing w:after="140" w:line="276" w:before="120"/>
      </w:pPr>
      <w:r>
        <w:rPr>
          <w:color w:val="3C4A57"/>
          <w:sz w:val="21"/>
          <w:szCs w:val="21"/>
          <w:rFonts w:ascii="Calibri" w:cs="Calibri" w:eastAsia="Calibri" w:hAnsi="Calibri"/>
        </w:rPr>
        <w:t xml:space="preserve">Map these tiers to the specific regimes you answer to (HIPAA, GDPR, CCPA, PCI-DSS, CMMC), so regulated data never reaches a tool that has not been cleared for it.</w:t>
      </w:r>
    </w:p>
    <w:p>
      <w:pPr>
        <w:spacing w:before="220" w:after="60"/>
      </w:pPr>
      <w:r>
        <w:rPr>
          <w:b/>
          <w:bCs/>
          <w:color w:val="12A5DB"/>
          <w:sz w:val="16"/>
          <w:szCs w:val="16"/>
          <w:caps/>
          <w:rFonts w:ascii="Calibri" w:cs="Calibri" w:eastAsia="Calibri" w:hAnsi="Calibri"/>
          <w:spacing w:val="30"/>
        </w:rPr>
        <w:t xml:space="preserve">Section 7</w:t>
      </w:r>
    </w:p>
    <w:p>
      <w:pPr>
        <w:pStyle w:val="Heading1"/>
        <w:spacing w:before="340" w:after="130"/>
      </w:pPr>
      <w:r>
        <w:rPr>
          <w:b/>
          <w:bCs/>
          <w:color w:val="0B2440"/>
          <w:sz w:val="30"/>
          <w:szCs w:val="30"/>
          <w:rFonts w:ascii="Calibri" w:cs="Calibri" w:eastAsia="Calibri" w:hAnsi="Calibri"/>
        </w:rPr>
        <w:t xml:space="preserve">7. Human review &amp; accountability</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A qualified person must review AI-generated output before it is sent to a client, filed, billed, published, or used in any decision about a person. The individual who signs, sends, or acts on the output owns the result — accountability stays with people, not the model.</w:t>
      </w:r>
    </w:p>
    <w:p>
      <w:pPr>
        <w:spacing w:before="220" w:after="60"/>
      </w:pPr>
      <w:r>
        <w:rPr>
          <w:b/>
          <w:bCs/>
          <w:color w:val="12A5DB"/>
          <w:sz w:val="16"/>
          <w:szCs w:val="16"/>
          <w:caps/>
          <w:rFonts w:ascii="Calibri" w:cs="Calibri" w:eastAsia="Calibri" w:hAnsi="Calibri"/>
          <w:spacing w:val="30"/>
        </w:rPr>
        <w:t xml:space="preserve">Section 8</w:t>
      </w:r>
    </w:p>
    <w:p>
      <w:pPr>
        <w:pStyle w:val="Heading1"/>
        <w:spacing w:before="340" w:after="130"/>
      </w:pPr>
      <w:r>
        <w:rPr>
          <w:b/>
          <w:bCs/>
          <w:color w:val="0B2440"/>
          <w:sz w:val="30"/>
          <w:szCs w:val="30"/>
          <w:rFonts w:ascii="Calibri" w:cs="Calibri" w:eastAsia="Calibri" w:hAnsi="Calibri"/>
        </w:rPr>
        <w:t xml:space="preserve">8. Third-party &amp; vendor requirements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Your bookkeeper, marketing help, IT contractor, and software vendors all handle your data. Any one of them running it through their own ungoverned AI is exposure you inherit but cannot see. Every vendor that touches company data must confirm, in writing (see the vendor letter), that they:</w:t>
      </w:r>
    </w:p>
    <w:p>
      <w:pPr>
        <w:pStyle w:val="ListParagraph"/>
        <w:numPr>
          <w:ilvl w:val="0"/>
          <w:numId w:val="2"/>
        </w:numPr>
        <w:spacing w:after="90" w:line="272"/>
      </w:pPr>
      <w:r>
        <w:rPr>
          <w:color w:val="3C4A57"/>
          <w:sz w:val="21"/>
          <w:szCs w:val="21"/>
          <w:rFonts w:ascii="Calibri" w:cs="Calibri" w:eastAsia="Calibri" w:hAnsi="Calibri"/>
        </w:rPr>
        <w:t xml:space="preserve">Will not enter your data into public or personal AI tools;</w:t>
      </w:r>
    </w:p>
    <w:p>
      <w:pPr>
        <w:pStyle w:val="ListParagraph"/>
        <w:numPr>
          <w:ilvl w:val="0"/>
          <w:numId w:val="2"/>
        </w:numPr>
        <w:spacing w:after="90" w:line="272"/>
      </w:pPr>
      <w:r>
        <w:rPr>
          <w:color w:val="3C4A57"/>
          <w:sz w:val="21"/>
          <w:szCs w:val="21"/>
          <w:rFonts w:ascii="Calibri" w:cs="Calibri" w:eastAsia="Calibri" w:hAnsi="Calibri"/>
        </w:rPr>
        <w:t xml:space="preserve">Will not allow AI providers to train models on your data;</w:t>
      </w:r>
    </w:p>
    <w:p>
      <w:pPr>
        <w:pStyle w:val="ListParagraph"/>
        <w:numPr>
          <w:ilvl w:val="0"/>
          <w:numId w:val="2"/>
        </w:numPr>
        <w:spacing w:after="90" w:line="272"/>
      </w:pPr>
      <w:r>
        <w:rPr>
          <w:color w:val="3C4A57"/>
          <w:sz w:val="21"/>
          <w:szCs w:val="21"/>
          <w:rFonts w:ascii="Calibri" w:cs="Calibri" w:eastAsia="Calibri" w:hAnsi="Calibri"/>
        </w:rPr>
        <w:t xml:space="preserve">Isolate your data from their other customers;</w:t>
      </w:r>
    </w:p>
    <w:p>
      <w:pPr>
        <w:pStyle w:val="ListParagraph"/>
        <w:numPr>
          <w:ilvl w:val="0"/>
          <w:numId w:val="2"/>
        </w:numPr>
        <w:spacing w:after="90" w:line="272"/>
      </w:pPr>
      <w:r>
        <w:rPr>
          <w:color w:val="3C4A57"/>
          <w:sz w:val="21"/>
          <w:szCs w:val="21"/>
          <w:rFonts w:ascii="Calibri" w:cs="Calibri" w:eastAsia="Calibri" w:hAnsi="Calibri"/>
        </w:rPr>
        <w:t xml:space="preserve">Disclose any AI processing of your data and the tools involved;</w:t>
      </w:r>
    </w:p>
    <w:p>
      <w:pPr>
        <w:pStyle w:val="ListParagraph"/>
        <w:numPr>
          <w:ilvl w:val="0"/>
          <w:numId w:val="2"/>
        </w:numPr>
        <w:spacing w:after="90" w:line="272"/>
      </w:pPr>
      <w:r>
        <w:rPr>
          <w:color w:val="3C4A57"/>
          <w:sz w:val="21"/>
          <w:szCs w:val="21"/>
          <w:rFonts w:ascii="Calibri" w:cs="Calibri" w:eastAsia="Calibri" w:hAnsi="Calibri"/>
        </w:rPr>
        <w:t xml:space="preserve">Meet your data-residency requirements; and</w:t>
      </w:r>
    </w:p>
    <w:p>
      <w:pPr>
        <w:pStyle w:val="ListParagraph"/>
        <w:numPr>
          <w:ilvl w:val="0"/>
          <w:numId w:val="2"/>
        </w:numPr>
        <w:spacing w:after="90" w:line="272"/>
      </w:pPr>
      <w:r>
        <w:rPr>
          <w:color w:val="3C4A57"/>
          <w:sz w:val="21"/>
          <w:szCs w:val="21"/>
          <w:rFonts w:ascii="Calibri" w:cs="Calibri" w:eastAsia="Calibri" w:hAnsi="Calibri"/>
        </w:rPr>
        <w:t xml:space="preserve">Notify you promptly of any AI-related incident, and flow these terms down to their own subcontractors.</w:t>
      </w:r>
    </w:p>
    <w:p>
      <w:pPr>
        <w:spacing w:after="140" w:line="276" w:before="0"/>
      </w:pPr>
      <w:r>
        <w:rPr>
          <w:color w:val="3C4A57"/>
          <w:sz w:val="21"/>
          <w:szCs w:val="21"/>
          <w:rFonts w:ascii="Calibri" w:cs="Calibri" w:eastAsia="Calibri" w:hAnsi="Calibri"/>
        </w:rPr>
        <w:t xml:space="preserve">New AI vendors must be approved before they handle company data.</w:t>
      </w:r>
    </w:p>
    <w:p>
      <w:pPr>
        <w:spacing w:before="220" w:after="60"/>
      </w:pPr>
      <w:r>
        <w:rPr>
          <w:b/>
          <w:bCs/>
          <w:color w:val="12A5DB"/>
          <w:sz w:val="16"/>
          <w:szCs w:val="16"/>
          <w:caps/>
          <w:rFonts w:ascii="Calibri" w:cs="Calibri" w:eastAsia="Calibri" w:hAnsi="Calibri"/>
          <w:spacing w:val="30"/>
        </w:rPr>
        <w:t xml:space="preserve">Section 9</w:t>
      </w:r>
    </w:p>
    <w:p>
      <w:pPr>
        <w:pStyle w:val="Heading1"/>
        <w:spacing w:before="340" w:after="130"/>
      </w:pPr>
      <w:r>
        <w:rPr>
          <w:b/>
          <w:bCs/>
          <w:color w:val="0B2440"/>
          <w:sz w:val="30"/>
          <w:szCs w:val="30"/>
          <w:rFonts w:ascii="Calibri" w:cs="Calibri" w:eastAsia="Calibri" w:hAnsi="Calibri"/>
        </w:rPr>
        <w:t xml:space="preserve">9. Data residency, retention &amp; privacy</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AI tools that handle company data must operate under contractual terms the company has reviewed, must not retain your inputs beyond what is necessary to deliver the service, and must meet any residency requirements that apply to your jurisdiction or contracts (for example, US-only storage). Where regulated data is involved, the tool must be covered by the appropriate agreement (e.g., a HIPAA Business Associate Agreement) before any such data is processed.</w:t>
      </w:r>
    </w:p>
    <w:p>
      <w:pPr>
        <w:spacing w:before="220" w:after="60"/>
      </w:pPr>
      <w:r>
        <w:rPr>
          <w:b/>
          <w:bCs/>
          <w:color w:val="12A5DB"/>
          <w:sz w:val="16"/>
          <w:szCs w:val="16"/>
          <w:caps/>
          <w:rFonts w:ascii="Calibri" w:cs="Calibri" w:eastAsia="Calibri" w:hAnsi="Calibri"/>
          <w:spacing w:val="30"/>
        </w:rPr>
        <w:t xml:space="preserve">Section 10</w:t>
      </w:r>
    </w:p>
    <w:p>
      <w:pPr>
        <w:pStyle w:val="Heading1"/>
        <w:spacing w:before="340" w:after="130"/>
      </w:pPr>
      <w:r>
        <w:rPr>
          <w:b/>
          <w:bCs/>
          <w:color w:val="0B2440"/>
          <w:sz w:val="30"/>
          <w:szCs w:val="30"/>
          <w:rFonts w:ascii="Calibri" w:cs="Calibri" w:eastAsia="Calibri" w:hAnsi="Calibri"/>
        </w:rPr>
        <w:t xml:space="preserve">10. Monitoring &amp; enforcement</w:t>
      </w:r>
    </w:p>
    <w:p>
      <w:pPr>
        <w:pBdr>
          <w:bottom w:val="single" w:color="12A5DB" w:sz="6"/>
        </w:pBdr>
        <w:spacing w:before="60" w:after="160"/>
      </w:pPr>
    </w:p>
    <w:p>
      <w:pPr>
        <w:spacing w:after="140" w:line="276" w:before="0"/>
      </w:pPr>
      <w:r>
        <w:rPr>
          <w:b/>
          <w:bCs/>
          <w:color w:val="0C1622"/>
          <w:sz w:val="21"/>
          <w:szCs w:val="21"/>
          <w:rFonts w:ascii="Calibri" w:cs="Calibri" w:eastAsia="Calibri" w:hAnsi="Calibri"/>
        </w:rPr>
        <w:t xml:space="preserve">A policy you cannot see being followed is a hope, not a control. </w:t>
      </w:r>
      <w:r>
        <w:rPr>
          <w:color w:val="3C4A57"/>
          <w:sz w:val="21"/>
          <w:szCs w:val="21"/>
          <w:rFonts w:ascii="Calibri" w:cs="Calibri" w:eastAsia="Calibri" w:hAnsi="Calibri"/>
        </w:rPr>
        <w:t xml:space="preserve">Most organizations cannot produce a list, today, of every AI tool their team used this week — which means the usage they are worried about is the usage they cannot see.</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Shadow AI Discovery — included on every i-NETT managed plan</w:t>
            </w:r>
          </w:p>
          <w:p>
            <w:pPr>
              <w:spacing w:after="80" w:line="272"/>
            </w:pPr>
            <w:r>
              <w:rPr>
                <w:b/>
                <w:bCs/>
                <w:color w:val="0B2440"/>
                <w:sz w:val="21"/>
                <w:szCs w:val="21"/>
                <w:rFonts w:ascii="Calibri" w:cs="Calibri" w:eastAsia="Calibri" w:hAnsi="Calibri"/>
              </w:rPr>
              <w:t xml:space="preserve">Visibility: </w:t>
            </w:r>
            <w:r>
              <w:rPr>
                <w:color w:val="0C1622"/>
                <w:sz w:val="21"/>
                <w:szCs w:val="21"/>
                <w:rFonts w:ascii="Calibri" w:cs="Calibri" w:eastAsia="Calibri" w:hAnsi="Calibri"/>
              </w:rPr>
              <w:t xml:space="preserve">see exactly which AI tools and LLMs your team is using, across company and personal accounts.</w:t>
            </w:r>
          </w:p>
          <w:p>
            <w:pPr>
              <w:spacing w:after="80" w:line="272"/>
            </w:pPr>
            <w:r>
              <w:rPr>
                <w:b/>
                <w:bCs/>
                <w:color w:val="0B2440"/>
                <w:sz w:val="21"/>
                <w:szCs w:val="21"/>
                <w:rFonts w:ascii="Calibri" w:cs="Calibri" w:eastAsia="Calibri" w:hAnsi="Calibri"/>
              </w:rPr>
              <w:t xml:space="preserve">Control: </w:t>
            </w:r>
            <w:r>
              <w:rPr>
                <w:color w:val="0C1622"/>
                <w:sz w:val="21"/>
                <w:szCs w:val="21"/>
                <w:rFonts w:ascii="Calibri" w:cs="Calibri" w:eastAsia="Calibri" w:hAnsi="Calibri"/>
              </w:rPr>
              <w:t xml:space="preserve">block specific or unapproved LLMs from being accessed at all — so sensitive data cannot leave through a tool you never approved.</w:t>
            </w:r>
          </w:p>
          <w:p>
            <w:pPr>
              <w:spacing w:after="0" w:line="272"/>
            </w:pPr>
            <w:r>
              <w:rPr>
                <w:b/>
                <w:bCs/>
                <w:color w:val="0B2440"/>
                <w:sz w:val="21"/>
                <w:szCs w:val="21"/>
                <w:rFonts w:ascii="Calibri" w:cs="Calibri" w:eastAsia="Calibri" w:hAnsi="Calibri"/>
              </w:rPr>
              <w:t xml:space="preserve">Enablement: </w:t>
            </w:r>
            <w:r>
              <w:rPr>
                <w:color w:val="0C1622"/>
                <w:sz w:val="21"/>
                <w:szCs w:val="21"/>
                <w:rFonts w:ascii="Calibri" w:cs="Calibri" w:eastAsia="Calibri" w:hAnsi="Calibri"/>
              </w:rPr>
              <w:t xml:space="preserve">keep the tools that help, shut off the ones that put you at risk, and give every employee an approved, compliant path that is also the convenient one.</w:t>
            </w:r>
          </w:p>
        </w:tc>
      </w:tr>
    </w:tbl>
    <w:p>
      <w:pPr>
        <w:spacing w:after="140" w:line="276" w:before="120"/>
      </w:pPr>
      <w:r>
        <w:rPr>
          <w:color w:val="3C4A57"/>
          <w:sz w:val="21"/>
          <w:szCs w:val="21"/>
          <w:rFonts w:ascii="Calibri" w:cs="Calibri" w:eastAsia="Calibri" w:hAnsi="Calibri"/>
        </w:rPr>
        <w:t xml:space="preserve">The compliant path must be the convenient path. When people have an approved tool that works, and unapproved tools are blocked, the policy enforces itself.</w:t>
      </w:r>
    </w:p>
    <w:p>
      <w:pPr>
        <w:spacing w:before="220" w:after="60"/>
      </w:pPr>
      <w:r>
        <w:rPr>
          <w:b/>
          <w:bCs/>
          <w:color w:val="12A5DB"/>
          <w:sz w:val="16"/>
          <w:szCs w:val="16"/>
          <w:caps/>
          <w:rFonts w:ascii="Calibri" w:cs="Calibri" w:eastAsia="Calibri" w:hAnsi="Calibri"/>
          <w:spacing w:val="30"/>
        </w:rPr>
        <w:t xml:space="preserve">Section 11</w:t>
      </w:r>
    </w:p>
    <w:p>
      <w:pPr>
        <w:pStyle w:val="Heading1"/>
        <w:spacing w:before="340" w:after="130"/>
      </w:pPr>
      <w:r>
        <w:rPr>
          <w:b/>
          <w:bCs/>
          <w:color w:val="0B2440"/>
          <w:sz w:val="30"/>
          <w:szCs w:val="30"/>
          <w:rFonts w:ascii="Calibri" w:cs="Calibri" w:eastAsia="Calibri" w:hAnsi="Calibri"/>
        </w:rPr>
        <w:t xml:space="preserve">11. Incident handling</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If sensitive data is exposed to an unapproved tool, report it promptly through [defined channel — e.g., report to the policy owner or IT]. The goal is fast containment, not blame; early reporting limits exposure. The policy owner logs the incident, coordinates containment, and ties into the company’s existing breach-response process where regulated data is involved.</w:t>
      </w:r>
    </w:p>
    <w:p>
      <w:pPr>
        <w:spacing w:before="220" w:after="60"/>
      </w:pPr>
      <w:r>
        <w:rPr>
          <w:b/>
          <w:bCs/>
          <w:color w:val="12A5DB"/>
          <w:sz w:val="16"/>
          <w:szCs w:val="16"/>
          <w:caps/>
          <w:rFonts w:ascii="Calibri" w:cs="Calibri" w:eastAsia="Calibri" w:hAnsi="Calibri"/>
          <w:spacing w:val="30"/>
        </w:rPr>
        <w:t xml:space="preserve">Section 12</w:t>
      </w:r>
    </w:p>
    <w:p>
      <w:pPr>
        <w:pStyle w:val="Heading1"/>
        <w:spacing w:before="340" w:after="130"/>
      </w:pPr>
      <w:r>
        <w:rPr>
          <w:b/>
          <w:bCs/>
          <w:color w:val="0B2440"/>
          <w:sz w:val="30"/>
          <w:szCs w:val="30"/>
          <w:rFonts w:ascii="Calibri" w:cs="Calibri" w:eastAsia="Calibri" w:hAnsi="Calibri"/>
        </w:rPr>
        <w:t xml:space="preserve">12. Training &amp; enablement</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Skill with AI is the difference between a toy and a tool. Every employee should receive practical coaching on using approved tools well and safely — how to write effective prompts, when to keep a human in the loop, and how to apply the data-classification rules. New hires complete this as part of onboarding.</w:t>
      </w:r>
    </w:p>
    <w:p>
      <w:pPr>
        <w:spacing w:before="220" w:after="60"/>
      </w:pPr>
      <w:r>
        <w:rPr>
          <w:b/>
          <w:bCs/>
          <w:color w:val="12A5DB"/>
          <w:sz w:val="16"/>
          <w:szCs w:val="16"/>
          <w:caps/>
          <w:rFonts w:ascii="Calibri" w:cs="Calibri" w:eastAsia="Calibri" w:hAnsi="Calibri"/>
          <w:spacing w:val="30"/>
        </w:rPr>
        <w:t xml:space="preserve">Section 13</w:t>
      </w:r>
    </w:p>
    <w:p>
      <w:pPr>
        <w:pStyle w:val="Heading1"/>
        <w:spacing w:before="340" w:after="130"/>
      </w:pPr>
      <w:r>
        <w:rPr>
          <w:b/>
          <w:bCs/>
          <w:color w:val="0B2440"/>
          <w:sz w:val="30"/>
          <w:szCs w:val="30"/>
          <w:rFonts w:ascii="Calibri" w:cs="Calibri" w:eastAsia="Calibri" w:hAnsi="Calibri"/>
        </w:rPr>
        <w:t xml:space="preserve">13. Ownership, review &amp; version control</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The named policy owner maintains this document and the approved-tools list. The policy is reviewed at least every six months, and immediately after any material change in tools, regulation, or an incident. Each version is dated and numbered so everyone knows they are reading the current rules.</w:t>
      </w:r>
    </w:p>
    <w:p>
      <w:r>
        <w:br w:type="page"/>
      </w:r>
    </w:p>
    <w:p>
      <w:pPr>
        <w:spacing w:before="220" w:after="60"/>
      </w:pPr>
      <w:r>
        <w:rPr>
          <w:b/>
          <w:bCs/>
          <w:color w:val="12A5DB"/>
          <w:sz w:val="16"/>
          <w:szCs w:val="16"/>
          <w:caps/>
          <w:rFonts w:ascii="Calibri" w:cs="Calibri" w:eastAsia="Calibri" w:hAnsi="Calibri"/>
          <w:spacing w:val="30"/>
        </w:rPr>
        <w:t xml:space="preserve">Appendix A</w:t>
      </w:r>
    </w:p>
    <w:p>
      <w:pPr>
        <w:pStyle w:val="Heading1"/>
        <w:spacing w:before="340" w:after="130"/>
      </w:pPr>
      <w:r>
        <w:rPr>
          <w:b/>
          <w:bCs/>
          <w:color w:val="0B2440"/>
          <w:sz w:val="30"/>
          <w:szCs w:val="30"/>
          <w:rFonts w:ascii="Calibri" w:cs="Calibri" w:eastAsia="Calibri" w:hAnsi="Calibri"/>
        </w:rPr>
        <w:t xml:space="preserve">Appendix A — Data classification quick reference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Print this and keep it where people work. When in doubt, classify up.</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4680"/>
        <w:gridCol w:w="4680"/>
      </w:tblGrid>
      <w:tr>
        <w:trPr>
          <w:tblHeader/>
        </w:trPr>
        <w:tc>
          <w:tcPr>
            <w:tcW w:type="dxa" w:w="468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If the information is…</w:t>
            </w:r>
          </w:p>
        </w:tc>
        <w:tc>
          <w:tcPr>
            <w:tcW w:type="dxa" w:w="468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Then…</w:t>
            </w:r>
          </w:p>
        </w:tc>
      </w:tr>
      <w:tr>
        <w:tc>
          <w:tcPr>
            <w:tcW w:type="dxa" w:w="468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Already public</w:t>
            </w:r>
          </w:p>
        </w:tc>
        <w:tc>
          <w:tcPr>
            <w:tcW w:type="dxa" w:w="468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Any approved tool is fine</w:t>
            </w:r>
          </w:p>
        </w:tc>
      </w:tr>
      <w:tr>
        <w:tc>
          <w:tcPr>
            <w:tcW w:type="dxa" w:w="468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Internal but not sensitive</w:t>
            </w:r>
          </w:p>
        </w:tc>
        <w:tc>
          <w:tcPr>
            <w:tcW w:type="dxa" w:w="468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Approved business-tier tools only</w:t>
            </w:r>
          </w:p>
        </w:tc>
      </w:tr>
      <w:tr>
        <w:tc>
          <w:tcPr>
            <w:tcW w:type="dxa" w:w="468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Confidential (contracts, pricing, client info)</w:t>
            </w:r>
          </w:p>
        </w:tc>
        <w:tc>
          <w:tcPr>
            <w:tcW w:type="dxa" w:w="468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tools cleared for confidential data</w:t>
            </w:r>
          </w:p>
        </w:tc>
      </w:tr>
      <w:tr>
        <w:tc>
          <w:tcPr>
            <w:tcW w:type="dxa" w:w="4680"/>
            <w:shd w:fill="F2F6F9" w:color="auto" w:val="clear"/>
            <w:tcMar>
              <w:top w:type="dxa" w:w="70"/>
              <w:left w:type="dxa" w:w="110"/>
              <w:bottom w:type="dxa" w:w="70"/>
              <w:right w:type="dxa" w:w="110"/>
            </w:tcMar>
            <w:vAlign w:val="center"/>
          </w:tcPr>
          <w:p>
            <w:pPr>
              <w:spacing w:after="0" w:line="264"/>
            </w:pPr>
            <w:r>
              <w:rPr>
                <w:b/>
                <w:bCs/>
                <w:color w:val="9B1C1C"/>
                <w:sz w:val="19"/>
                <w:szCs w:val="19"/>
                <w:rFonts w:ascii="Calibri" w:cs="Calibri" w:eastAsia="Calibri" w:hAnsi="Calibri"/>
              </w:rPr>
              <w:t xml:space="preserve">Regulated (PHI, PII, card, government)</w:t>
            </w:r>
          </w:p>
        </w:tc>
        <w:tc>
          <w:tcPr>
            <w:tcW w:type="dxa" w:w="4680"/>
            <w:shd w:fill="F2F6F9"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Never in public/personal AI — cleared, compliant environment only</w:t>
            </w:r>
          </w:p>
        </w:tc>
      </w:tr>
    </w:tbl>
    <w:p>
      <w:pPr>
        <w:pBdr>
          <w:top w:val="single" w:color="DCE4EA" w:sz="2"/>
        </w:pBdr>
        <w:spacing w:before="500"/>
      </w:pPr>
      <w:r>
        <w:rPr>
          <w:i/>
          <w:iCs/>
          <w:color w:val="6B7C8B"/>
          <w:sz w:val="17"/>
          <w:szCs w:val="17"/>
          <w:rFonts w:ascii="Calibri" w:cs="Calibri" w:eastAsia="Calibri" w:hAnsi="Calibri"/>
        </w:rPr>
        <w:t xml:space="preserve">This framework is a starting point, not legal advice. Review with qualified counsel before adoption. Provided by i-NETT / Fortify AI.</w:t>
      </w:r>
    </w:p>
    <w:sectPr>
      <w:footerReference w:type="default" r:id="rId6"/>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4EA" w:sz="2"/>
      </w:pBdr>
      <w:spacing w:before="80"/>
    </w:pPr>
    <w:r>
      <w:rPr>
        <w:color w:val="6B7C8B"/>
        <w:sz w:val="15"/>
        <w:szCs w:val="15"/>
        <w:rFonts w:ascii="Calibri" w:cs="Calibri" w:eastAsia="Calibri" w:hAnsi="Calibri"/>
      </w:rPr>
      <w:t xml:space="preserve">i-NETT · Fortify AI</w:t>
    </w:r>
    <w:r>
      <w:rPr>
        <w:color w:val="6B7C8B"/>
        <w:sz w:val="15"/>
        <w:szCs w:val="15"/>
        <w:rFonts w:ascii="Calibri" w:cs="Calibri" w:eastAsia="Calibri" w:hAnsi="Calibri"/>
      </w:rPr>
      <w:ptab w:alignment="center" w:relativeTo="margin" w:leader="none"/>
    </w:r>
    <w:r>
      <w:rPr>
        <w:color w:val="6B7C8B"/>
        <w:sz w:val="15"/>
        <w:szCs w:val="15"/>
        <w:rFonts w:ascii="Calibri" w:cs="Calibri" w:eastAsia="Calibri" w:hAnsi="Calibri"/>
      </w:rPr>
      <w:t xml:space="preserve">AI Usage Policy Framework</w:t>
    </w:r>
    <w:r>
      <w:rPr>
        <w:color w:val="6B7C8B"/>
        <w:sz w:val="15"/>
        <w:szCs w:val="15"/>
        <w:rFonts w:ascii="Calibri" w:cs="Calibri" w:eastAsia="Calibri" w:hAnsi="Calibri"/>
      </w:rPr>
      <w:ptab w:alignment="right" w:relativeTo="margin" w:leader="none"/>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2A5DB"/>
      </w:rPr>
    </w:lvl>
  </w:abstractNum>
  <w:abstractNum w:abstractNumId="3" w15:restartNumberingAfterBreak="0">
    <w:multiLevelType w:val="hybridMultilevel"/>
    <w:lvl w:ilvl="0" w15:tentative="1">
      <w:start w:val="1"/>
      <w:numFmt w:val="decimal"/>
      <w:lvlText w:val="%1."/>
      <w:lvlJc w:val="left"/>
      <w:pPr>
        <w:ind w:left="360" w:hanging="260"/>
      </w:pPr>
      <w:rPr>
        <w:b/>
        <w:bCs/>
        <w:color w:val="0B2440"/>
      </w:rPr>
    </w:lvl>
  </w:abstractNum>
  <w:abstractNum w:abstractNumId="4" w15:restartNumberingAfterBreak="0">
    <w:multiLevelType w:val="hybridMultilevel"/>
    <w:lvl w:ilvl="0" w15:tentative="1">
      <w:start w:val="1"/>
      <w:numFmt w:val="decimal"/>
      <w:lvlText w:val="%1."/>
      <w:lvlJc w:val="left"/>
      <w:pPr>
        <w:ind w:left="400" w:hanging="300"/>
      </w:pPr>
      <w:rPr>
        <w:b/>
        <w:bCs/>
        <w:color w:val="0B24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C4A5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2026-08-18T19:47:44.331Z</dcterms:created>
  <dcterms:modified xsi:type="dcterms:W3CDTF">2026-08-18T19:47:44.333Z</dcterms:modified>
</cp:coreProperties>
</file>

<file path=docProps/custom.xml><?xml version="1.0" encoding="utf-8"?>
<Properties xmlns="http://schemas.openxmlformats.org/officeDocument/2006/custom-properties" xmlns:vt="http://schemas.openxmlformats.org/officeDocument/2006/docPropsVTypes"/>
</file>