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i-NETT</w:t>
      </w:r>
      <w:r>
        <w:rPr>
          <w:b/>
          <w:bCs/>
          <w:color w:val="12A5DB"/>
          <w:sz w:val="17"/>
          <w:szCs w:val="17"/>
          <w:rFonts w:ascii="Calibri" w:cs="Calibri" w:eastAsia="Calibri" w:hAnsi="Calibri"/>
          <w:spacing w:val="20"/>
        </w:rPr>
        <w:t xml:space="preserve">  ·  FORTIFY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IMPLEMENTATION CHECKLIST</w:t>
      </w:r>
    </w:p>
    <w:p>
      <w:pPr>
        <w:spacing w:after="12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AI Policy Rollout — 30-Day Plan</w:t>
      </w:r>
    </w:p>
    <w:p>
      <w:pPr>
        <w:spacing w:after="22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Work top to bottom. Most organizations complete this in about 30 days. i-NETT can run the enforcement steps (Discovery and blocking) for you as part of any managed plan.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1 — Assess (Days 1–5)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See what is actually happening before you write a rule.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Run a Shadow AI discovery to inventory which AI tools and LLMs are in use — company and personal accounts.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List the data types your organization handles (client, patient, financial, PII, regulated).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List the outside vendors who touch your data.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Identify the regulations that apply (HIPAA, GDPR/CCPA, PCI, CMMC).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2 — Define (Days 5–12)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Turn the framework into your specifics.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Name the policy owner.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Fill in the data-classification tiers with your real examples.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Build the approved-tools list (cleared-for-confidential vs. public-only).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Adapt the policy placeholders and have counsel review.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3 — Deploy (Days 12–20)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Put the compliant path in front of people.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Provision approved, business-tier AI tools for staff.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Distribute the AI Usage Policy to all staff.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Collect signed employee acknowledgment letters.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Send the vendor letter to every vendor that touches your data; track signatures.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4 — Enforce (Days 18–25)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Make the policy something you can see being followed.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Turn on Shadow AI Discovery for ongoing visibility.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Block unapproved / high-risk LLMs from being accessed.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Confirm regulated data is only reachable through cleared, compliant tools.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5 — Sustain (Ongoing)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Keep it current — AI tools and their terms change fast.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Deliver practical AI coaching to every employee; add it to onboarding.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Set the review cadence (at least every 6 months) and calendar it.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Log and review any incidents; update the policy after material changes.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Re-run discovery periodically to catch new shadow AI.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Bdr>
          <w:top w:val="single" w:color="DCE4EA" w:sz="2"/>
        </w:pBdr>
        <w:spacing w:before="3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Provided by i-NETT / Fortify AI  ·  i-nett.ai  ·  (858) 337-2866. Want us to run the enforcement steps for you? Book a 30-minute review at i-nett.ai/resources.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i-NETT · 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Usage Policy Framework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2026-08-18T23:43:32.238Z</dcterms:created>
  <dcterms:modified xsi:type="dcterms:W3CDTF">2026-08-18T23:43:32.238Z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