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8000"/>
        <w:gridCol w:w="1780"/>
      </w:tblGrid>
      <w:tr w:rsidR="00DD13AE">
        <w:trPr>
          <w:trHeight w:val="201"/>
        </w:trPr>
        <w:tc>
          <w:tcPr>
            <w:tcW w:w="8000" w:type="dxa"/>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rFonts w:ascii="Agency FB" w:hAnsi="Agency FB" w:cs="Agency FB"/>
                <w:color w:val="1D258F"/>
                <w:sz w:val="17"/>
                <w:szCs w:val="17"/>
              </w:rPr>
              <w:t>Ali: Bioinformatical Analysis of HGPRT Transferase from Different Malaria Parasite Plasmodium spp. Using Computational Tools</w:t>
            </w:r>
          </w:p>
        </w:tc>
        <w:tc>
          <w:tcPr>
            <w:tcW w:w="1780" w:type="dxa"/>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(242-246)</w:t>
            </w:r>
          </w:p>
        </w:tc>
      </w:tr>
    </w:tbl>
    <w:p w:rsidR="00DD13AE" w:rsidRDefault="00DD13AE">
      <w:pPr>
        <w:widowControl w:val="0"/>
        <w:autoSpaceDE w:val="0"/>
        <w:autoSpaceDN w:val="0"/>
        <w:adjustRightInd w:val="0"/>
        <w:spacing w:after="0" w:line="49" w:lineRule="exact"/>
        <w:rPr>
          <w:rFonts w:ascii="Times New Roman" w:hAnsi="Times New Roman" w:cs="Times New Roman"/>
          <w:sz w:val="24"/>
          <w:szCs w:val="24"/>
        </w:rPr>
      </w:pPr>
    </w:p>
    <w:p w:rsidR="00DD13AE" w:rsidRPr="005166EC" w:rsidRDefault="00C5634D">
      <w:pPr>
        <w:widowControl w:val="0"/>
        <w:autoSpaceDE w:val="0"/>
        <w:autoSpaceDN w:val="0"/>
        <w:adjustRightInd w:val="0"/>
        <w:spacing w:after="0" w:line="240" w:lineRule="auto"/>
        <w:rPr>
          <w:rFonts w:ascii="Times New Roman" w:hAnsi="Times New Roman" w:cs="Times New Roman"/>
          <w:sz w:val="16"/>
          <w:szCs w:val="24"/>
        </w:rPr>
      </w:pPr>
      <w:r w:rsidRPr="005166EC">
        <w:rPr>
          <w:rFonts w:ascii="Times New Roman" w:hAnsi="Times New Roman" w:cs="Times New Roman"/>
          <w:b/>
          <w:bCs/>
          <w:sz w:val="28"/>
          <w:szCs w:val="36"/>
        </w:rPr>
        <w:t>Research Article</w:t>
      </w:r>
    </w:p>
    <w:p w:rsidR="00DD13AE" w:rsidRDefault="00DD13AE">
      <w:pPr>
        <w:widowControl w:val="0"/>
        <w:autoSpaceDE w:val="0"/>
        <w:autoSpaceDN w:val="0"/>
        <w:adjustRightInd w:val="0"/>
        <w:spacing w:after="0" w:line="32"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389"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0" w:lineRule="auto"/>
        <w:ind w:right="1060"/>
        <w:rPr>
          <w:rFonts w:ascii="Times New Roman" w:hAnsi="Times New Roman" w:cs="Times New Roman"/>
          <w:sz w:val="24"/>
          <w:szCs w:val="24"/>
        </w:rPr>
      </w:pPr>
      <w:r>
        <w:rPr>
          <w:rFonts w:ascii="Times New Roman" w:hAnsi="Times New Roman" w:cs="Times New Roman"/>
          <w:b/>
          <w:bCs/>
          <w:color w:val="1D258F"/>
          <w:sz w:val="38"/>
          <w:szCs w:val="38"/>
        </w:rPr>
        <w:t>Bioinformatical Analysis of HGPRT Transferase from Different Malaria Parasite Plasmodium spp. Using Computational Tools</w:t>
      </w:r>
    </w:p>
    <w:p w:rsidR="00DD13AE" w:rsidRDefault="00DD13AE">
      <w:pPr>
        <w:widowControl w:val="0"/>
        <w:autoSpaceDE w:val="0"/>
        <w:autoSpaceDN w:val="0"/>
        <w:adjustRightInd w:val="0"/>
        <w:spacing w:after="0" w:line="268"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Nahla Osman Mohamed Ali</w:t>
      </w:r>
    </w:p>
    <w:p w:rsidR="00DD13AE" w:rsidRDefault="00DD13AE">
      <w:pPr>
        <w:widowControl w:val="0"/>
        <w:autoSpaceDE w:val="0"/>
        <w:autoSpaceDN w:val="0"/>
        <w:adjustRightInd w:val="0"/>
        <w:spacing w:after="0" w:line="132" w:lineRule="exact"/>
        <w:rPr>
          <w:rFonts w:ascii="Times New Roman" w:hAnsi="Times New Roman" w:cs="Times New Roman"/>
          <w:sz w:val="24"/>
          <w:szCs w:val="24"/>
        </w:rPr>
      </w:pPr>
      <w:r w:rsidRPr="00DD13AE">
        <w:rPr>
          <w:noProof/>
        </w:rPr>
        <w:pict>
          <v:line id="_x0000_s1028" style="position:absolute;z-index:-251656192" from="0,4.6pt" to="489pt,4.6pt" o:allowincell="f" strokeweight="1pt"/>
        </w:pict>
      </w: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Department of Parasitology, Faculty of Veterinary Medicine, University of Khartoum, Khartoum North 13314, SUDAN</w: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dr_nahla2004@yahoo.com</w: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336"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DD13AE" w:rsidRDefault="00DD13AE">
      <w:pPr>
        <w:widowControl w:val="0"/>
        <w:autoSpaceDE w:val="0"/>
        <w:autoSpaceDN w:val="0"/>
        <w:adjustRightInd w:val="0"/>
        <w:spacing w:after="0" w:line="139"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52" w:lineRule="auto"/>
        <w:ind w:right="1140"/>
        <w:jc w:val="both"/>
        <w:rPr>
          <w:rFonts w:ascii="Times New Roman" w:hAnsi="Times New Roman" w:cs="Times New Roman"/>
          <w:sz w:val="24"/>
          <w:szCs w:val="24"/>
        </w:rPr>
      </w:pPr>
      <w:r>
        <w:rPr>
          <w:rFonts w:ascii="Times New Roman" w:hAnsi="Times New Roman" w:cs="Times New Roman"/>
          <w:sz w:val="18"/>
          <w:szCs w:val="18"/>
        </w:rPr>
        <w:t xml:space="preserve">In this study, HGPRT transferases from different malaria parasite </w:t>
      </w:r>
      <w:r>
        <w:rPr>
          <w:rFonts w:ascii="Times New Roman" w:hAnsi="Times New Roman" w:cs="Times New Roman"/>
          <w:i/>
          <w:iCs/>
          <w:sz w:val="18"/>
          <w:szCs w:val="18"/>
        </w:rPr>
        <w:t>Plasmodium</w:t>
      </w:r>
      <w:r>
        <w:rPr>
          <w:rFonts w:ascii="Times New Roman" w:hAnsi="Times New Roman" w:cs="Times New Roman"/>
          <w:sz w:val="18"/>
          <w:szCs w:val="18"/>
        </w:rPr>
        <w:t xml:space="preserve"> species was analyzed and presented in this communication. The composition of leucine, lysine and Isoleucine were the highest while lowest concentrations of tryptophan and glutamine residues were noticed when compared to other amino acids. pI value of </w:t>
      </w:r>
      <w:r>
        <w:rPr>
          <w:rFonts w:ascii="Times New Roman" w:hAnsi="Times New Roman" w:cs="Times New Roman"/>
          <w:i/>
          <w:iCs/>
          <w:sz w:val="18"/>
          <w:szCs w:val="18"/>
        </w:rPr>
        <w:t>P. reichenowi</w:t>
      </w:r>
      <w:r>
        <w:rPr>
          <w:rFonts w:ascii="Times New Roman" w:hAnsi="Times New Roman" w:cs="Times New Roman"/>
          <w:sz w:val="18"/>
          <w:szCs w:val="18"/>
        </w:rPr>
        <w:t xml:space="preserve"> HGPRT was 7.59 while the lowest pI of 6.22 was shown by </w:t>
      </w:r>
      <w:r>
        <w:rPr>
          <w:rFonts w:ascii="Times New Roman" w:hAnsi="Times New Roman" w:cs="Times New Roman"/>
          <w:i/>
          <w:iCs/>
          <w:sz w:val="18"/>
          <w:szCs w:val="18"/>
        </w:rPr>
        <w:t>P. chabaudi</w:t>
      </w:r>
      <w:r>
        <w:rPr>
          <w:rFonts w:ascii="Times New Roman" w:hAnsi="Times New Roman" w:cs="Times New Roman"/>
          <w:sz w:val="18"/>
          <w:szCs w:val="18"/>
        </w:rPr>
        <w:t xml:space="preserve"> HGPRT. The instability index of all the transferases is varied, but for all of them it was less than 40, which indicates that all of them are stable. The aliphatic index was found to span within a range of 83 to 97. Secondary structural analysis of the transferases showed the pre-dominance of random coils followed by extended strands for all the transferases except </w:t>
      </w:r>
      <w:r>
        <w:rPr>
          <w:rFonts w:ascii="Times New Roman" w:hAnsi="Times New Roman" w:cs="Times New Roman"/>
          <w:i/>
          <w:iCs/>
          <w:sz w:val="18"/>
          <w:szCs w:val="18"/>
        </w:rPr>
        <w:t>P. falciparum</w:t>
      </w:r>
      <w:r>
        <w:rPr>
          <w:rFonts w:ascii="Times New Roman" w:hAnsi="Times New Roman" w:cs="Times New Roman"/>
          <w:sz w:val="18"/>
          <w:szCs w:val="18"/>
        </w:rPr>
        <w:t xml:space="preserve">, </w:t>
      </w:r>
      <w:r>
        <w:rPr>
          <w:rFonts w:ascii="Times New Roman" w:hAnsi="Times New Roman" w:cs="Times New Roman"/>
          <w:i/>
          <w:iCs/>
          <w:sz w:val="18"/>
          <w:szCs w:val="18"/>
        </w:rPr>
        <w:t>P. Knowlesi</w:t>
      </w:r>
      <w:r>
        <w:rPr>
          <w:rFonts w:ascii="Times New Roman" w:hAnsi="Times New Roman" w:cs="Times New Roman"/>
          <w:sz w:val="18"/>
          <w:szCs w:val="18"/>
        </w:rPr>
        <w:t xml:space="preserve"> and </w:t>
      </w:r>
      <w:r>
        <w:rPr>
          <w:rFonts w:ascii="Times New Roman" w:hAnsi="Times New Roman" w:cs="Times New Roman"/>
          <w:i/>
          <w:iCs/>
          <w:sz w:val="18"/>
          <w:szCs w:val="18"/>
        </w:rPr>
        <w:t>P. reichenowi</w:t>
      </w:r>
      <w:r>
        <w:rPr>
          <w:rFonts w:ascii="Times New Roman" w:hAnsi="Times New Roman" w:cs="Times New Roman"/>
          <w:sz w:val="18"/>
          <w:szCs w:val="18"/>
        </w:rPr>
        <w:t xml:space="preserve"> HGPRT transferase. The significance of the above results is discussed in the light of existing literature.</w: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25"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HGPRT – Phosphoribosyltransferase -</w:t>
      </w:r>
      <w:r>
        <w:rPr>
          <w:rFonts w:ascii="Times New Roman" w:hAnsi="Times New Roman" w:cs="Times New Roman"/>
          <w:b/>
          <w:bCs/>
          <w:color w:val="1D258F"/>
          <w:sz w:val="18"/>
          <w:szCs w:val="18"/>
        </w:rPr>
        <w:t xml:space="preserve"> </w:t>
      </w:r>
      <w:r>
        <w:rPr>
          <w:rFonts w:ascii="Times New Roman" w:hAnsi="Times New Roman" w:cs="Times New Roman"/>
          <w:i/>
          <w:iCs/>
          <w:color w:val="1D258F"/>
          <w:sz w:val="18"/>
          <w:szCs w:val="18"/>
        </w:rPr>
        <w:t>Plasmodium spp.</w:t>
      </w:r>
      <w:r>
        <w:rPr>
          <w:rFonts w:ascii="Times New Roman" w:hAnsi="Times New Roman" w:cs="Times New Roman"/>
          <w:b/>
          <w:bCs/>
          <w:color w:val="1D258F"/>
          <w:sz w:val="18"/>
          <w:szCs w:val="18"/>
        </w:rPr>
        <w:t xml:space="preserve"> </w:t>
      </w:r>
      <w:r>
        <w:rPr>
          <w:rFonts w:ascii="Times New Roman" w:hAnsi="Times New Roman" w:cs="Times New Roman"/>
          <w:color w:val="1D258F"/>
          <w:sz w:val="18"/>
          <w:szCs w:val="18"/>
        </w:rPr>
        <w:t>- Bioinformatics – Secondary structure</w:t>
      </w:r>
    </w:p>
    <w:p w:rsidR="00DD13AE" w:rsidRDefault="005166EC">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DD13AE" w:rsidRDefault="00C5634D">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DD13AE" w:rsidRDefault="00DD13AE">
      <w:pPr>
        <w:widowControl w:val="0"/>
        <w:autoSpaceDE w:val="0"/>
        <w:autoSpaceDN w:val="0"/>
        <w:adjustRightInd w:val="0"/>
        <w:spacing w:after="0" w:line="188"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DD13AE" w:rsidRDefault="00DD13AE">
      <w:pPr>
        <w:widowControl w:val="0"/>
        <w:autoSpaceDE w:val="0"/>
        <w:autoSpaceDN w:val="0"/>
        <w:adjustRightInd w:val="0"/>
        <w:spacing w:after="0" w:line="5"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360"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r>
        <w:rPr>
          <w:rFonts w:ascii="Helvetica" w:hAnsi="Helvetica" w:cs="Helvetica"/>
          <w:b/>
          <w:bCs/>
          <w:color w:val="1D258F"/>
          <w:sz w:val="23"/>
          <w:szCs w:val="23"/>
        </w:rPr>
        <w:t>:</w:t>
      </w:r>
    </w:p>
    <w:p w:rsidR="00DD13AE" w:rsidRDefault="00DD13AE">
      <w:pPr>
        <w:widowControl w:val="0"/>
        <w:autoSpaceDE w:val="0"/>
        <w:autoSpaceDN w:val="0"/>
        <w:adjustRightInd w:val="0"/>
        <w:spacing w:after="0" w:line="10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Purine nucleotide requirements of all organisms are met either through the </w:t>
      </w:r>
      <w:r>
        <w:rPr>
          <w:rFonts w:ascii="Times New Roman" w:hAnsi="Times New Roman" w:cs="Times New Roman"/>
          <w:i/>
          <w:iCs/>
          <w:sz w:val="19"/>
          <w:szCs w:val="19"/>
        </w:rPr>
        <w:t>de novo</w:t>
      </w:r>
      <w:r>
        <w:rPr>
          <w:rFonts w:ascii="Times New Roman" w:hAnsi="Times New Roman" w:cs="Times New Roman"/>
          <w:sz w:val="19"/>
          <w:szCs w:val="19"/>
        </w:rPr>
        <w:t xml:space="preserve"> synthesis of purines from amino acids, ribose, carbon dioxicide and formate or by the salvage pathways or by the concomitant use of both. In the salvage pathway, hypoxanthine, guanine and adenine released by degradation of nucleic acids are converted back into nucleotides (Reyes </w:t>
      </w:r>
      <w:r>
        <w:rPr>
          <w:rFonts w:ascii="Times New Roman" w:hAnsi="Times New Roman" w:cs="Times New Roman"/>
          <w:i/>
          <w:iCs/>
          <w:sz w:val="19"/>
          <w:szCs w:val="19"/>
        </w:rPr>
        <w:t>et al</w:t>
      </w:r>
      <w:r>
        <w:rPr>
          <w:rFonts w:ascii="Times New Roman" w:hAnsi="Times New Roman" w:cs="Times New Roman"/>
          <w:sz w:val="19"/>
          <w:szCs w:val="19"/>
        </w:rPr>
        <w:t>., 1982).</w:t>
      </w:r>
    </w:p>
    <w:p w:rsidR="00DD13AE" w:rsidRDefault="00DD13AE">
      <w:pPr>
        <w:widowControl w:val="0"/>
        <w:autoSpaceDE w:val="0"/>
        <w:autoSpaceDN w:val="0"/>
        <w:adjustRightInd w:val="0"/>
        <w:spacing w:after="0" w:line="2"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The malaria parasite, like most other parasitic protozoans, cannot synthesize purines </w:t>
      </w:r>
      <w:r>
        <w:rPr>
          <w:rFonts w:ascii="Times New Roman" w:hAnsi="Times New Roman" w:cs="Times New Roman"/>
          <w:i/>
          <w:iCs/>
          <w:sz w:val="19"/>
          <w:szCs w:val="19"/>
        </w:rPr>
        <w:t>de novo</w:t>
      </w:r>
      <w:r>
        <w:rPr>
          <w:rFonts w:ascii="Times New Roman" w:hAnsi="Times New Roman" w:cs="Times New Roman"/>
          <w:sz w:val="19"/>
          <w:szCs w:val="19"/>
        </w:rPr>
        <w:t xml:space="preserve"> and thus, relies solely on salvage pathways for its purine nucleotide requirements (Sherman, 1979). This dependence of </w:t>
      </w:r>
      <w:r>
        <w:rPr>
          <w:rFonts w:ascii="Times New Roman" w:hAnsi="Times New Roman" w:cs="Times New Roman"/>
          <w:i/>
          <w:iCs/>
          <w:sz w:val="19"/>
          <w:szCs w:val="19"/>
        </w:rPr>
        <w:t>Plasmodium</w:t>
      </w:r>
      <w:r>
        <w:rPr>
          <w:rFonts w:ascii="Times New Roman" w:hAnsi="Times New Roman" w:cs="Times New Roman"/>
          <w:sz w:val="19"/>
          <w:szCs w:val="19"/>
        </w:rPr>
        <w:t xml:space="preserve"> on the purine salvage pathway for its growth and development makes the enzymes of this pathway candidate targets for drug development (Ullman and Carter, 1995). Several studies have investigated the pathways for the transport of purine nucleosides into the parasite. For example, 2’- deoxycoformycin, an inhibitor of adenosine deaminase, produces a dramatic reduction in parasitemia in </w:t>
      </w:r>
      <w:r>
        <w:rPr>
          <w:rFonts w:ascii="Times New Roman" w:hAnsi="Times New Roman" w:cs="Times New Roman"/>
          <w:i/>
          <w:iCs/>
          <w:sz w:val="19"/>
          <w:szCs w:val="19"/>
        </w:rPr>
        <w:t>P. knowlesi</w:t>
      </w:r>
      <w:r>
        <w:rPr>
          <w:rFonts w:ascii="Times New Roman" w:hAnsi="Times New Roman" w:cs="Times New Roman"/>
          <w:sz w:val="19"/>
          <w:szCs w:val="19"/>
        </w:rPr>
        <w:t xml:space="preserve"> infected rhesus monkeys, indicating that a block in hypoxanthine production is detrimental for parasite growth (Webster </w:t>
      </w:r>
      <w:r>
        <w:rPr>
          <w:rFonts w:ascii="Times New Roman" w:hAnsi="Times New Roman" w:cs="Times New Roman"/>
          <w:i/>
          <w:iCs/>
          <w:sz w:val="19"/>
          <w:szCs w:val="19"/>
        </w:rPr>
        <w:t>et al</w:t>
      </w:r>
      <w:r>
        <w:rPr>
          <w:rFonts w:ascii="Times New Roman" w:hAnsi="Times New Roman" w:cs="Times New Roman"/>
          <w:sz w:val="19"/>
          <w:szCs w:val="19"/>
        </w:rPr>
        <w:t xml:space="preserve">., 1984). Addition of xanthine oxidase, which depletes hypoxanthine in the culture medium, also leads to the death of the parasite, providing additional evidence that hypoxanthine is the main source of purine to the intraerythrocytic parasite (Berman </w:t>
      </w:r>
      <w:r>
        <w:rPr>
          <w:rFonts w:ascii="Times New Roman" w:hAnsi="Times New Roman" w:cs="Times New Roman"/>
          <w:i/>
          <w:iCs/>
          <w:sz w:val="19"/>
          <w:szCs w:val="19"/>
        </w:rPr>
        <w:t>et al</w:t>
      </w:r>
      <w:r>
        <w:rPr>
          <w:rFonts w:ascii="Times New Roman" w:hAnsi="Times New Roman" w:cs="Times New Roman"/>
          <w:sz w:val="19"/>
          <w:szCs w:val="19"/>
        </w:rPr>
        <w:t>., 1991).</w:t>
      </w:r>
    </w:p>
    <w:p w:rsidR="00DD13AE" w:rsidRDefault="00DD13AE">
      <w:pPr>
        <w:widowControl w:val="0"/>
        <w:autoSpaceDE w:val="0"/>
        <w:autoSpaceDN w:val="0"/>
        <w:adjustRightInd w:val="0"/>
        <w:spacing w:after="0" w:line="5"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 xml:space="preserve">The parasite enzyme has been purified from </w:t>
      </w:r>
      <w:r>
        <w:rPr>
          <w:rFonts w:ascii="Times New Roman" w:hAnsi="Times New Roman" w:cs="Times New Roman"/>
          <w:i/>
          <w:iCs/>
          <w:sz w:val="19"/>
          <w:szCs w:val="19"/>
        </w:rPr>
        <w:t>in vivo</w:t>
      </w:r>
      <w:r>
        <w:rPr>
          <w:rFonts w:ascii="Times New Roman" w:hAnsi="Times New Roman" w:cs="Times New Roman"/>
          <w:sz w:val="19"/>
          <w:szCs w:val="19"/>
        </w:rPr>
        <w:t xml:space="preserve"> parasite cultures and its additional specificity for xanthine documented (Queen </w:t>
      </w:r>
      <w:r>
        <w:rPr>
          <w:rFonts w:ascii="Times New Roman" w:hAnsi="Times New Roman" w:cs="Times New Roman"/>
          <w:i/>
          <w:iCs/>
          <w:sz w:val="19"/>
          <w:szCs w:val="19"/>
        </w:rPr>
        <w:t>et al</w:t>
      </w:r>
      <w:r>
        <w:rPr>
          <w:rFonts w:ascii="Times New Roman" w:hAnsi="Times New Roman" w:cs="Times New Roman"/>
          <w:sz w:val="19"/>
          <w:szCs w:val="19"/>
        </w:rPr>
        <w:t xml:space="preserve">., 1988). The gene encoding the parasite HGXPRT has been cloned and expressed in </w:t>
      </w:r>
      <w:r>
        <w:rPr>
          <w:rFonts w:ascii="Times New Roman" w:hAnsi="Times New Roman" w:cs="Times New Roman"/>
          <w:i/>
          <w:iCs/>
          <w:sz w:val="19"/>
          <w:szCs w:val="19"/>
        </w:rPr>
        <w:t>E. coli</w:t>
      </w:r>
      <w:r>
        <w:rPr>
          <w:rFonts w:ascii="Times New Roman" w:hAnsi="Times New Roman" w:cs="Times New Roman"/>
          <w:sz w:val="19"/>
          <w:szCs w:val="19"/>
        </w:rPr>
        <w:t xml:space="preserve"> (Vasanthakumar </w:t>
      </w:r>
      <w:r>
        <w:rPr>
          <w:rFonts w:ascii="Times New Roman" w:hAnsi="Times New Roman" w:cs="Times New Roman"/>
          <w:i/>
          <w:iCs/>
          <w:sz w:val="19"/>
          <w:szCs w:val="19"/>
        </w:rPr>
        <w:t>et al</w:t>
      </w:r>
      <w:r>
        <w:rPr>
          <w:rFonts w:ascii="Times New Roman" w:hAnsi="Times New Roman" w:cs="Times New Roman"/>
          <w:sz w:val="19"/>
          <w:szCs w:val="19"/>
        </w:rPr>
        <w:t xml:space="preserve">., 1990). The gene functionally complements HGXPRT deficiency in the </w:t>
      </w:r>
      <w:r>
        <w:rPr>
          <w:rFonts w:ascii="Times New Roman" w:hAnsi="Times New Roman" w:cs="Times New Roman"/>
          <w:i/>
          <w:iCs/>
          <w:sz w:val="19"/>
          <w:szCs w:val="19"/>
        </w:rPr>
        <w:t>E. coli</w:t>
      </w:r>
      <w:r>
        <w:rPr>
          <w:rFonts w:ascii="Times New Roman" w:hAnsi="Times New Roman" w:cs="Times New Roman"/>
          <w:sz w:val="19"/>
          <w:szCs w:val="19"/>
        </w:rPr>
        <w:t xml:space="preserve"> validating that a</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pgSz w:w="12240" w:h="15840"/>
          <w:pgMar w:top="704" w:right="1300" w:bottom="214" w:left="1160" w:header="720" w:footer="720" w:gutter="0"/>
          <w:cols w:space="720" w:equalWidth="0">
            <w:col w:w="9780"/>
          </w:cols>
          <w:noEndnote/>
        </w:sectPr>
      </w:pPr>
      <w:r w:rsidRPr="00DD13AE">
        <w:rPr>
          <w:noProof/>
        </w:rPr>
        <w:pict>
          <v:line id="_x0000_s1030" style="position:absolute;z-index:-251654144" from="0,23.2pt" to="489pt,23.2pt" o:allowincell="f" strokecolor="#210002" strokeweight="3pt"/>
        </w:pict>
      </w:r>
      <w:r w:rsidRPr="00DD13AE">
        <w:rPr>
          <w:noProof/>
        </w:rPr>
        <w:pict>
          <v:line id="_x0000_s1031" style="position:absolute;z-index:-251653120" from="0,25.8pt" to="489pt,25.8pt" o:allowincell="f" strokecolor="#210002"/>
        </w:pic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358" w:lineRule="exact"/>
        <w:rPr>
          <w:rFonts w:ascii="Times New Roman" w:hAnsi="Times New Roman" w:cs="Times New Roman"/>
          <w:sz w:val="24"/>
          <w:szCs w:val="24"/>
        </w:rPr>
      </w:pPr>
    </w:p>
    <w:p w:rsidR="00DD13AE" w:rsidRDefault="00C5634D">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242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type w:val="continuous"/>
          <w:pgSz w:w="12240" w:h="15840"/>
          <w:pgMar w:top="704" w:right="1300" w:bottom="214" w:left="1160" w:header="720" w:footer="720" w:gutter="0"/>
          <w:cols w:space="720" w:equalWidth="0">
            <w:col w:w="9780"/>
          </w:cols>
          <w:noEndnote/>
        </w:sectPr>
      </w:pPr>
    </w:p>
    <w:p w:rsidR="00DD13AE" w:rsidRDefault="00C5634D">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5166E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DD13AE" w:rsidRDefault="00DD13AE">
      <w:pPr>
        <w:widowControl w:val="0"/>
        <w:autoSpaceDE w:val="0"/>
        <w:autoSpaceDN w:val="0"/>
        <w:adjustRightInd w:val="0"/>
        <w:spacing w:after="0" w:line="146" w:lineRule="exact"/>
        <w:rPr>
          <w:rFonts w:ascii="Times New Roman" w:hAnsi="Times New Roman" w:cs="Times New Roman"/>
          <w:sz w:val="24"/>
          <w:szCs w:val="24"/>
        </w:rPr>
      </w:pPr>
      <w:r w:rsidRPr="00DD13AE">
        <w:rPr>
          <w:noProof/>
        </w:rPr>
        <w:pict>
          <v:line id="_x0000_s1032" style="position:absolute;z-index:-251652096" from="0,-.1pt" to="489pt,-.1pt" o:allowincell="f" strokecolor="#1d258f" strokeweight=".5pt"/>
        </w:pict>
      </w:r>
    </w:p>
    <w:p w:rsidR="00DD13AE" w:rsidRDefault="00C5634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functional enzyme was produced in the strain (Shahabuddin and Scaife, 1990). However, the recombinant </w:t>
      </w:r>
      <w:r>
        <w:rPr>
          <w:rFonts w:ascii="Times New Roman" w:hAnsi="Times New Roman" w:cs="Times New Roman"/>
          <w:i/>
          <w:iCs/>
          <w:sz w:val="19"/>
          <w:szCs w:val="19"/>
        </w:rPr>
        <w:t>P. falciparum</w:t>
      </w:r>
      <w:r>
        <w:rPr>
          <w:rFonts w:ascii="Times New Roman" w:hAnsi="Times New Roman" w:cs="Times New Roman"/>
          <w:sz w:val="19"/>
          <w:szCs w:val="19"/>
        </w:rPr>
        <w:t xml:space="preserve"> HGXPRT was inactive and, therefore, functional studies with the enzyme were not possible (Sujay Subbayya and Balaram, 2000).</w:t>
      </w:r>
    </w:p>
    <w:p w:rsidR="00DD13AE" w:rsidRDefault="00DD13AE">
      <w:pPr>
        <w:widowControl w:val="0"/>
        <w:autoSpaceDE w:val="0"/>
        <w:autoSpaceDN w:val="0"/>
        <w:adjustRightInd w:val="0"/>
        <w:spacing w:after="0" w:line="2"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The Plasmodia HGPRT is a potential drug target (Olliaro and Yuthavong, 1999). However, the functional study is hampered by the difficulty of either culturing of Plasmodia species or the purification and activation challenge. Therefore, </w:t>
      </w:r>
      <w:r>
        <w:rPr>
          <w:rFonts w:ascii="Times New Roman" w:hAnsi="Times New Roman" w:cs="Times New Roman"/>
          <w:i/>
          <w:iCs/>
          <w:sz w:val="19"/>
          <w:szCs w:val="19"/>
        </w:rPr>
        <w:t>in silico</w:t>
      </w:r>
      <w:r>
        <w:rPr>
          <w:rFonts w:ascii="Times New Roman" w:hAnsi="Times New Roman" w:cs="Times New Roman"/>
          <w:sz w:val="19"/>
          <w:szCs w:val="19"/>
        </w:rPr>
        <w:t xml:space="preserve"> study on the Plasmodia HGPRT from different species or hosts, will asset in revealing the similarity or differences in the structure and hence the function of the enzyme. In the present study, bioinformatic analysis of HGPRT transferases from the human (falciparum, vivax), rodent (berghei, chabaudi, vinckei, yoelii) primate (fragile, inui, knowlesi, reichenowi), malaria parasite </w:t>
      </w:r>
      <w:r>
        <w:rPr>
          <w:rFonts w:ascii="Times New Roman" w:hAnsi="Times New Roman" w:cs="Times New Roman"/>
          <w:i/>
          <w:iCs/>
          <w:sz w:val="19"/>
          <w:szCs w:val="19"/>
        </w:rPr>
        <w:t>Plasmodium sp</w:t>
      </w:r>
      <w:r>
        <w:rPr>
          <w:rFonts w:ascii="Times New Roman" w:hAnsi="Times New Roman" w:cs="Times New Roman"/>
          <w:sz w:val="19"/>
          <w:szCs w:val="19"/>
        </w:rPr>
        <w:t>. is communicated.</w:t>
      </w:r>
    </w:p>
    <w:p w:rsidR="00DD13AE" w:rsidRDefault="00DD13AE">
      <w:pPr>
        <w:widowControl w:val="0"/>
        <w:autoSpaceDE w:val="0"/>
        <w:autoSpaceDN w:val="0"/>
        <w:adjustRightInd w:val="0"/>
        <w:spacing w:after="0" w:line="228"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w:t>
      </w:r>
      <w:r>
        <w:rPr>
          <w:rFonts w:ascii="Helvetica" w:hAnsi="Helvetica" w:cs="Helvetica"/>
          <w:b/>
          <w:bCs/>
          <w:color w:val="1D258F"/>
          <w:sz w:val="23"/>
          <w:szCs w:val="23"/>
        </w:rPr>
        <w:t xml:space="preserve"> M</w:t>
      </w:r>
      <w:r>
        <w:rPr>
          <w:rFonts w:ascii="Helvetica" w:hAnsi="Helvetica" w:cs="Helvetica"/>
          <w:b/>
          <w:bCs/>
          <w:color w:val="1D258F"/>
          <w:sz w:val="16"/>
          <w:szCs w:val="16"/>
        </w:rPr>
        <w:t>ethods</w:t>
      </w:r>
    </w:p>
    <w:p w:rsidR="00DD13AE" w:rsidRDefault="00DD13AE">
      <w:pPr>
        <w:widowControl w:val="0"/>
        <w:autoSpaceDE w:val="0"/>
        <w:autoSpaceDN w:val="0"/>
        <w:adjustRightInd w:val="0"/>
        <w:spacing w:after="0" w:line="10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UniProtKB/Swiss-Prot, a protein sequence database, was used to retrieve the complete sequences of all the Plasmodia HGPRT transferases (Bairoch and Apweiler, 2000). </w:t>
      </w:r>
      <w:r>
        <w:rPr>
          <w:rFonts w:ascii="Times New Roman" w:hAnsi="Times New Roman" w:cs="Times New Roman"/>
          <w:i/>
          <w:iCs/>
          <w:sz w:val="19"/>
          <w:szCs w:val="19"/>
        </w:rPr>
        <w:t>P. falciparum</w:t>
      </w:r>
      <w:r>
        <w:rPr>
          <w:rFonts w:ascii="Times New Roman" w:hAnsi="Times New Roman" w:cs="Times New Roman"/>
          <w:sz w:val="19"/>
          <w:szCs w:val="19"/>
        </w:rPr>
        <w:t xml:space="preserve"> HGPRT sequence was obtained from PlasmoDB (Bahl </w:t>
      </w:r>
      <w:r>
        <w:rPr>
          <w:rFonts w:ascii="Times New Roman" w:hAnsi="Times New Roman" w:cs="Times New Roman"/>
          <w:i/>
          <w:iCs/>
          <w:sz w:val="19"/>
          <w:szCs w:val="19"/>
        </w:rPr>
        <w:t>et al</w:t>
      </w:r>
      <w:r>
        <w:rPr>
          <w:rFonts w:ascii="Times New Roman" w:hAnsi="Times New Roman" w:cs="Times New Roman"/>
          <w:sz w:val="19"/>
          <w:szCs w:val="19"/>
        </w:rPr>
        <w:t>., 2002). Blast search was performed for some Plasmodia HGPRT sequences (Altschul</w:t>
      </w:r>
      <w:r>
        <w:rPr>
          <w:rFonts w:ascii="Times New Roman" w:hAnsi="Times New Roman" w:cs="Times New Roman"/>
          <w:i/>
          <w:iCs/>
          <w:sz w:val="19"/>
          <w:szCs w:val="19"/>
        </w:rPr>
        <w:t xml:space="preserve"> et al</w:t>
      </w:r>
      <w:r>
        <w:rPr>
          <w:rFonts w:ascii="Times New Roman" w:hAnsi="Times New Roman" w:cs="Times New Roman"/>
          <w:sz w:val="19"/>
          <w:szCs w:val="19"/>
        </w:rPr>
        <w:t>., 1990; Altschul</w:t>
      </w:r>
      <w:r>
        <w:rPr>
          <w:rFonts w:ascii="Times New Roman" w:hAnsi="Times New Roman" w:cs="Times New Roman"/>
          <w:i/>
          <w:iCs/>
          <w:sz w:val="19"/>
          <w:szCs w:val="19"/>
        </w:rPr>
        <w:t xml:space="preserve"> et al</w:t>
      </w:r>
      <w:r>
        <w:rPr>
          <w:rFonts w:ascii="Times New Roman" w:hAnsi="Times New Roman" w:cs="Times New Roman"/>
          <w:sz w:val="19"/>
          <w:szCs w:val="19"/>
        </w:rPr>
        <w:t>.,</w:t>
      </w:r>
      <w:r>
        <w:rPr>
          <w:rFonts w:ascii="Times New Roman" w:hAnsi="Times New Roman" w:cs="Times New Roman"/>
          <w:i/>
          <w:iCs/>
          <w:sz w:val="19"/>
          <w:szCs w:val="19"/>
        </w:rPr>
        <w:t xml:space="preserve"> </w:t>
      </w:r>
      <w:r>
        <w:rPr>
          <w:rFonts w:ascii="Times New Roman" w:hAnsi="Times New Roman" w:cs="Times New Roman"/>
          <w:sz w:val="19"/>
          <w:szCs w:val="19"/>
        </w:rPr>
        <w:t xml:space="preserve">1997). These sequences were used for further analysis. The computation of various physical and chemical parameters was done using ExPASy’s ProtParam tool (Gasteiger </w:t>
      </w:r>
      <w:r>
        <w:rPr>
          <w:rFonts w:ascii="Times New Roman" w:hAnsi="Times New Roman" w:cs="Times New Roman"/>
          <w:i/>
          <w:iCs/>
          <w:sz w:val="19"/>
          <w:szCs w:val="19"/>
        </w:rPr>
        <w:t>et al</w:t>
      </w:r>
      <w:r>
        <w:rPr>
          <w:rFonts w:ascii="Times New Roman" w:hAnsi="Times New Roman" w:cs="Times New Roman"/>
          <w:sz w:val="19"/>
          <w:szCs w:val="19"/>
        </w:rPr>
        <w:t xml:space="preserve">., 2001). SOPMA tool (Self-Optimized Prediction Method with Alignment) server was used to characterize the secondary structural features (Geourjon and Deleage, (1995). The SOSUI server was used to predict the transmembrane regions that were further classified as membrane-bound and soluble proteins (Pagni </w:t>
      </w:r>
      <w:r>
        <w:rPr>
          <w:rFonts w:ascii="Times New Roman" w:hAnsi="Times New Roman" w:cs="Times New Roman"/>
          <w:i/>
          <w:iCs/>
          <w:sz w:val="19"/>
          <w:szCs w:val="19"/>
        </w:rPr>
        <w:t>et al</w:t>
      </w:r>
      <w:r>
        <w:rPr>
          <w:rFonts w:ascii="Times New Roman" w:hAnsi="Times New Roman" w:cs="Times New Roman"/>
          <w:sz w:val="19"/>
          <w:szCs w:val="19"/>
        </w:rPr>
        <w:t>., 2007).</w: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66"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 and</w:t>
      </w:r>
      <w:r>
        <w:rPr>
          <w:rFonts w:ascii="Helvetica" w:hAnsi="Helvetica" w:cs="Helvetica"/>
          <w:b/>
          <w:bCs/>
          <w:color w:val="1D258F"/>
          <w:sz w:val="23"/>
          <w:szCs w:val="23"/>
        </w:rPr>
        <w:t xml:space="preserve"> D</w:t>
      </w:r>
      <w:r>
        <w:rPr>
          <w:rFonts w:ascii="Helvetica" w:hAnsi="Helvetica" w:cs="Helvetica"/>
          <w:b/>
          <w:bCs/>
          <w:color w:val="1D258F"/>
          <w:sz w:val="16"/>
          <w:szCs w:val="16"/>
        </w:rPr>
        <w:t>iscussion</w:t>
      </w:r>
    </w:p>
    <w:p w:rsidR="00DD13AE" w:rsidRDefault="00DD13AE">
      <w:pPr>
        <w:widowControl w:val="0"/>
        <w:autoSpaceDE w:val="0"/>
        <w:autoSpaceDN w:val="0"/>
        <w:adjustRightInd w:val="0"/>
        <w:spacing w:after="0" w:line="80"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Phosphoribosyltransferases (PRT) are enzymes that catalyze the synthesis of </w:t>
      </w:r>
      <w:r>
        <w:rPr>
          <w:rFonts w:ascii="Book Antiqua" w:hAnsi="Book Antiqua" w:cs="Book Antiqua"/>
          <w:sz w:val="19"/>
          <w:szCs w:val="19"/>
        </w:rPr>
        <w:t>β</w:t>
      </w:r>
      <w:r>
        <w:rPr>
          <w:rFonts w:ascii="Times New Roman" w:hAnsi="Times New Roman" w:cs="Times New Roman"/>
          <w:sz w:val="19"/>
          <w:szCs w:val="19"/>
        </w:rPr>
        <w:t>-n-5’-monophosphates from phosphoribosylpyrophosphate (PRPP) and an enzyme specific amine. Some of PRT’s are involved in the biosynthesis of purine, pyrimidine, and pyridine nucleotides, or in the salvage of purines and pyrimidines. These enzymes are:</w:t>
      </w:r>
    </w:p>
    <w:p w:rsidR="00DD13AE" w:rsidRDefault="00C5634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(a). Adenine phosphoribosyltransferase (EC 2.4.2.7) (APRT), which is involved in purine salvage. (b). Hypoxanthine-guanine or hypoxanthine phosphoribosyltransferase (EC 2.4.2.8) (HGPRT or HPRT), which are involved in purine salvage. (c). Orotate phosphoribosyltransferase (EC 2.4.2.10) (OPRT), which is involved in pyrimidine biosynthesis.</w:t>
      </w:r>
    </w:p>
    <w:p w:rsidR="00DD13AE" w:rsidRDefault="00DD13AE">
      <w:pPr>
        <w:widowControl w:val="0"/>
        <w:autoSpaceDE w:val="0"/>
        <w:autoSpaceDN w:val="0"/>
        <w:adjustRightInd w:val="0"/>
        <w:spacing w:after="0" w:line="2"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(d). Amido phosphoribosyltransferase (EC 2.4.2.14), which is involved in purine biosynthesis. (e). Xanthine-guanine phosphoribosyltransferase (EC 2.4.2.22) (XGPRT), which is involved in purine salvage.</w:t>
      </w:r>
    </w:p>
    <w:p w:rsidR="00DD13AE" w:rsidRDefault="00DD13AE">
      <w:pPr>
        <w:widowControl w:val="0"/>
        <w:autoSpaceDE w:val="0"/>
        <w:autoSpaceDN w:val="0"/>
        <w:adjustRightInd w:val="0"/>
        <w:spacing w:after="0" w:line="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In the sequence of all these enzymes, there is a small conserved region that may be involved in the enzymatic activity and be part of the PRPP binding site (Hershey and Taylor, 1986).</w:t>
      </w:r>
    </w:p>
    <w:p w:rsidR="00DD13AE" w:rsidRDefault="00DD13AE">
      <w:pPr>
        <w:widowControl w:val="0"/>
        <w:autoSpaceDE w:val="0"/>
        <w:autoSpaceDN w:val="0"/>
        <w:adjustRightInd w:val="0"/>
        <w:spacing w:after="0" w:line="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Times New Roman" w:hAnsi="Times New Roman" w:cs="Times New Roman"/>
          <w:sz w:val="19"/>
          <w:szCs w:val="19"/>
        </w:rPr>
        <w:t>Phosphoribosyltransferases (PRTases) constitute a group of enzymes that participate in the biosynthesis of pyrimidine, purine, and pyridine nucleotides, as well as the amino acids histidine and tryptophan (Musick, 1981). There are at least ten different PRTases known which transfer phosphor-ribose on to different substrates. The nucleotide formation chemistry involves inversion of stereochemistry at the a numeric carbon of the ribose C1 and has been proposed to proceed via a S</w:t>
      </w:r>
      <w:r>
        <w:rPr>
          <w:rFonts w:ascii="Times New Roman" w:hAnsi="Times New Roman" w:cs="Times New Roman"/>
          <w:vertAlign w:val="subscript"/>
        </w:rPr>
        <w:t>N</w:t>
      </w:r>
      <w:r>
        <w:rPr>
          <w:rFonts w:ascii="Times New Roman" w:hAnsi="Times New Roman" w:cs="Times New Roman"/>
          <w:sz w:val="19"/>
          <w:szCs w:val="19"/>
        </w:rPr>
        <w:t>1 or S</w:t>
      </w:r>
      <w:r>
        <w:rPr>
          <w:rFonts w:ascii="Times New Roman" w:hAnsi="Times New Roman" w:cs="Times New Roman"/>
          <w:vertAlign w:val="subscript"/>
        </w:rPr>
        <w:t>N</w:t>
      </w:r>
      <w:r>
        <w:rPr>
          <w:rFonts w:ascii="Times New Roman" w:hAnsi="Times New Roman" w:cs="Times New Roman"/>
          <w:sz w:val="19"/>
          <w:szCs w:val="19"/>
        </w:rPr>
        <w:t xml:space="preserve">2 mechanism (Craig and Eakin, 2000). Structurally the PRTases fall into two groups: type I and type II. The type I fold seen in the structures of orotate PRtase, HGPRTase, adenine PRTase, uracil PRTase and glutamine phosphoribosyl amidotransferase (GPATase) consists of five parallel </w:t>
      </w:r>
      <w:r>
        <w:rPr>
          <w:rFonts w:ascii="Book Antiqua" w:hAnsi="Book Antiqua" w:cs="Book Antiqua"/>
          <w:sz w:val="19"/>
          <w:szCs w:val="19"/>
        </w:rPr>
        <w:t>β</w:t>
      </w:r>
      <w:r>
        <w:rPr>
          <w:rFonts w:ascii="Times New Roman" w:hAnsi="Times New Roman" w:cs="Times New Roman"/>
          <w:sz w:val="19"/>
          <w:szCs w:val="19"/>
        </w:rPr>
        <w:t xml:space="preserve"> strands surrounded by 3 -4 </w:t>
      </w:r>
      <w:r>
        <w:rPr>
          <w:rFonts w:ascii="Book Antiqua" w:hAnsi="Book Antiqua" w:cs="Book Antiqua"/>
          <w:sz w:val="19"/>
          <w:szCs w:val="19"/>
        </w:rPr>
        <w:t>α</w:t>
      </w:r>
      <w:r>
        <w:rPr>
          <w:rFonts w:ascii="Times New Roman" w:hAnsi="Times New Roman" w:cs="Times New Roman"/>
          <w:sz w:val="19"/>
          <w:szCs w:val="19"/>
        </w:rPr>
        <w:t xml:space="preserve"> helices. These PRTases contain a conserved motif of 13 residues, involved in the binding of the ribose phosphate moiety of the PRTase fold (Craig and Eakin, 2000).</w:t>
      </w:r>
    </w:p>
    <w:p w:rsidR="00DD13AE" w:rsidRDefault="00DD13AE">
      <w:pPr>
        <w:widowControl w:val="0"/>
        <w:autoSpaceDE w:val="0"/>
        <w:autoSpaceDN w:val="0"/>
        <w:adjustRightInd w:val="0"/>
        <w:spacing w:after="0" w:line="240"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59" w:lineRule="auto"/>
        <w:jc w:val="both"/>
        <w:rPr>
          <w:rFonts w:ascii="Times New Roman" w:hAnsi="Times New Roman" w:cs="Times New Roman"/>
          <w:sz w:val="24"/>
          <w:szCs w:val="24"/>
        </w:rPr>
      </w:pPr>
      <w:r>
        <w:rPr>
          <w:rFonts w:ascii="Times New Roman" w:hAnsi="Times New Roman" w:cs="Times New Roman"/>
          <w:sz w:val="19"/>
          <w:szCs w:val="19"/>
        </w:rPr>
        <w:t xml:space="preserve">Type II PRTases have been studied less extensively and the only structures available are that of quinolinic acid phosphoribosyltransferase (Sharma </w:t>
      </w:r>
      <w:r>
        <w:rPr>
          <w:rFonts w:ascii="Times New Roman" w:hAnsi="Times New Roman" w:cs="Times New Roman"/>
          <w:i/>
          <w:iCs/>
          <w:sz w:val="19"/>
          <w:szCs w:val="19"/>
        </w:rPr>
        <w:t>et al</w:t>
      </w:r>
      <w:r>
        <w:rPr>
          <w:rFonts w:ascii="Times New Roman" w:hAnsi="Times New Roman" w:cs="Times New Roman"/>
          <w:sz w:val="19"/>
          <w:szCs w:val="19"/>
        </w:rPr>
        <w:t xml:space="preserve">., 1998). The type II PRTase fold consists of an N-terminal four-stranded open face </w:t>
      </w:r>
      <w:r>
        <w:rPr>
          <w:rFonts w:ascii="Book Antiqua" w:hAnsi="Book Antiqua" w:cs="Book Antiqua"/>
          <w:sz w:val="19"/>
          <w:szCs w:val="19"/>
        </w:rPr>
        <w:t>β</w:t>
      </w:r>
      <w:r>
        <w:rPr>
          <w:rFonts w:ascii="Times New Roman" w:hAnsi="Times New Roman" w:cs="Times New Roman"/>
          <w:sz w:val="19"/>
          <w:szCs w:val="19"/>
        </w:rPr>
        <w:t xml:space="preserve">-sandwich domain and a C-terminal </w:t>
      </w:r>
      <w:r>
        <w:rPr>
          <w:rFonts w:ascii="Book Antiqua" w:hAnsi="Book Antiqua" w:cs="Book Antiqua"/>
          <w:sz w:val="19"/>
          <w:szCs w:val="19"/>
        </w:rPr>
        <w:t>α</w:t>
      </w:r>
      <w:r>
        <w:rPr>
          <w:rFonts w:ascii="Times New Roman" w:hAnsi="Times New Roman" w:cs="Times New Roman"/>
          <w:sz w:val="19"/>
          <w:szCs w:val="19"/>
        </w:rPr>
        <w:t>/</w:t>
      </w:r>
      <w:r>
        <w:rPr>
          <w:rFonts w:ascii="Book Antiqua" w:hAnsi="Book Antiqua" w:cs="Book Antiqua"/>
          <w:sz w:val="19"/>
          <w:szCs w:val="19"/>
        </w:rPr>
        <w:t>β</w:t>
      </w:r>
      <w:r>
        <w:rPr>
          <w:rFonts w:ascii="Times New Roman" w:hAnsi="Times New Roman" w:cs="Times New Roman"/>
          <w:sz w:val="19"/>
          <w:szCs w:val="19"/>
        </w:rPr>
        <w:t xml:space="preserve"> – barrel domain. Despite their distinct structural folds, type I and II PRTases carryout very similar enzymatic reactions involving the domain of a ribose 5- phosphate unit from PRPP to a nitrogenous base to form the nucleotide and pyrophosphate as products. The RPTases are, therefore, an example of convergent evolution towards a similar enzymatic activity (Eads </w:t>
      </w:r>
      <w:r>
        <w:rPr>
          <w:rFonts w:ascii="Times New Roman" w:hAnsi="Times New Roman" w:cs="Times New Roman"/>
          <w:i/>
          <w:iCs/>
          <w:sz w:val="19"/>
          <w:szCs w:val="19"/>
        </w:rPr>
        <w:t>et al</w:t>
      </w:r>
      <w:r>
        <w:rPr>
          <w:rFonts w:ascii="Times New Roman" w:hAnsi="Times New Roman" w:cs="Times New Roman"/>
          <w:sz w:val="19"/>
          <w:szCs w:val="19"/>
        </w:rPr>
        <w:t xml:space="preserve">., 1997 and Sharma </w:t>
      </w:r>
      <w:r>
        <w:rPr>
          <w:rFonts w:ascii="Times New Roman" w:hAnsi="Times New Roman" w:cs="Times New Roman"/>
          <w:i/>
          <w:iCs/>
          <w:sz w:val="19"/>
          <w:szCs w:val="19"/>
        </w:rPr>
        <w:t>et al</w:t>
      </w:r>
      <w:r>
        <w:rPr>
          <w:rFonts w:ascii="Times New Roman" w:hAnsi="Times New Roman" w:cs="Times New Roman"/>
          <w:sz w:val="19"/>
          <w:szCs w:val="19"/>
        </w:rPr>
        <w:t xml:space="preserve">., 1998). The HGPRT transferases from </w:t>
      </w:r>
      <w:r>
        <w:rPr>
          <w:rFonts w:ascii="Times New Roman" w:hAnsi="Times New Roman" w:cs="Times New Roman"/>
          <w:i/>
          <w:iCs/>
          <w:sz w:val="19"/>
          <w:szCs w:val="19"/>
        </w:rPr>
        <w:t>Plasmodium</w:t>
      </w:r>
      <w:r>
        <w:rPr>
          <w:rFonts w:ascii="Times New Roman" w:hAnsi="Times New Roman" w:cs="Times New Roman"/>
          <w:sz w:val="19"/>
          <w:szCs w:val="19"/>
        </w:rPr>
        <w:t xml:space="preserve"> genus family were analyzed, and the results are presented. Comparative analysis of the HGPRT transferases may give new inputs as to which groups of the Plasmodia PRTeases are suitable for functional investigation as anti-malarial drug target.</w:t>
      </w:r>
    </w:p>
    <w:p w:rsidR="00DD13AE" w:rsidRDefault="00DD13AE">
      <w:pPr>
        <w:widowControl w:val="0"/>
        <w:autoSpaceDE w:val="0"/>
        <w:autoSpaceDN w:val="0"/>
        <w:adjustRightInd w:val="0"/>
        <w:spacing w:after="0" w:line="235"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shows that the amino acid composition of ten different HGPRT transferases of</w:t>
      </w:r>
      <w:r>
        <w:rPr>
          <w:rFonts w:ascii="Times New Roman" w:hAnsi="Times New Roman" w:cs="Times New Roman"/>
          <w:b/>
          <w:bCs/>
          <w:sz w:val="19"/>
          <w:szCs w:val="19"/>
        </w:rPr>
        <w:t xml:space="preserve"> </w:t>
      </w:r>
      <w:r>
        <w:rPr>
          <w:rFonts w:ascii="Times New Roman" w:hAnsi="Times New Roman" w:cs="Times New Roman"/>
          <w:i/>
          <w:iCs/>
          <w:sz w:val="19"/>
          <w:szCs w:val="19"/>
        </w:rPr>
        <w:t>Plasmodium</w:t>
      </w:r>
      <w:r>
        <w:rPr>
          <w:rFonts w:ascii="Times New Roman" w:hAnsi="Times New Roman" w:cs="Times New Roman"/>
          <w:b/>
          <w:bCs/>
          <w:sz w:val="19"/>
          <w:szCs w:val="19"/>
        </w:rPr>
        <w:t xml:space="preserve"> </w:t>
      </w:r>
      <w:r>
        <w:rPr>
          <w:rFonts w:ascii="Times New Roman" w:hAnsi="Times New Roman" w:cs="Times New Roman"/>
          <w:sz w:val="19"/>
          <w:szCs w:val="19"/>
        </w:rPr>
        <w:t>species found in</w:t>
      </w:r>
      <w:r>
        <w:rPr>
          <w:rFonts w:ascii="Times New Roman" w:hAnsi="Times New Roman" w:cs="Times New Roman"/>
          <w:b/>
          <w:bCs/>
          <w:sz w:val="19"/>
          <w:szCs w:val="19"/>
        </w:rPr>
        <w:t xml:space="preserve"> </w:t>
      </w:r>
      <w:r>
        <w:rPr>
          <w:rFonts w:ascii="Times New Roman" w:hAnsi="Times New Roman" w:cs="Times New Roman"/>
          <w:sz w:val="19"/>
          <w:szCs w:val="19"/>
        </w:rPr>
        <w:t>biological databases. The composition of leucine, lysine and Isoleucine was the highest while lowest concentrations of tryptophan and glutamine residues were seen when compared to other amino acids. The number of negatively charged residues are more than the positively charged residues (</w:t>
      </w:r>
      <w:r>
        <w:rPr>
          <w:rFonts w:ascii="Times New Roman" w:hAnsi="Times New Roman" w:cs="Times New Roman"/>
          <w:b/>
          <w:bCs/>
          <w:sz w:val="19"/>
          <w:szCs w:val="19"/>
        </w:rPr>
        <w:t>Table 2</w:t>
      </w:r>
      <w:r>
        <w:rPr>
          <w:rFonts w:ascii="Times New Roman" w:hAnsi="Times New Roman" w:cs="Times New Roman"/>
          <w:sz w:val="19"/>
          <w:szCs w:val="19"/>
        </w:rPr>
        <w:t xml:space="preserve">). The molecular weight of </w:t>
      </w:r>
      <w:r>
        <w:rPr>
          <w:rFonts w:ascii="Times New Roman" w:hAnsi="Times New Roman" w:cs="Times New Roman"/>
          <w:i/>
          <w:iCs/>
          <w:sz w:val="19"/>
          <w:szCs w:val="19"/>
        </w:rPr>
        <w:t>P. inui</w:t>
      </w:r>
      <w:r>
        <w:rPr>
          <w:rFonts w:ascii="Times New Roman" w:hAnsi="Times New Roman" w:cs="Times New Roman"/>
          <w:sz w:val="19"/>
          <w:szCs w:val="19"/>
        </w:rPr>
        <w:t xml:space="preserve"> HGPRT transferase was the highest while </w:t>
      </w:r>
      <w:r>
        <w:rPr>
          <w:rFonts w:ascii="Times New Roman" w:hAnsi="Times New Roman" w:cs="Times New Roman"/>
          <w:i/>
          <w:iCs/>
          <w:sz w:val="19"/>
          <w:szCs w:val="19"/>
        </w:rPr>
        <w:t>P. falciparum</w:t>
      </w:r>
      <w:r>
        <w:rPr>
          <w:rFonts w:ascii="Times New Roman" w:hAnsi="Times New Roman" w:cs="Times New Roman"/>
          <w:sz w:val="19"/>
          <w:szCs w:val="19"/>
        </w:rPr>
        <w:t xml:space="preserve"> HGPRT and </w:t>
      </w:r>
      <w:r>
        <w:rPr>
          <w:rFonts w:ascii="Times New Roman" w:hAnsi="Times New Roman" w:cs="Times New Roman"/>
          <w:i/>
          <w:iCs/>
          <w:sz w:val="19"/>
          <w:szCs w:val="19"/>
        </w:rPr>
        <w:t>P. reichenowi</w:t>
      </w:r>
      <w:r>
        <w:rPr>
          <w:rFonts w:ascii="Times New Roman" w:hAnsi="Times New Roman" w:cs="Times New Roman"/>
          <w:sz w:val="19"/>
          <w:szCs w:val="19"/>
        </w:rPr>
        <w:t xml:space="preserve"> HGPRT had the lowest molecular weight. The pI value of </w:t>
      </w:r>
      <w:r>
        <w:rPr>
          <w:rFonts w:ascii="Times New Roman" w:hAnsi="Times New Roman" w:cs="Times New Roman"/>
          <w:i/>
          <w:iCs/>
          <w:sz w:val="19"/>
          <w:szCs w:val="19"/>
        </w:rPr>
        <w:t>P. reichenowi</w:t>
      </w:r>
      <w:r>
        <w:rPr>
          <w:rFonts w:ascii="Times New Roman" w:hAnsi="Times New Roman" w:cs="Times New Roman"/>
          <w:sz w:val="19"/>
          <w:szCs w:val="19"/>
        </w:rPr>
        <w:t xml:space="preserve"> HGPRT was 7.59 while the lowest pI of 6.22 was shown by </w:t>
      </w:r>
      <w:r>
        <w:rPr>
          <w:rFonts w:ascii="Times New Roman" w:hAnsi="Times New Roman" w:cs="Times New Roman"/>
          <w:i/>
          <w:iCs/>
          <w:sz w:val="19"/>
          <w:szCs w:val="19"/>
        </w:rPr>
        <w:t>P. chabaudi</w:t>
      </w:r>
      <w:r>
        <w:rPr>
          <w:rFonts w:ascii="Times New Roman" w:hAnsi="Times New Roman" w:cs="Times New Roman"/>
          <w:sz w:val="19"/>
          <w:szCs w:val="19"/>
        </w:rPr>
        <w:t xml:space="preserve"> HGPRT. The instability index of all the transferases varied but for all of them it was less than 40 showing that all of them are stable. An aliphatic</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pgSz w:w="12240" w:h="15840"/>
          <w:pgMar w:top="671" w:right="1160" w:bottom="216" w:left="1300" w:header="720" w:footer="720" w:gutter="0"/>
          <w:cols w:space="720" w:equalWidth="0">
            <w:col w:w="9780"/>
          </w:cols>
          <w:noEndnote/>
        </w:sectPr>
      </w:pPr>
      <w:r w:rsidRPr="00DD13AE">
        <w:rPr>
          <w:noProof/>
        </w:rPr>
        <w:pict>
          <v:line id="_x0000_s1033" style="position:absolute;z-index:-251651072" from="0,14.6pt" to="489pt,14.6pt" o:allowincell="f" strokecolor="#210002" strokeweight="3pt"/>
        </w:pict>
      </w:r>
      <w:r w:rsidRPr="00DD13AE">
        <w:rPr>
          <w:noProof/>
        </w:rPr>
        <w:pict>
          <v:line id="_x0000_s1034" style="position:absolute;z-index:-251650048" from="0,17.15pt" to="489pt,17.15pt" o:allowincell="f" strokecolor="#210002"/>
        </w:pict>
      </w:r>
    </w:p>
    <w:p w:rsidR="00DD13AE" w:rsidRDefault="00DD13AE">
      <w:pPr>
        <w:widowControl w:val="0"/>
        <w:autoSpaceDE w:val="0"/>
        <w:autoSpaceDN w:val="0"/>
        <w:adjustRightInd w:val="0"/>
        <w:spacing w:after="0" w:line="384" w:lineRule="exact"/>
        <w:rPr>
          <w:rFonts w:ascii="Times New Roman" w:hAnsi="Times New Roman" w:cs="Times New Roman"/>
          <w:sz w:val="24"/>
          <w:szCs w:val="24"/>
        </w:rPr>
      </w:pPr>
    </w:p>
    <w:p w:rsidR="00DD13AE" w:rsidRDefault="005166EC">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C5634D">
        <w:rPr>
          <w:rFonts w:ascii="Times New Roman" w:hAnsi="Times New Roman" w:cs="Times New Roman"/>
          <w:sz w:val="24"/>
          <w:szCs w:val="24"/>
        </w:rPr>
        <w:tab/>
      </w:r>
      <w:r w:rsidR="00C5634D">
        <w:rPr>
          <w:rFonts w:ascii="Agency FB" w:hAnsi="Agency FB" w:cs="Agency FB"/>
          <w:color w:val="1D258F"/>
          <w:sz w:val="17"/>
          <w:szCs w:val="17"/>
        </w:rPr>
        <w:t>Page 243</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000"/>
        <w:gridCol w:w="1780"/>
      </w:tblGrid>
      <w:tr w:rsidR="00DD13AE">
        <w:trPr>
          <w:trHeight w:val="201"/>
        </w:trPr>
        <w:tc>
          <w:tcPr>
            <w:tcW w:w="8000" w:type="dxa"/>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Ali: Bioinformatical Analysis of HGPRT Transferase from Different Malaria Parasite Plasmodium spp. Using Computational Tools</w:t>
            </w:r>
          </w:p>
        </w:tc>
        <w:tc>
          <w:tcPr>
            <w:tcW w:w="1780" w:type="dxa"/>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(242-246)</w:t>
            </w:r>
          </w:p>
        </w:tc>
      </w:tr>
    </w:tbl>
    <w:p w:rsidR="00DD13AE" w:rsidRDefault="00DD13AE">
      <w:pPr>
        <w:widowControl w:val="0"/>
        <w:autoSpaceDE w:val="0"/>
        <w:autoSpaceDN w:val="0"/>
        <w:adjustRightInd w:val="0"/>
        <w:spacing w:after="0" w:line="144"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 xml:space="preserve">index showing the relative volume of protein occupied by aliphatic side chains was found to span within a range of 83 to 97. From </w:t>
      </w:r>
      <w:r>
        <w:rPr>
          <w:rFonts w:ascii="Times New Roman" w:hAnsi="Times New Roman" w:cs="Times New Roman"/>
          <w:b/>
          <w:bCs/>
          <w:sz w:val="19"/>
          <w:szCs w:val="19"/>
        </w:rPr>
        <w:t>Table 3</w:t>
      </w:r>
      <w:r>
        <w:rPr>
          <w:rFonts w:ascii="Times New Roman" w:hAnsi="Times New Roman" w:cs="Times New Roman"/>
          <w:sz w:val="19"/>
          <w:szCs w:val="19"/>
        </w:rPr>
        <w:t xml:space="preserve">, Secondary structural analysis of the Plasmodia HGPRT transferases showed the pre-dominance of random coils followed by extended strands for all the transferases except </w:t>
      </w:r>
      <w:r>
        <w:rPr>
          <w:rFonts w:ascii="Times New Roman" w:hAnsi="Times New Roman" w:cs="Times New Roman"/>
          <w:i/>
          <w:iCs/>
          <w:sz w:val="19"/>
          <w:szCs w:val="19"/>
        </w:rPr>
        <w:t>P. falciparum</w:t>
      </w:r>
      <w:r>
        <w:rPr>
          <w:rFonts w:ascii="Times New Roman" w:hAnsi="Times New Roman" w:cs="Times New Roman"/>
          <w:sz w:val="19"/>
          <w:szCs w:val="19"/>
        </w:rPr>
        <w:t xml:space="preserve">, </w:t>
      </w:r>
      <w:r>
        <w:rPr>
          <w:rFonts w:ascii="Times New Roman" w:hAnsi="Times New Roman" w:cs="Times New Roman"/>
          <w:i/>
          <w:iCs/>
          <w:sz w:val="19"/>
          <w:szCs w:val="19"/>
        </w:rPr>
        <w:t>P. Knowlesi</w:t>
      </w:r>
      <w:r>
        <w:rPr>
          <w:rFonts w:ascii="Times New Roman" w:hAnsi="Times New Roman" w:cs="Times New Roman"/>
          <w:sz w:val="19"/>
          <w:szCs w:val="19"/>
        </w:rPr>
        <w:t xml:space="preserve">, and </w:t>
      </w:r>
      <w:r>
        <w:rPr>
          <w:rFonts w:ascii="Times New Roman" w:hAnsi="Times New Roman" w:cs="Times New Roman"/>
          <w:i/>
          <w:iCs/>
          <w:sz w:val="19"/>
          <w:szCs w:val="19"/>
        </w:rPr>
        <w:t>P. reichenowi</w:t>
      </w:r>
      <w:r>
        <w:rPr>
          <w:rFonts w:ascii="Times New Roman" w:hAnsi="Times New Roman" w:cs="Times New Roman"/>
          <w:sz w:val="19"/>
          <w:szCs w:val="19"/>
        </w:rPr>
        <w:t xml:space="preserve"> HGPRT transferase. SOSUI server analysis (</w:t>
      </w:r>
      <w:r>
        <w:rPr>
          <w:rFonts w:ascii="Times New Roman" w:hAnsi="Times New Roman" w:cs="Times New Roman"/>
          <w:b/>
          <w:bCs/>
          <w:sz w:val="19"/>
          <w:szCs w:val="19"/>
        </w:rPr>
        <w:t>Table 4</w:t>
      </w:r>
      <w:r>
        <w:rPr>
          <w:rFonts w:ascii="Times New Roman" w:hAnsi="Times New Roman" w:cs="Times New Roman"/>
          <w:sz w:val="19"/>
          <w:szCs w:val="19"/>
        </w:rPr>
        <w:t xml:space="preserve">) has shown that all the Plasmodia HGPRT transferases were soluble proteins and only </w:t>
      </w:r>
      <w:r>
        <w:rPr>
          <w:rFonts w:ascii="Times New Roman" w:hAnsi="Times New Roman" w:cs="Times New Roman"/>
          <w:i/>
          <w:iCs/>
          <w:sz w:val="19"/>
          <w:szCs w:val="19"/>
        </w:rPr>
        <w:t>P. inui</w:t>
      </w:r>
      <w:r>
        <w:rPr>
          <w:rFonts w:ascii="Times New Roman" w:hAnsi="Times New Roman" w:cs="Times New Roman"/>
          <w:sz w:val="19"/>
          <w:szCs w:val="19"/>
        </w:rPr>
        <w:t xml:space="preserve"> HGPRT is membrane bound protein. These </w:t>
      </w:r>
      <w:r>
        <w:rPr>
          <w:rFonts w:ascii="Times New Roman" w:hAnsi="Times New Roman" w:cs="Times New Roman"/>
          <w:i/>
          <w:iCs/>
          <w:sz w:val="19"/>
          <w:szCs w:val="19"/>
        </w:rPr>
        <w:t>in silico</w:t>
      </w:r>
      <w:r>
        <w:rPr>
          <w:rFonts w:ascii="Times New Roman" w:hAnsi="Times New Roman" w:cs="Times New Roman"/>
          <w:sz w:val="19"/>
          <w:szCs w:val="19"/>
        </w:rPr>
        <w:t xml:space="preserve"> findings can be used for working on properties of Plasmodia HGPRT transferases in solution.</w:t>
      </w:r>
    </w:p>
    <w:p w:rsidR="00DD13AE" w:rsidRDefault="00DD13AE">
      <w:pPr>
        <w:widowControl w:val="0"/>
        <w:autoSpaceDE w:val="0"/>
        <w:autoSpaceDN w:val="0"/>
        <w:adjustRightInd w:val="0"/>
        <w:spacing w:after="0" w:line="170"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Amino acid composition of different HGPRT transferases from Plasmodium species</w:t>
      </w:r>
    </w:p>
    <w:p w:rsidR="00DD13AE" w:rsidRDefault="00DD13AE">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980"/>
        <w:gridCol w:w="60"/>
        <w:gridCol w:w="180"/>
        <w:gridCol w:w="40"/>
        <w:gridCol w:w="80"/>
        <w:gridCol w:w="80"/>
        <w:gridCol w:w="440"/>
        <w:gridCol w:w="40"/>
        <w:gridCol w:w="180"/>
        <w:gridCol w:w="220"/>
        <w:gridCol w:w="40"/>
        <w:gridCol w:w="400"/>
        <w:gridCol w:w="200"/>
        <w:gridCol w:w="240"/>
        <w:gridCol w:w="220"/>
        <w:gridCol w:w="220"/>
        <w:gridCol w:w="60"/>
        <w:gridCol w:w="100"/>
        <w:gridCol w:w="240"/>
        <w:gridCol w:w="40"/>
        <w:gridCol w:w="400"/>
        <w:gridCol w:w="40"/>
        <w:gridCol w:w="140"/>
        <w:gridCol w:w="200"/>
        <w:gridCol w:w="100"/>
        <w:gridCol w:w="440"/>
        <w:gridCol w:w="60"/>
        <w:gridCol w:w="80"/>
        <w:gridCol w:w="300"/>
        <w:gridCol w:w="420"/>
        <w:gridCol w:w="40"/>
        <w:gridCol w:w="320"/>
        <w:gridCol w:w="120"/>
        <w:gridCol w:w="380"/>
        <w:gridCol w:w="60"/>
        <w:gridCol w:w="440"/>
        <w:gridCol w:w="80"/>
        <w:gridCol w:w="60"/>
        <w:gridCol w:w="220"/>
        <w:gridCol w:w="80"/>
        <w:gridCol w:w="440"/>
        <w:gridCol w:w="40"/>
        <w:gridCol w:w="280"/>
        <w:gridCol w:w="120"/>
        <w:gridCol w:w="220"/>
        <w:gridCol w:w="120"/>
        <w:gridCol w:w="100"/>
        <w:gridCol w:w="460"/>
      </w:tblGrid>
      <w:tr w:rsidR="00DD13AE">
        <w:trPr>
          <w:trHeight w:val="244"/>
        </w:trPr>
        <w:tc>
          <w:tcPr>
            <w:tcW w:w="980" w:type="dxa"/>
            <w:tcBorders>
              <w:top w:val="single" w:sz="8" w:space="0" w:color="auto"/>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sz w:val="16"/>
                <w:szCs w:val="16"/>
              </w:rPr>
              <w:t>Species</w:t>
            </w:r>
          </w:p>
        </w:tc>
        <w:tc>
          <w:tcPr>
            <w:tcW w:w="6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300" w:type="dxa"/>
            <w:gridSpan w:val="3"/>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b/>
                <w:bCs/>
                <w:w w:val="99"/>
                <w:sz w:val="16"/>
                <w:szCs w:val="16"/>
              </w:rPr>
              <w:t>Ala</w:t>
            </w:r>
          </w:p>
        </w:tc>
        <w:tc>
          <w:tcPr>
            <w:tcW w:w="8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6"/>
                <w:szCs w:val="16"/>
              </w:rPr>
              <w:t>Arg</w:t>
            </w:r>
          </w:p>
        </w:tc>
        <w:tc>
          <w:tcPr>
            <w:tcW w:w="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6"/>
                <w:szCs w:val="16"/>
              </w:rPr>
              <w:t>Asn</w:t>
            </w:r>
          </w:p>
        </w:tc>
        <w:tc>
          <w:tcPr>
            <w:tcW w:w="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0" w:type="dxa"/>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6"/>
                <w:szCs w:val="16"/>
              </w:rPr>
              <w:t>Asp</w:t>
            </w:r>
          </w:p>
        </w:tc>
        <w:tc>
          <w:tcPr>
            <w:tcW w:w="44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6"/>
                <w:szCs w:val="16"/>
              </w:rPr>
              <w:t>Cys</w:t>
            </w:r>
          </w:p>
        </w:tc>
        <w:tc>
          <w:tcPr>
            <w:tcW w:w="44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Times New Roman" w:hAnsi="Times New Roman" w:cs="Times New Roman"/>
                <w:b/>
                <w:bCs/>
                <w:sz w:val="16"/>
                <w:szCs w:val="16"/>
              </w:rPr>
              <w:t>Gln</w:t>
            </w:r>
          </w:p>
        </w:tc>
        <w:tc>
          <w:tcPr>
            <w:tcW w:w="6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340" w:type="dxa"/>
            <w:gridSpan w:val="2"/>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Glu</w:t>
            </w:r>
          </w:p>
        </w:tc>
        <w:tc>
          <w:tcPr>
            <w:tcW w:w="4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6"/>
                <w:szCs w:val="16"/>
              </w:rPr>
              <w:t>Gly</w:t>
            </w:r>
          </w:p>
        </w:tc>
        <w:tc>
          <w:tcPr>
            <w:tcW w:w="340" w:type="dxa"/>
            <w:gridSpan w:val="2"/>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6"/>
                <w:szCs w:val="16"/>
              </w:rPr>
              <w:t>His</w:t>
            </w:r>
          </w:p>
        </w:tc>
        <w:tc>
          <w:tcPr>
            <w:tcW w:w="10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Times New Roman" w:hAnsi="Times New Roman" w:cs="Times New Roman"/>
                <w:b/>
                <w:bCs/>
                <w:sz w:val="16"/>
                <w:szCs w:val="16"/>
              </w:rPr>
              <w:t>Ile</w:t>
            </w:r>
          </w:p>
        </w:tc>
        <w:tc>
          <w:tcPr>
            <w:tcW w:w="6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38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16"/>
                <w:szCs w:val="16"/>
              </w:rPr>
              <w:t>Leu</w:t>
            </w:r>
          </w:p>
        </w:tc>
        <w:tc>
          <w:tcPr>
            <w:tcW w:w="46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b/>
                <w:bCs/>
                <w:w w:val="96"/>
                <w:sz w:val="16"/>
                <w:szCs w:val="16"/>
              </w:rPr>
              <w:t>Lys</w:t>
            </w:r>
          </w:p>
        </w:tc>
        <w:tc>
          <w:tcPr>
            <w:tcW w:w="44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New Roman" w:hAnsi="Times New Roman" w:cs="Times New Roman"/>
                <w:b/>
                <w:bCs/>
                <w:sz w:val="16"/>
                <w:szCs w:val="16"/>
              </w:rPr>
              <w:t>Met</w:t>
            </w:r>
          </w:p>
        </w:tc>
        <w:tc>
          <w:tcPr>
            <w:tcW w:w="44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Times New Roman" w:hAnsi="Times New Roman" w:cs="Times New Roman"/>
                <w:b/>
                <w:bCs/>
                <w:sz w:val="16"/>
                <w:szCs w:val="16"/>
              </w:rPr>
              <w:t>Phe</w:t>
            </w:r>
          </w:p>
        </w:tc>
        <w:tc>
          <w:tcPr>
            <w:tcW w:w="440" w:type="dxa"/>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6"/>
                <w:szCs w:val="16"/>
              </w:rPr>
              <w:t>Pro</w:t>
            </w:r>
          </w:p>
        </w:tc>
        <w:tc>
          <w:tcPr>
            <w:tcW w:w="8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80" w:type="dxa"/>
            <w:gridSpan w:val="2"/>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6"/>
                <w:szCs w:val="16"/>
              </w:rPr>
              <w:t>Ser</w:t>
            </w:r>
          </w:p>
        </w:tc>
        <w:tc>
          <w:tcPr>
            <w:tcW w:w="8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6"/>
                <w:szCs w:val="16"/>
              </w:rPr>
              <w:t>Thr</w:t>
            </w:r>
          </w:p>
        </w:tc>
        <w:tc>
          <w:tcPr>
            <w:tcW w:w="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b/>
                <w:bCs/>
                <w:w w:val="89"/>
                <w:sz w:val="16"/>
                <w:szCs w:val="16"/>
              </w:rPr>
              <w:t>Trp</w:t>
            </w:r>
          </w:p>
        </w:tc>
        <w:tc>
          <w:tcPr>
            <w:tcW w:w="340" w:type="dxa"/>
            <w:gridSpan w:val="2"/>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w w:val="92"/>
                <w:sz w:val="16"/>
                <w:szCs w:val="16"/>
              </w:rPr>
              <w:t>Tyr</w:t>
            </w:r>
          </w:p>
        </w:tc>
        <w:tc>
          <w:tcPr>
            <w:tcW w:w="10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60" w:type="dxa"/>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6"/>
                <w:szCs w:val="16"/>
              </w:rPr>
              <w:t>Val</w:t>
            </w:r>
          </w:p>
        </w:tc>
      </w:tr>
      <w:tr w:rsidR="00DD13AE">
        <w:trPr>
          <w:trHeight w:val="33"/>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2"/>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falciparum</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4.3</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7.4</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3.0</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Times New Roman" w:hAnsi="Times New Roman" w:cs="Times New Roman"/>
                <w:sz w:val="16"/>
                <w:szCs w:val="16"/>
              </w:rPr>
              <w:t>0.4</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5.6</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6"/>
                <w:szCs w:val="16"/>
              </w:rPr>
              <w:t>6.1</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3.5</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6.9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10.0</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10.4</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0.9</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5.2</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5.2</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7.8</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2"/>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vivax</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8.2</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Times New Roman" w:hAnsi="Times New Roman" w:cs="Times New Roman"/>
                <w:sz w:val="16"/>
                <w:szCs w:val="16"/>
              </w:rPr>
              <w:t>0.9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6.0</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4.7</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3.0</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9.0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10.3</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9.9</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6.0</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4.3</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4.7</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5.6</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6.4</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2"/>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inui</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2.5</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7.9</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2.9</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Times New Roman" w:hAnsi="Times New Roman" w:cs="Times New Roman"/>
                <w:sz w:val="16"/>
                <w:szCs w:val="16"/>
              </w:rPr>
              <w:t>0.8</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5.8</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4.6</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2.9</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9.2</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10.0</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9.2</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6.7</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4.2</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7.1</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5.4</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6.2</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2"/>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berghei</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3.0</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Times New Roman" w:hAnsi="Times New Roman" w:cs="Times New Roman"/>
                <w:sz w:val="16"/>
                <w:szCs w:val="16"/>
              </w:rPr>
              <w:t>0.9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6.1</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6.5</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2.2</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7.4</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9.5</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7.4</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1.7</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3.5</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8.2</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6.1</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5.2</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1"/>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yoelii</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2.6</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6.1</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Times New Roman" w:hAnsi="Times New Roman" w:cs="Times New Roman"/>
                <w:sz w:val="16"/>
                <w:szCs w:val="16"/>
              </w:rPr>
              <w:t>0.9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6.1</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7.8</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2.2</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8.2</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8.2</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7.4</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1.7</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7.4</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6.1</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6.1</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1"/>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knowlesi</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4.7</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7.7</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16"/>
                <w:szCs w:val="16"/>
              </w:rPr>
              <w:t>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6.4</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5.2</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3.0</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8.6</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10.3</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9.4</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0.9</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6.0</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3.4</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6.0</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5.6</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6.0</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1"/>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chabaudi</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3.5</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6.9</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16"/>
                <w:szCs w:val="16"/>
              </w:rPr>
              <w:t>1.3</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6.1</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6.5</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2.2</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7.4</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10.0</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7.8</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1.7</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5.6</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6.1</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5.2</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1"/>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6"/>
                <w:szCs w:val="16"/>
              </w:rPr>
              <w:t>vinckei</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3.0</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6.9</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16"/>
                <w:szCs w:val="16"/>
              </w:rPr>
              <w:t>1.7</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5.6</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6.9</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2.2</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6.9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10.0</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7.4</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1.3</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7.4</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6.1</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6.1</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1"/>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fragile</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4.7</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6.0</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7.3</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16"/>
                <w:szCs w:val="16"/>
              </w:rPr>
              <w:t>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6.9</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4.7</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3.0</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8.6</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9.4</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6"/>
                <w:szCs w:val="16"/>
              </w:rPr>
              <w:t>9.4</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1.3</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6.0</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6.0</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5.6</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6.4</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31"/>
        </w:trPr>
        <w:tc>
          <w:tcPr>
            <w:tcW w:w="98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reichenowi</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0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9"/>
                <w:sz w:val="16"/>
                <w:szCs w:val="16"/>
              </w:rPr>
              <w:t>4.3</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2.6</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5.2</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26"/>
              <w:jc w:val="right"/>
              <w:rPr>
                <w:rFonts w:ascii="Times New Roman" w:hAnsi="Times New Roman" w:cs="Times New Roman"/>
                <w:sz w:val="24"/>
                <w:szCs w:val="24"/>
              </w:rPr>
            </w:pPr>
            <w:r>
              <w:rPr>
                <w:rFonts w:ascii="Times New Roman" w:hAnsi="Times New Roman" w:cs="Times New Roman"/>
                <w:sz w:val="16"/>
                <w:szCs w:val="16"/>
              </w:rPr>
              <w:t>7.4</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3.0</w:t>
            </w:r>
          </w:p>
        </w:tc>
        <w:tc>
          <w:tcPr>
            <w:tcW w:w="44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16"/>
                <w:szCs w:val="16"/>
              </w:rPr>
              <w:t>0.4</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6"/>
                <w:szCs w:val="16"/>
              </w:rPr>
              <w:t>5.6</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6"/>
                <w:szCs w:val="16"/>
              </w:rPr>
              <w:t>6.1</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w w:val="99"/>
                <w:sz w:val="16"/>
                <w:szCs w:val="16"/>
              </w:rPr>
              <w:t>3.5</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16"/>
                <w:szCs w:val="16"/>
              </w:rPr>
              <w:t>6.5</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10.0</w:t>
            </w: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10.8</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0.9</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6.5</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3.9</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5.2</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4.3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0.4</w:t>
            </w:r>
          </w:p>
        </w:tc>
        <w:tc>
          <w:tcPr>
            <w:tcW w:w="1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6"/>
                <w:szCs w:val="16"/>
              </w:rPr>
              <w:t>5.2</w:t>
            </w: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6"/>
                <w:szCs w:val="16"/>
              </w:rPr>
              <w:t>8.2</w:t>
            </w:r>
          </w:p>
        </w:tc>
      </w:tr>
      <w:tr w:rsidR="00DD13AE">
        <w:trPr>
          <w:trHeight w:val="31"/>
        </w:trPr>
        <w:tc>
          <w:tcPr>
            <w:tcW w:w="98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6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460"/>
        </w:trPr>
        <w:tc>
          <w:tcPr>
            <w:tcW w:w="6720" w:type="dxa"/>
            <w:gridSpan w:val="33"/>
            <w:tcBorders>
              <w:top w:val="nil"/>
              <w:left w:val="nil"/>
              <w:bottom w:val="nil"/>
              <w:right w:val="nil"/>
            </w:tcBorders>
            <w:vAlign w:val="bottom"/>
          </w:tcPr>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Physico chemical characteristics of Plasmodial HGPRT transferases</w:t>
            </w:r>
          </w:p>
        </w:tc>
        <w:tc>
          <w:tcPr>
            <w:tcW w:w="3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r>
      <w:tr w:rsidR="00DD13AE">
        <w:trPr>
          <w:trHeight w:val="28"/>
        </w:trPr>
        <w:tc>
          <w:tcPr>
            <w:tcW w:w="1040" w:type="dxa"/>
            <w:gridSpan w:val="2"/>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6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gridSpan w:val="2"/>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gridSpan w:val="2"/>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4"/>
        </w:trPr>
        <w:tc>
          <w:tcPr>
            <w:tcW w:w="1040" w:type="dxa"/>
            <w:gridSpan w:val="2"/>
            <w:tcBorders>
              <w:top w:val="single" w:sz="8" w:space="0" w:color="auto"/>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Name of</w:t>
            </w:r>
          </w:p>
        </w:tc>
        <w:tc>
          <w:tcPr>
            <w:tcW w:w="18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4"/>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right="70"/>
              <w:jc w:val="center"/>
              <w:rPr>
                <w:rFonts w:ascii="Times New Roman" w:hAnsi="Times New Roman" w:cs="Times New Roman"/>
                <w:sz w:val="24"/>
                <w:szCs w:val="24"/>
              </w:rPr>
            </w:pPr>
            <w:r>
              <w:rPr>
                <w:rFonts w:ascii="Times New Roman" w:hAnsi="Times New Roman" w:cs="Times New Roman"/>
                <w:b/>
                <w:bCs/>
                <w:sz w:val="19"/>
                <w:szCs w:val="19"/>
              </w:rPr>
              <w:t>No of</w:t>
            </w:r>
          </w:p>
        </w:tc>
        <w:tc>
          <w:tcPr>
            <w:tcW w:w="4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060" w:type="dxa"/>
            <w:gridSpan w:val="4"/>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Molecular</w:t>
            </w:r>
          </w:p>
        </w:tc>
        <w:tc>
          <w:tcPr>
            <w:tcW w:w="280" w:type="dxa"/>
            <w:gridSpan w:val="2"/>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0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40" w:type="dxa"/>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w w:val="99"/>
                <w:sz w:val="19"/>
                <w:szCs w:val="19"/>
              </w:rPr>
              <w:t>pI</w:t>
            </w:r>
          </w:p>
        </w:tc>
        <w:tc>
          <w:tcPr>
            <w:tcW w:w="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0" w:type="dxa"/>
            <w:gridSpan w:val="3"/>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19"/>
                <w:szCs w:val="19"/>
              </w:rPr>
              <w:t>-ve</w:t>
            </w:r>
          </w:p>
        </w:tc>
        <w:tc>
          <w:tcPr>
            <w:tcW w:w="8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60" w:type="dxa"/>
            <w:gridSpan w:val="2"/>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+ve</w:t>
            </w:r>
          </w:p>
        </w:tc>
        <w:tc>
          <w:tcPr>
            <w:tcW w:w="32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60" w:type="dxa"/>
            <w:gridSpan w:val="4"/>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b/>
                <w:bCs/>
                <w:sz w:val="19"/>
                <w:szCs w:val="19"/>
              </w:rPr>
              <w:t>Instability</w:t>
            </w:r>
          </w:p>
        </w:tc>
        <w:tc>
          <w:tcPr>
            <w:tcW w:w="6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060" w:type="dxa"/>
            <w:gridSpan w:val="5"/>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Aliphatic</w:t>
            </w:r>
          </w:p>
        </w:tc>
        <w:tc>
          <w:tcPr>
            <w:tcW w:w="12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19"/>
                <w:szCs w:val="19"/>
              </w:rPr>
              <w:t>gravy</w:t>
            </w:r>
          </w:p>
        </w:tc>
      </w:tr>
      <w:tr w:rsidR="00DD13AE">
        <w:trPr>
          <w:trHeight w:val="240"/>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species</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8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70"/>
              <w:jc w:val="center"/>
              <w:rPr>
                <w:rFonts w:ascii="Times New Roman" w:hAnsi="Times New Roman" w:cs="Times New Roman"/>
                <w:sz w:val="24"/>
                <w:szCs w:val="24"/>
              </w:rPr>
            </w:pPr>
            <w:r>
              <w:rPr>
                <w:rFonts w:ascii="Times New Roman" w:hAnsi="Times New Roman" w:cs="Times New Roman"/>
                <w:b/>
                <w:bCs/>
                <w:sz w:val="19"/>
                <w:szCs w:val="19"/>
              </w:rPr>
              <w:t>amino</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b/>
                <w:bCs/>
                <w:sz w:val="19"/>
                <w:szCs w:val="19"/>
              </w:rPr>
              <w:t>weight</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0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charged</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0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charged</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96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b/>
                <w:bCs/>
                <w:sz w:val="19"/>
                <w:szCs w:val="19"/>
              </w:rPr>
              <w:t>index</w:t>
            </w: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56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index</w:t>
            </w: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r>
      <w:tr w:rsidR="00DD13AE">
        <w:trPr>
          <w:trHeight w:val="240"/>
        </w:trPr>
        <w:tc>
          <w:tcPr>
            <w:tcW w:w="980" w:type="dxa"/>
            <w:tcBorders>
              <w:top w:val="nil"/>
              <w:left w:val="single" w:sz="8" w:space="0" w:color="auto"/>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8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70"/>
              <w:jc w:val="center"/>
              <w:rPr>
                <w:rFonts w:ascii="Times New Roman" w:hAnsi="Times New Roman" w:cs="Times New Roman"/>
                <w:sz w:val="24"/>
                <w:szCs w:val="24"/>
              </w:rPr>
            </w:pPr>
            <w:r>
              <w:rPr>
                <w:rFonts w:ascii="Times New Roman" w:hAnsi="Times New Roman" w:cs="Times New Roman"/>
                <w:b/>
                <w:bCs/>
                <w:sz w:val="19"/>
                <w:szCs w:val="19"/>
              </w:rPr>
              <w:t>acids</w:t>
            </w: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940" w:type="dxa"/>
            <w:gridSpan w:val="5"/>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19"/>
                <w:szCs w:val="19"/>
              </w:rPr>
              <w:t>residues</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0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19"/>
                <w:szCs w:val="19"/>
              </w:rPr>
              <w:t>residues</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falciparum</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231</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26348.4</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7.06</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30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30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30.64</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6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92.77</w:t>
            </w: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-0.160</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6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r>
      <w:tr w:rsidR="00DD13AE">
        <w:trPr>
          <w:trHeight w:val="26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vivax</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233</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26970.1</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6.66</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33</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32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27.34</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6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97.85</w:t>
            </w: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-0.230</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6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r>
      <w:tr w:rsidR="00DD13AE">
        <w:trPr>
          <w:trHeight w:val="26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inui</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240</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27792.0</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6.65</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33</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32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33.38</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6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95.38</w:t>
            </w: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-0.193</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56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0" w:lineRule="exact"/>
              <w:rPr>
                <w:rFonts w:ascii="Times New Roman" w:hAnsi="Times New Roman" w:cs="Times New Roman"/>
                <w:sz w:val="2"/>
                <w:szCs w:val="2"/>
              </w:rPr>
            </w:pPr>
          </w:p>
        </w:tc>
      </w:tr>
      <w:tr w:rsidR="00DD13AE">
        <w:trPr>
          <w:trHeight w:val="26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berghei</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231</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26525.2</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6.52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29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28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27.80</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6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83.94</w:t>
            </w: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-0.288</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yoelii</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231</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26418.1</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6.52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29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28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22.43</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6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84.33</w:t>
            </w: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-0.257</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knowlesi</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233</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26955.0</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7.04</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33</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33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35.80</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6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94.94</w:t>
            </w: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-0.249</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chabaudi</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231</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26546.4</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6.22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30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28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24.50</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86.06</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-0.258</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vinckei</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231</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26485.2</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6.52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29</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28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26.70</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86.45</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-0.262</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fragile</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233</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27026.1</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7.04</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33</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33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34.36</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92.83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-0.273</w:t>
            </w:r>
          </w:p>
        </w:tc>
      </w:tr>
      <w:tr w:rsidR="00DD13AE">
        <w:trPr>
          <w:trHeight w:val="23"/>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reichenowi</w:t>
            </w: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w w:val="98"/>
                <w:sz w:val="19"/>
                <w:szCs w:val="19"/>
              </w:rPr>
              <w:t>231</w:t>
            </w: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4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86"/>
              <w:jc w:val="center"/>
              <w:rPr>
                <w:rFonts w:ascii="Times New Roman" w:hAnsi="Times New Roman" w:cs="Times New Roman"/>
                <w:sz w:val="24"/>
                <w:szCs w:val="24"/>
              </w:rPr>
            </w:pPr>
            <w:r>
              <w:rPr>
                <w:rFonts w:ascii="Times New Roman" w:hAnsi="Times New Roman" w:cs="Times New Roman"/>
                <w:sz w:val="19"/>
                <w:szCs w:val="19"/>
              </w:rPr>
              <w:t>26348.4</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78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7.59</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19"/>
                <w:szCs w:val="19"/>
              </w:rPr>
              <w:t>30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3"/>
              <w:jc w:val="right"/>
              <w:rPr>
                <w:rFonts w:ascii="Times New Roman" w:hAnsi="Times New Roman" w:cs="Times New Roman"/>
                <w:sz w:val="24"/>
                <w:szCs w:val="24"/>
              </w:rPr>
            </w:pPr>
            <w:r>
              <w:rPr>
                <w:rFonts w:ascii="Times New Roman" w:hAnsi="Times New Roman" w:cs="Times New Roman"/>
                <w:sz w:val="19"/>
                <w:szCs w:val="19"/>
              </w:rPr>
              <w:t>31</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8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29.68</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92.34</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rPr>
            </w:pPr>
          </w:p>
        </w:tc>
        <w:tc>
          <w:tcPr>
            <w:tcW w:w="900" w:type="dxa"/>
            <w:gridSpan w:val="4"/>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19"/>
                <w:szCs w:val="19"/>
              </w:rPr>
              <w:t>-0.163</w:t>
            </w:r>
          </w:p>
        </w:tc>
      </w:tr>
      <w:tr w:rsidR="00DD13AE">
        <w:trPr>
          <w:trHeight w:val="23"/>
        </w:trPr>
        <w:tc>
          <w:tcPr>
            <w:tcW w:w="1220" w:type="dxa"/>
            <w:gridSpan w:val="3"/>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5"/>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460"/>
        </w:trPr>
        <w:tc>
          <w:tcPr>
            <w:tcW w:w="5440" w:type="dxa"/>
            <w:gridSpan w:val="27"/>
            <w:tcBorders>
              <w:top w:val="nil"/>
              <w:left w:val="nil"/>
              <w:bottom w:val="nil"/>
              <w:right w:val="nil"/>
            </w:tcBorders>
            <w:vAlign w:val="bottom"/>
          </w:tcPr>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3: </w:t>
            </w:r>
            <w:r>
              <w:rPr>
                <w:rFonts w:ascii="Times New Roman" w:hAnsi="Times New Roman" w:cs="Times New Roman"/>
                <w:sz w:val="19"/>
                <w:szCs w:val="19"/>
              </w:rPr>
              <w:t>Secondary structure of Plasmodia HGPRT transferases.</w:t>
            </w: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r>
      <w:tr w:rsidR="00DD13AE">
        <w:trPr>
          <w:trHeight w:val="28"/>
        </w:trPr>
        <w:tc>
          <w:tcPr>
            <w:tcW w:w="1040" w:type="dxa"/>
            <w:gridSpan w:val="2"/>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60" w:type="dxa"/>
            <w:gridSpan w:val="4"/>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40" w:type="dxa"/>
            <w:gridSpan w:val="4"/>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8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0" w:type="dxa"/>
            <w:gridSpan w:val="4"/>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0" w:type="dxa"/>
            <w:gridSpan w:val="4"/>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00" w:type="dxa"/>
            <w:gridSpan w:val="5"/>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3"/>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71"/>
        </w:trPr>
        <w:tc>
          <w:tcPr>
            <w:tcW w:w="1040" w:type="dxa"/>
            <w:gridSpan w:val="2"/>
            <w:tcBorders>
              <w:top w:val="single" w:sz="8" w:space="0" w:color="auto"/>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sz w:val="18"/>
                <w:szCs w:val="18"/>
              </w:rPr>
              <w:t>Species</w:t>
            </w:r>
          </w:p>
        </w:tc>
        <w:tc>
          <w:tcPr>
            <w:tcW w:w="18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560" w:type="dxa"/>
            <w:gridSpan w:val="3"/>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Alpha</w:t>
            </w:r>
          </w:p>
        </w:tc>
        <w:tc>
          <w:tcPr>
            <w:tcW w:w="18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860" w:type="dxa"/>
            <w:gridSpan w:val="4"/>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w:t>
            </w:r>
            <w:r>
              <w:rPr>
                <w:rFonts w:ascii="Times New Roman" w:hAnsi="Times New Roman" w:cs="Times New Roman"/>
                <w:b/>
                <w:bCs/>
                <w:sz w:val="20"/>
                <w:szCs w:val="20"/>
                <w:vertAlign w:val="subscript"/>
              </w:rPr>
              <w:t>10</w:t>
            </w:r>
            <w:r>
              <w:rPr>
                <w:rFonts w:ascii="Times New Roman" w:hAnsi="Times New Roman" w:cs="Times New Roman"/>
                <w:b/>
                <w:bCs/>
                <w:sz w:val="18"/>
                <w:szCs w:val="18"/>
              </w:rPr>
              <w:t xml:space="preserve"> helix</w:t>
            </w:r>
          </w:p>
        </w:tc>
        <w:tc>
          <w:tcPr>
            <w:tcW w:w="740" w:type="dxa"/>
            <w:gridSpan w:val="4"/>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Pi helix</w:t>
            </w:r>
          </w:p>
        </w:tc>
        <w:tc>
          <w:tcPr>
            <w:tcW w:w="10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2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480" w:type="dxa"/>
            <w:gridSpan w:val="3"/>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b/>
                <w:bCs/>
                <w:sz w:val="18"/>
                <w:szCs w:val="18"/>
              </w:rPr>
              <w:t>Beta</w:t>
            </w:r>
          </w:p>
        </w:tc>
        <w:tc>
          <w:tcPr>
            <w:tcW w:w="14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800" w:type="dxa"/>
            <w:gridSpan w:val="4"/>
            <w:tcBorders>
              <w:top w:val="single" w:sz="8" w:space="0" w:color="auto"/>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Extended</w:t>
            </w:r>
          </w:p>
        </w:tc>
        <w:tc>
          <w:tcPr>
            <w:tcW w:w="80" w:type="dxa"/>
            <w:tcBorders>
              <w:top w:val="single" w:sz="8" w:space="0" w:color="auto"/>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720" w:type="dxa"/>
            <w:gridSpan w:val="2"/>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18"/>
                <w:szCs w:val="18"/>
              </w:rPr>
              <w:t>Beta</w:t>
            </w:r>
          </w:p>
        </w:tc>
        <w:tc>
          <w:tcPr>
            <w:tcW w:w="4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820" w:type="dxa"/>
            <w:gridSpan w:val="3"/>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Bend</w:t>
            </w:r>
          </w:p>
        </w:tc>
        <w:tc>
          <w:tcPr>
            <w:tcW w:w="6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800" w:type="dxa"/>
            <w:gridSpan w:val="4"/>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5"/>
              <w:jc w:val="center"/>
              <w:rPr>
                <w:rFonts w:ascii="Times New Roman" w:hAnsi="Times New Roman" w:cs="Times New Roman"/>
                <w:sz w:val="24"/>
                <w:szCs w:val="24"/>
              </w:rPr>
            </w:pPr>
            <w:r>
              <w:rPr>
                <w:rFonts w:ascii="Times New Roman" w:hAnsi="Times New Roman" w:cs="Times New Roman"/>
                <w:b/>
                <w:bCs/>
                <w:sz w:val="18"/>
                <w:szCs w:val="18"/>
              </w:rPr>
              <w:t>Random</w:t>
            </w:r>
          </w:p>
        </w:tc>
        <w:tc>
          <w:tcPr>
            <w:tcW w:w="80" w:type="dxa"/>
            <w:tcBorders>
              <w:top w:val="single" w:sz="8" w:space="0" w:color="auto"/>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3"/>
                <w:szCs w:val="23"/>
              </w:rPr>
            </w:pPr>
          </w:p>
        </w:tc>
        <w:tc>
          <w:tcPr>
            <w:tcW w:w="1100" w:type="dxa"/>
            <w:gridSpan w:val="5"/>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Ambiguous</w:t>
            </w:r>
          </w:p>
        </w:tc>
        <w:tc>
          <w:tcPr>
            <w:tcW w:w="680" w:type="dxa"/>
            <w:gridSpan w:val="3"/>
            <w:tcBorders>
              <w:top w:val="single" w:sz="8" w:space="0" w:color="auto"/>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Other</w:t>
            </w:r>
          </w:p>
        </w:tc>
      </w:tr>
      <w:tr w:rsidR="00DD13AE">
        <w:trPr>
          <w:trHeight w:val="212"/>
        </w:trPr>
        <w:tc>
          <w:tcPr>
            <w:tcW w:w="980" w:type="dxa"/>
            <w:tcBorders>
              <w:top w:val="nil"/>
              <w:left w:val="single" w:sz="8" w:space="0" w:color="auto"/>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48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New Roman" w:hAnsi="Times New Roman" w:cs="Times New Roman"/>
                <w:b/>
                <w:bCs/>
                <w:sz w:val="18"/>
                <w:szCs w:val="18"/>
              </w:rPr>
              <w:t>helix</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4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72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48"/>
              <w:jc w:val="center"/>
              <w:rPr>
                <w:rFonts w:ascii="Times New Roman" w:hAnsi="Times New Roman" w:cs="Times New Roman"/>
                <w:sz w:val="24"/>
                <w:szCs w:val="24"/>
              </w:rPr>
            </w:pPr>
            <w:r>
              <w:rPr>
                <w:rFonts w:ascii="Times New Roman" w:hAnsi="Times New Roman" w:cs="Times New Roman"/>
                <w:b/>
                <w:bCs/>
                <w:sz w:val="18"/>
                <w:szCs w:val="18"/>
              </w:rPr>
              <w:t>bridge</w:t>
            </w: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80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strand</w:t>
            </w: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18"/>
                <w:szCs w:val="18"/>
              </w:rPr>
              <w:t>turn</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region</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95"/>
              <w:jc w:val="center"/>
              <w:rPr>
                <w:rFonts w:ascii="Times New Roman" w:hAnsi="Times New Roman" w:cs="Times New Roman"/>
                <w:sz w:val="24"/>
                <w:szCs w:val="24"/>
              </w:rPr>
            </w:pPr>
            <w:r>
              <w:rPr>
                <w:rFonts w:ascii="Times New Roman" w:hAnsi="Times New Roman" w:cs="Times New Roman"/>
                <w:b/>
                <w:bCs/>
                <w:sz w:val="18"/>
                <w:szCs w:val="18"/>
              </w:rPr>
              <w:t>coil</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88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18"/>
              <w:jc w:val="center"/>
              <w:rPr>
                <w:rFonts w:ascii="Times New Roman" w:hAnsi="Times New Roman" w:cs="Times New Roman"/>
                <w:sz w:val="24"/>
                <w:szCs w:val="24"/>
              </w:rPr>
            </w:pPr>
            <w:r>
              <w:rPr>
                <w:rFonts w:ascii="Times New Roman" w:hAnsi="Times New Roman" w:cs="Times New Roman"/>
                <w:b/>
                <w:bCs/>
                <w:sz w:val="18"/>
                <w:szCs w:val="18"/>
              </w:rPr>
              <w:t>state</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8"/>
                <w:szCs w:val="18"/>
              </w:rPr>
            </w:pPr>
          </w:p>
        </w:tc>
        <w:tc>
          <w:tcPr>
            <w:tcW w:w="68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states</w:t>
            </w:r>
          </w:p>
        </w:tc>
      </w:tr>
      <w:tr w:rsidR="00DD13AE">
        <w:trPr>
          <w:trHeight w:val="29"/>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falciparum</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32.90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25.54</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41.56</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vivax</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22.32</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30.47</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47.21</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inui</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18.75</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33.75</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47.50</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berghei</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20.78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33.33</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45.89</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yoelii</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19.48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33.77</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46.75</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knowlesi</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29.61</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25.32</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45.06</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chabaudi</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22.51</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30.30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47.19</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vinckei</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22.08</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29.44</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48.48</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fragile</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22.75</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29.18</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48.07</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1040" w:type="dxa"/>
            <w:gridSpan w:val="2"/>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2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72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20" w:type="dxa"/>
            <w:gridSpan w:val="3"/>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80" w:type="dxa"/>
            <w:gridSpan w:val="3"/>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40" w:type="dxa"/>
            <w:gridSpan w:val="4"/>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560" w:type="dxa"/>
            <w:gridSpan w:val="2"/>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3"/>
        </w:trPr>
        <w:tc>
          <w:tcPr>
            <w:tcW w:w="1040" w:type="dxa"/>
            <w:gridSpan w:val="2"/>
            <w:tcBorders>
              <w:top w:val="nil"/>
              <w:left w:val="single" w:sz="8" w:space="0" w:color="auto"/>
              <w:bottom w:val="nil"/>
              <w:right w:val="nil"/>
            </w:tcBorders>
            <w:vAlign w:val="bottom"/>
          </w:tcPr>
          <w:p w:rsidR="00DD13AE" w:rsidRDefault="00C5634D">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8"/>
                <w:szCs w:val="18"/>
              </w:rPr>
              <w:t>reichenowi</w:t>
            </w: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2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32.03</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2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w w:val="95"/>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4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40" w:type="dxa"/>
            <w:gridSpan w:val="2"/>
            <w:tcBorders>
              <w:top w:val="nil"/>
              <w:left w:val="nil"/>
              <w:bottom w:val="nil"/>
              <w:right w:val="nil"/>
            </w:tcBorders>
            <w:vAlign w:val="bottom"/>
          </w:tcPr>
          <w:p w:rsidR="00DD13AE" w:rsidRDefault="00C5634D">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w w:val="98"/>
                <w:sz w:val="18"/>
                <w:szCs w:val="18"/>
              </w:rPr>
              <w:t>27.27</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72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0.00</w:t>
            </w:r>
          </w:p>
        </w:tc>
        <w:tc>
          <w:tcPr>
            <w:tcW w:w="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3"/>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0.00</w:t>
            </w:r>
          </w:p>
        </w:tc>
        <w:tc>
          <w:tcPr>
            <w:tcW w:w="6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80" w:type="dxa"/>
            <w:gridSpan w:val="3"/>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55"/>
              <w:jc w:val="center"/>
              <w:rPr>
                <w:rFonts w:ascii="Times New Roman" w:hAnsi="Times New Roman" w:cs="Times New Roman"/>
                <w:sz w:val="24"/>
                <w:szCs w:val="24"/>
              </w:rPr>
            </w:pPr>
            <w:r>
              <w:rPr>
                <w:rFonts w:ascii="Times New Roman" w:hAnsi="Times New Roman" w:cs="Times New Roman"/>
                <w:w w:val="98"/>
                <w:sz w:val="18"/>
                <w:szCs w:val="18"/>
              </w:rPr>
              <w:t>40.69</w:t>
            </w: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840" w:type="dxa"/>
            <w:gridSpan w:val="4"/>
            <w:tcBorders>
              <w:top w:val="nil"/>
              <w:left w:val="nil"/>
              <w:bottom w:val="nil"/>
              <w:right w:val="nil"/>
            </w:tcBorders>
            <w:vAlign w:val="bottom"/>
          </w:tcPr>
          <w:p w:rsidR="00DD13AE" w:rsidRDefault="00C5634D">
            <w:pPr>
              <w:widowControl w:val="0"/>
              <w:autoSpaceDE w:val="0"/>
              <w:autoSpaceDN w:val="0"/>
              <w:adjustRightInd w:val="0"/>
              <w:spacing w:after="0" w:line="240" w:lineRule="auto"/>
              <w:ind w:left="227"/>
              <w:jc w:val="center"/>
              <w:rPr>
                <w:rFonts w:ascii="Times New Roman" w:hAnsi="Times New Roman" w:cs="Times New Roman"/>
                <w:sz w:val="24"/>
                <w:szCs w:val="24"/>
              </w:rPr>
            </w:pPr>
            <w:r>
              <w:rPr>
                <w:rFonts w:ascii="Times New Roman" w:hAnsi="Times New Roman" w:cs="Times New Roman"/>
                <w:sz w:val="18"/>
                <w:szCs w:val="18"/>
              </w:rPr>
              <w:t>0.00</w:t>
            </w: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1"/>
                <w:szCs w:val="21"/>
              </w:rPr>
            </w:pPr>
          </w:p>
        </w:tc>
        <w:tc>
          <w:tcPr>
            <w:tcW w:w="560" w:type="dxa"/>
            <w:gridSpan w:val="2"/>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New Roman" w:hAnsi="Times New Roman" w:cs="Times New Roman"/>
                <w:w w:val="95"/>
                <w:sz w:val="18"/>
                <w:szCs w:val="18"/>
              </w:rPr>
              <w:t>0.00</w:t>
            </w:r>
          </w:p>
        </w:tc>
      </w:tr>
      <w:tr w:rsidR="00DD13AE">
        <w:trPr>
          <w:trHeight w:val="25"/>
        </w:trPr>
        <w:tc>
          <w:tcPr>
            <w:tcW w:w="980" w:type="dxa"/>
            <w:tcBorders>
              <w:top w:val="nil"/>
              <w:left w:val="single" w:sz="8" w:space="0" w:color="auto"/>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bl>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pgSz w:w="12240" w:h="15840"/>
          <w:pgMar w:top="704" w:right="1280" w:bottom="214" w:left="1160" w:header="720" w:footer="720" w:gutter="0"/>
          <w:cols w:space="720" w:equalWidth="0">
            <w:col w:w="9800"/>
          </w:cols>
          <w:noEndnote/>
        </w:sectPr>
      </w:pPr>
      <w:r w:rsidRPr="00DD13AE">
        <w:rPr>
          <w:noProof/>
        </w:rPr>
        <w:pict>
          <v:line id="_x0000_s1035" style="position:absolute;z-index:-251649024;mso-position-horizontal-relative:text;mso-position-vertical-relative:text" from="0,31.55pt" to="489pt,31.55pt" o:allowincell="f" strokecolor="#210002" strokeweight="3pt"/>
        </w:pict>
      </w:r>
      <w:r w:rsidRPr="00DD13AE">
        <w:rPr>
          <w:noProof/>
        </w:rPr>
        <w:pict>
          <v:line id="_x0000_s1036" style="position:absolute;z-index:-251648000;mso-position-horizontal-relative:text;mso-position-vertical-relative:text" from="0,34.1pt" to="489pt,34.1pt" o:allowincell="f" strokecolor="#210002"/>
        </w:pic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324" w:lineRule="exact"/>
        <w:rPr>
          <w:rFonts w:ascii="Times New Roman" w:hAnsi="Times New Roman" w:cs="Times New Roman"/>
          <w:sz w:val="24"/>
          <w:szCs w:val="24"/>
        </w:rPr>
      </w:pPr>
    </w:p>
    <w:p w:rsidR="00DD13AE" w:rsidRDefault="00C5634D">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244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type w:val="continuous"/>
          <w:pgSz w:w="12240" w:h="15840"/>
          <w:pgMar w:top="704" w:right="1300" w:bottom="214" w:left="1160" w:header="720" w:footer="720" w:gutter="0"/>
          <w:cols w:space="720" w:equalWidth="0">
            <w:col w:w="9780"/>
          </w:cols>
          <w:noEndnote/>
        </w:sectPr>
      </w:pPr>
    </w:p>
    <w:tbl>
      <w:tblPr>
        <w:tblW w:w="0" w:type="auto"/>
        <w:tblLayout w:type="fixed"/>
        <w:tblCellMar>
          <w:left w:w="0" w:type="dxa"/>
          <w:right w:w="0" w:type="dxa"/>
        </w:tblCellMar>
        <w:tblLook w:val="0000"/>
      </w:tblPr>
      <w:tblGrid>
        <w:gridCol w:w="1240"/>
        <w:gridCol w:w="1180"/>
        <w:gridCol w:w="2820"/>
        <w:gridCol w:w="1140"/>
        <w:gridCol w:w="1140"/>
        <w:gridCol w:w="1140"/>
        <w:gridCol w:w="1140"/>
      </w:tblGrid>
      <w:tr w:rsidR="00DD13AE">
        <w:trPr>
          <w:trHeight w:val="201"/>
        </w:trPr>
        <w:tc>
          <w:tcPr>
            <w:tcW w:w="1240" w:type="dxa"/>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Volume 2. No 3/2015.</w:t>
            </w:r>
          </w:p>
        </w:tc>
        <w:tc>
          <w:tcPr>
            <w:tcW w:w="1180" w:type="dxa"/>
            <w:tcBorders>
              <w:top w:val="nil"/>
              <w:left w:val="nil"/>
              <w:bottom w:val="single" w:sz="8" w:space="0" w:color="1D258F"/>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7"/>
                <w:szCs w:val="17"/>
              </w:rPr>
            </w:pPr>
          </w:p>
        </w:tc>
        <w:tc>
          <w:tcPr>
            <w:tcW w:w="2820" w:type="dxa"/>
            <w:tcBorders>
              <w:top w:val="nil"/>
              <w:left w:val="nil"/>
              <w:bottom w:val="single" w:sz="8" w:space="0" w:color="1D258F"/>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17"/>
                <w:szCs w:val="17"/>
              </w:rPr>
            </w:pPr>
          </w:p>
        </w:tc>
        <w:tc>
          <w:tcPr>
            <w:tcW w:w="3420" w:type="dxa"/>
            <w:gridSpan w:val="3"/>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rPr>
                <w:rFonts w:ascii="Times New Roman" w:hAnsi="Times New Roman" w:cs="Times New Roman"/>
                <w:sz w:val="24"/>
                <w:szCs w:val="24"/>
              </w:rPr>
            </w:pPr>
            <w:r>
              <w:rPr>
                <w:rFonts w:ascii="Agency FB" w:hAnsi="Agency FB" w:cs="Agency FB"/>
                <w:color w:val="1D258F"/>
                <w:sz w:val="17"/>
                <w:szCs w:val="17"/>
              </w:rPr>
              <w:t>ISSN 2313-0008 (Print); ISSN 2313-0016 (Online)</w:t>
            </w:r>
          </w:p>
        </w:tc>
        <w:tc>
          <w:tcPr>
            <w:tcW w:w="1140" w:type="dxa"/>
            <w:tcBorders>
              <w:top w:val="nil"/>
              <w:left w:val="nil"/>
              <w:bottom w:val="single" w:sz="8" w:space="0" w:color="1D258F"/>
              <w:right w:val="nil"/>
            </w:tcBorders>
            <w:vAlign w:val="bottom"/>
          </w:tcPr>
          <w:p w:rsidR="00DD13AE" w:rsidRDefault="00DD13AE" w:rsidP="005166EC">
            <w:pPr>
              <w:widowControl w:val="0"/>
              <w:autoSpaceDE w:val="0"/>
              <w:autoSpaceDN w:val="0"/>
              <w:adjustRightInd w:val="0"/>
              <w:spacing w:after="0" w:line="200" w:lineRule="exact"/>
              <w:rPr>
                <w:rFonts w:ascii="Times New Roman" w:hAnsi="Times New Roman" w:cs="Times New Roman"/>
                <w:sz w:val="24"/>
                <w:szCs w:val="24"/>
              </w:rPr>
            </w:pPr>
          </w:p>
        </w:tc>
      </w:tr>
      <w:tr w:rsidR="00DD13AE">
        <w:trPr>
          <w:trHeight w:val="356"/>
        </w:trPr>
        <w:tc>
          <w:tcPr>
            <w:tcW w:w="7520" w:type="dxa"/>
            <w:gridSpan w:val="5"/>
            <w:tcBorders>
              <w:top w:val="nil"/>
              <w:left w:val="nil"/>
              <w:bottom w:val="nil"/>
              <w:right w:val="nil"/>
            </w:tcBorders>
            <w:vAlign w:val="bottom"/>
          </w:tcPr>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4: </w:t>
            </w:r>
            <w:r>
              <w:rPr>
                <w:rFonts w:ascii="Times New Roman" w:hAnsi="Times New Roman" w:cs="Times New Roman"/>
                <w:sz w:val="19"/>
                <w:szCs w:val="19"/>
              </w:rPr>
              <w:t>Prediction of transmembrane regions of the Plasmodia HGPRT transferases</w:t>
            </w:r>
          </w:p>
        </w:tc>
        <w:tc>
          <w:tcPr>
            <w:tcW w:w="1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4"/>
                <w:szCs w:val="24"/>
              </w:rPr>
            </w:pPr>
          </w:p>
        </w:tc>
      </w:tr>
      <w:tr w:rsidR="00DD13AE">
        <w:trPr>
          <w:trHeight w:val="28"/>
        </w:trPr>
        <w:tc>
          <w:tcPr>
            <w:tcW w:w="12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nil"/>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54"/>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No.</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N terminal</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Transmembrane region</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9"/>
                <w:szCs w:val="19"/>
              </w:rPr>
              <w:t>C terminal</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Type</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19"/>
                <w:szCs w:val="19"/>
              </w:rPr>
              <w:t>Length</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Protein</w:t>
            </w:r>
          </w:p>
        </w:tc>
      </w:tr>
      <w:tr w:rsidR="00DD13AE">
        <w:trPr>
          <w:trHeight w:val="25"/>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3"/>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falciparum</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vivax</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inui</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1</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MTPQNVNIFFLCSPGAGESA</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Signal</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Membrane</w:t>
            </w:r>
          </w:p>
        </w:tc>
      </w:tr>
      <w:tr w:rsidR="00DD13AE">
        <w:trPr>
          <w:trHeight w:val="240"/>
        </w:trPr>
        <w:tc>
          <w:tcPr>
            <w:tcW w:w="1240" w:type="dxa"/>
            <w:tcBorders>
              <w:top w:val="nil"/>
              <w:left w:val="single" w:sz="8" w:space="0" w:color="auto"/>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282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Peptide</w:t>
            </w:r>
          </w:p>
        </w:tc>
        <w:tc>
          <w:tcPr>
            <w:tcW w:w="1140" w:type="dxa"/>
            <w:tcBorders>
              <w:top w:val="nil"/>
              <w:left w:val="nil"/>
              <w:bottom w:val="nil"/>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bound</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berghei</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yoelii</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knowlesi</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chabaudi</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vinckei</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fragile</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r w:rsidR="00DD13AE">
        <w:trPr>
          <w:trHeight w:val="262"/>
        </w:trPr>
        <w:tc>
          <w:tcPr>
            <w:tcW w:w="1240" w:type="dxa"/>
            <w:tcBorders>
              <w:top w:val="nil"/>
              <w:left w:val="single" w:sz="8" w:space="0" w:color="auto"/>
              <w:bottom w:val="nil"/>
              <w:right w:val="single" w:sz="8" w:space="0" w:color="auto"/>
            </w:tcBorders>
            <w:vAlign w:val="bottom"/>
          </w:tcPr>
          <w:p w:rsidR="00DD13AE" w:rsidRDefault="00C5634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reichenowi</w:t>
            </w:r>
          </w:p>
        </w:tc>
        <w:tc>
          <w:tcPr>
            <w:tcW w:w="118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282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w:t>
            </w:r>
          </w:p>
        </w:tc>
        <w:tc>
          <w:tcPr>
            <w:tcW w:w="1140" w:type="dxa"/>
            <w:tcBorders>
              <w:top w:val="nil"/>
              <w:left w:val="nil"/>
              <w:bottom w:val="nil"/>
              <w:right w:val="single" w:sz="8" w:space="0" w:color="auto"/>
            </w:tcBorders>
            <w:vAlign w:val="bottom"/>
          </w:tcPr>
          <w:p w:rsidR="00DD13AE" w:rsidRDefault="00C5634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soluble</w:t>
            </w:r>
          </w:p>
        </w:tc>
      </w:tr>
      <w:tr w:rsidR="00DD13AE">
        <w:trPr>
          <w:trHeight w:val="23"/>
        </w:trPr>
        <w:tc>
          <w:tcPr>
            <w:tcW w:w="1240" w:type="dxa"/>
            <w:tcBorders>
              <w:top w:val="nil"/>
              <w:left w:val="single" w:sz="8" w:space="0" w:color="auto"/>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282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D13AE" w:rsidRDefault="00DD13AE">
            <w:pPr>
              <w:widowControl w:val="0"/>
              <w:autoSpaceDE w:val="0"/>
              <w:autoSpaceDN w:val="0"/>
              <w:adjustRightInd w:val="0"/>
              <w:spacing w:after="0" w:line="240" w:lineRule="auto"/>
              <w:rPr>
                <w:rFonts w:ascii="Times New Roman" w:hAnsi="Times New Roman" w:cs="Times New Roman"/>
                <w:sz w:val="2"/>
                <w:szCs w:val="2"/>
              </w:rPr>
            </w:pPr>
          </w:p>
        </w:tc>
      </w:tr>
    </w:tbl>
    <w:p w:rsidR="00DD13AE" w:rsidRDefault="00DD13AE">
      <w:pPr>
        <w:widowControl w:val="0"/>
        <w:autoSpaceDE w:val="0"/>
        <w:autoSpaceDN w:val="0"/>
        <w:adjustRightInd w:val="0"/>
        <w:spacing w:after="0" w:line="299"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A</w:t>
      </w:r>
      <w:r>
        <w:rPr>
          <w:rFonts w:ascii="Helvetica" w:hAnsi="Helvetica" w:cs="Helvetica"/>
          <w:b/>
          <w:bCs/>
          <w:color w:val="1D258F"/>
          <w:sz w:val="16"/>
          <w:szCs w:val="16"/>
        </w:rPr>
        <w:t>cknowledgments</w:t>
      </w:r>
      <w:r>
        <w:rPr>
          <w:rFonts w:ascii="Helvetica" w:hAnsi="Helvetica" w:cs="Helvetica"/>
          <w:b/>
          <w:bCs/>
          <w:color w:val="1D258F"/>
          <w:sz w:val="23"/>
          <w:szCs w:val="23"/>
        </w:rPr>
        <w:t>:</w:t>
      </w:r>
    </w:p>
    <w:p w:rsidR="00DD13AE" w:rsidRDefault="00DD13AE">
      <w:pPr>
        <w:widowControl w:val="0"/>
        <w:autoSpaceDE w:val="0"/>
        <w:autoSpaceDN w:val="0"/>
        <w:adjustRightInd w:val="0"/>
        <w:spacing w:after="0" w:line="101"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This work is partially supported by CV Raman International Fellowship for African Researchers.</w:t>
      </w:r>
    </w:p>
    <w:p w:rsidR="00DD13AE" w:rsidRDefault="00DD13AE">
      <w:pPr>
        <w:widowControl w:val="0"/>
        <w:autoSpaceDE w:val="0"/>
        <w:autoSpaceDN w:val="0"/>
        <w:adjustRightInd w:val="0"/>
        <w:spacing w:after="0" w:line="256"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DD13AE" w:rsidRDefault="00DD13AE">
      <w:pPr>
        <w:widowControl w:val="0"/>
        <w:autoSpaceDE w:val="0"/>
        <w:autoSpaceDN w:val="0"/>
        <w:adjustRightInd w:val="0"/>
        <w:spacing w:after="0" w:line="143"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Altschul, S.F., Gish, W., Miller, W., Myers, E.W., Lipman, D.J. (1990) Basic local alignment search tool. J. Mol. Biol. 215: 403-10.</w:t>
      </w:r>
    </w:p>
    <w:p w:rsidR="00DD13AE" w:rsidRDefault="00DD13AE">
      <w:pPr>
        <w:widowControl w:val="0"/>
        <w:autoSpaceDE w:val="0"/>
        <w:autoSpaceDN w:val="0"/>
        <w:adjustRightInd w:val="0"/>
        <w:spacing w:after="0" w:line="69"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Altschul, S.F., Madden, T.L., Schaffer, A.A., Zhang, J., Zhang, Z., Miller, W., Lipman, D.J. (1997) Gapped BLAST and PSI-BLAST: a new generation of protein database search programs. Nucleic Acids Res. 25: 3389-402.</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54" w:lineRule="auto"/>
        <w:ind w:left="360" w:hanging="360"/>
        <w:jc w:val="both"/>
        <w:rPr>
          <w:rFonts w:ascii="Times New Roman" w:hAnsi="Times New Roman" w:cs="Times New Roman"/>
          <w:sz w:val="24"/>
          <w:szCs w:val="24"/>
        </w:rPr>
      </w:pPr>
      <w:r>
        <w:rPr>
          <w:rFonts w:ascii="Times New Roman" w:hAnsi="Times New Roman" w:cs="Times New Roman"/>
          <w:sz w:val="17"/>
          <w:szCs w:val="17"/>
        </w:rPr>
        <w:t>Bahl A, Brunk B, Coppel RL, Crabtree J, Diskin SJ, Fraunholz MJ, Grant GR, Gupta D, Huestis RL, Kissinger JC, Labo P, Li L, McWeeney SK, Milgram AJ, Roos DS, Schug J, Stoeckert CJ Jr. (2002) PlasmoDB: the Plasmodium genome resource. An integrated database providing tools for accessing, analyzing and mapping expression and sequence data (both finished and unfinished). Nucleic Acids Res. 2002 Jan 1;30(1):87-90.</w:t>
      </w:r>
    </w:p>
    <w:p w:rsidR="00DD13AE" w:rsidRDefault="00DD13AE">
      <w:pPr>
        <w:widowControl w:val="0"/>
        <w:autoSpaceDE w:val="0"/>
        <w:autoSpaceDN w:val="0"/>
        <w:adjustRightInd w:val="0"/>
        <w:spacing w:after="0" w:line="48"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Bairoch A. and R. Apweiler R. (2000). “The SWISS-PROT protein sequence database and its supplement TrEMBL in 2000,” Nucl. Acids Res., vol. 28, pp. 45–48, 2000.</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Berman PA, Human L, Freese JA. (1991) Xanthine oxidase inhibits growth of </w:t>
      </w:r>
      <w:r>
        <w:rPr>
          <w:rFonts w:ascii="Times New Roman" w:hAnsi="Times New Roman" w:cs="Times New Roman"/>
          <w:i/>
          <w:iCs/>
          <w:sz w:val="17"/>
          <w:szCs w:val="17"/>
        </w:rPr>
        <w:t>Plasmodium falciparum</w:t>
      </w:r>
      <w:r>
        <w:rPr>
          <w:rFonts w:ascii="Times New Roman" w:hAnsi="Times New Roman" w:cs="Times New Roman"/>
          <w:sz w:val="17"/>
          <w:szCs w:val="17"/>
        </w:rPr>
        <w:t xml:space="preserve"> in human erythrocytes in vitro. J Clin Invest. 1991 Dec;88(6):1848-55.</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Combet C., Blanchet C., Geourjon C. and Deléage G. (2000). NPS@: Network Protein Sequence Analysis. TIBS 2000 March Vol. 25, No 3 [291]:147-150.</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Craig SP 3rd and Eakin AE. (2000) Purine phosphoribosyltransferases. J Biol Chem. 2000 Jul 7;275(27):20231-4.</w:t>
      </w:r>
    </w:p>
    <w:p w:rsidR="00DD13AE" w:rsidRDefault="00DD13AE">
      <w:pPr>
        <w:widowControl w:val="0"/>
        <w:autoSpaceDE w:val="0"/>
        <w:autoSpaceDN w:val="0"/>
        <w:adjustRightInd w:val="0"/>
        <w:spacing w:after="0" w:line="69"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Eads JC, Ozturk D, Wexler TB, Grubmeyer C, Sacchettini JC. (1997) A new function for a common fold: the crystal structure of quinolinic acid phosphoribosyltransferase. Structure. 1997 Jan 15;5(1):47-58.</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Gasteiger E., Jung E. Bairoch A. (2001). “SWISS-PROT: Connecting biological knowledge via a protein database,” Curr. Issues Mol. Biol., vol. 3, pp. 47–55, 2001.</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Geourjon C. and Deleage G. (1995). “SOPMA: Significant Improvements in protein secondary structure prediction by consensus prediction from multiple alignments,” Comput. Appl. Biosci., vol. 11, pp. 681–684, 1995.</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Gomi M., Sonoyama M., and Mitaku S. (2004). High performance system for signal peptide prediction: SOSUIsignal Chem-Bio Info. J., 4 :142-147.</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HersheyH.V.,TaylorM.W.Nucleotidesequenceanddeducedaminoacidsequenceof</w:t>
      </w:r>
      <w:r>
        <w:rPr>
          <w:rFonts w:ascii="Times New Roman" w:hAnsi="Times New Roman" w:cs="Times New Roman"/>
          <w:i/>
          <w:iCs/>
          <w:sz w:val="17"/>
          <w:szCs w:val="17"/>
        </w:rPr>
        <w:t>Escherichiacoli</w:t>
      </w:r>
      <w:r>
        <w:rPr>
          <w:rFonts w:ascii="Times New Roman" w:hAnsi="Times New Roman" w:cs="Times New Roman"/>
          <w:sz w:val="17"/>
          <w:szCs w:val="17"/>
        </w:rPr>
        <w:t>adeninephosphoribosyltransferase and comparison with other analogous enzymes. Gene 43:287-293(1986).</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Musick WD. (1981) Structural features of the phosphoribosyltransferases and their relationship to the human deficiency disorders of purine and pyrimidine metabolism. CRC Crit Rev Biochem. 1981;11(1):1-34.</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51" w:lineRule="auto"/>
        <w:ind w:left="360" w:hanging="360"/>
        <w:jc w:val="both"/>
        <w:rPr>
          <w:rFonts w:ascii="Times New Roman" w:hAnsi="Times New Roman" w:cs="Times New Roman"/>
          <w:sz w:val="24"/>
          <w:szCs w:val="24"/>
        </w:rPr>
      </w:pPr>
      <w:r>
        <w:rPr>
          <w:rFonts w:ascii="Times New Roman" w:hAnsi="Times New Roman" w:cs="Times New Roman"/>
          <w:sz w:val="17"/>
          <w:szCs w:val="17"/>
        </w:rPr>
        <w:t>Olliaro PL &amp; Yuthavong Y (1999) An overview of chemotherapeutic targets for antimalarial drug discovery. Pharmacol Ther 81: 91–110.</w:t>
      </w:r>
    </w:p>
    <w:p w:rsidR="00DD13AE" w:rsidRPr="005166EC" w:rsidRDefault="00DD13AE" w:rsidP="005166EC">
      <w:pPr>
        <w:widowControl w:val="0"/>
        <w:autoSpaceDE w:val="0"/>
        <w:autoSpaceDN w:val="0"/>
        <w:adjustRightInd w:val="0"/>
        <w:spacing w:after="0" w:line="240" w:lineRule="auto"/>
        <w:rPr>
          <w:rFonts w:ascii="Times New Roman" w:hAnsi="Times New Roman" w:cs="Times New Roman"/>
          <w:sz w:val="6"/>
          <w:szCs w:val="6"/>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Pagni M. Ioannidis V. Cerutti L. Zahn-Zabal M. Jongeneel C. Jo¨rg H. Olivier M. Dmitri K. Laurent F. (2007) “MyHits: Improvements to an interactive resource for analyzing protein sequences,” Nucleic Acids Res., vol. 35, pp. W433–W437, 2007.</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02"/>
        <w:rPr>
          <w:rFonts w:ascii="Times New Roman" w:hAnsi="Times New Roman" w:cs="Times New Roman"/>
          <w:sz w:val="24"/>
          <w:szCs w:val="24"/>
        </w:rPr>
      </w:pPr>
      <w:r>
        <w:rPr>
          <w:rFonts w:ascii="Times New Roman" w:hAnsi="Times New Roman" w:cs="Times New Roman"/>
          <w:sz w:val="17"/>
          <w:szCs w:val="17"/>
        </w:rPr>
        <w:t xml:space="preserve">Queen SA, Vander Jagt DL, Reyes P. (1988) Properties and substrate specificity of a purine phosphoribosyltransferase from the human malaria parasite, </w:t>
      </w:r>
      <w:r>
        <w:rPr>
          <w:rFonts w:ascii="Times New Roman" w:hAnsi="Times New Roman" w:cs="Times New Roman"/>
          <w:i/>
          <w:iCs/>
          <w:sz w:val="17"/>
          <w:szCs w:val="17"/>
        </w:rPr>
        <w:t>Plasmodium falciparum</w:t>
      </w:r>
      <w:r>
        <w:rPr>
          <w:rFonts w:ascii="Times New Roman" w:hAnsi="Times New Roman" w:cs="Times New Roman"/>
          <w:sz w:val="17"/>
          <w:szCs w:val="17"/>
        </w:rPr>
        <w:t>. Mol Biochem Parasitol. 1988 Aug;30(2):123-33.</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 xml:space="preserve">Reyes P, Rathod PK, Sanchez DJ, Mrema JE, Rieckmann KH, Heidrich HG. (1982) Enzymes of purine and pyrimidine metabolism from the human malaria parasite, </w:t>
      </w:r>
      <w:r>
        <w:rPr>
          <w:rFonts w:ascii="Times New Roman" w:hAnsi="Times New Roman" w:cs="Times New Roman"/>
          <w:i/>
          <w:iCs/>
          <w:sz w:val="17"/>
          <w:szCs w:val="17"/>
        </w:rPr>
        <w:t>Plasmodium falciparum</w:t>
      </w:r>
      <w:r>
        <w:rPr>
          <w:rFonts w:ascii="Times New Roman" w:hAnsi="Times New Roman" w:cs="Times New Roman"/>
          <w:sz w:val="17"/>
          <w:szCs w:val="17"/>
        </w:rPr>
        <w:t>. Mol Biochem Parasitol. 1982 May;5(5):275-90.</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pgSz w:w="12240" w:h="15840"/>
          <w:pgMar w:top="704" w:right="1160" w:bottom="216" w:left="1300" w:header="720" w:footer="720" w:gutter="0"/>
          <w:cols w:space="720" w:equalWidth="0">
            <w:col w:w="9780"/>
          </w:cols>
          <w:noEndnote/>
        </w:sectPr>
      </w:pPr>
      <w:r w:rsidRPr="00DD13AE">
        <w:rPr>
          <w:noProof/>
        </w:rPr>
        <w:pict>
          <v:line id="_x0000_s1038" style="position:absolute;z-index:-251645952" from="0,33.2pt" to="489pt,33.2pt" o:allowincell="f" strokecolor="#210002" strokeweight="3pt"/>
        </w:pict>
      </w:r>
      <w:r w:rsidRPr="00DD13AE">
        <w:rPr>
          <w:noProof/>
        </w:rPr>
        <w:pict>
          <v:line id="_x0000_s1039" style="position:absolute;z-index:-251644928" from="0,35.75pt" to="489pt,35.75pt" o:allowincell="f" strokecolor="#210002"/>
        </w:pic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356" w:lineRule="exact"/>
        <w:rPr>
          <w:rFonts w:ascii="Times New Roman" w:hAnsi="Times New Roman" w:cs="Times New Roman"/>
          <w:sz w:val="24"/>
          <w:szCs w:val="24"/>
        </w:rPr>
      </w:pPr>
    </w:p>
    <w:p w:rsidR="00DD13AE" w:rsidRDefault="005166EC">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C5634D">
        <w:rPr>
          <w:rFonts w:ascii="Times New Roman" w:hAnsi="Times New Roman" w:cs="Times New Roman"/>
          <w:sz w:val="24"/>
          <w:szCs w:val="24"/>
        </w:rPr>
        <w:tab/>
      </w:r>
      <w:r w:rsidR="00C5634D">
        <w:rPr>
          <w:rFonts w:ascii="Agency FB" w:hAnsi="Agency FB" w:cs="Agency FB"/>
          <w:color w:val="1D258F"/>
          <w:sz w:val="17"/>
          <w:szCs w:val="17"/>
        </w:rPr>
        <w:t>Page 245</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type w:val="continuous"/>
          <w:pgSz w:w="12240" w:h="15840"/>
          <w:pgMar w:top="704"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000"/>
        <w:gridCol w:w="1780"/>
      </w:tblGrid>
      <w:tr w:rsidR="00DD13AE">
        <w:trPr>
          <w:trHeight w:val="201"/>
        </w:trPr>
        <w:tc>
          <w:tcPr>
            <w:tcW w:w="8000" w:type="dxa"/>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Ali: Bioinformatical Analysis of HGPRT Transferase from Different Malaria Parasite Plasmodium spp. Using Computational Tools</w:t>
            </w:r>
          </w:p>
        </w:tc>
        <w:tc>
          <w:tcPr>
            <w:tcW w:w="1780" w:type="dxa"/>
            <w:tcBorders>
              <w:top w:val="nil"/>
              <w:left w:val="nil"/>
              <w:bottom w:val="single" w:sz="8" w:space="0" w:color="1D258F"/>
              <w:right w:val="nil"/>
            </w:tcBorders>
            <w:vAlign w:val="bottom"/>
          </w:tcPr>
          <w:p w:rsidR="00DD13AE" w:rsidRDefault="00C5634D">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(242-246)</w:t>
            </w:r>
          </w:p>
        </w:tc>
      </w:tr>
    </w:tbl>
    <w:p w:rsidR="00DD13AE" w:rsidRDefault="00DD13AE">
      <w:pPr>
        <w:widowControl w:val="0"/>
        <w:autoSpaceDE w:val="0"/>
        <w:autoSpaceDN w:val="0"/>
        <w:adjustRightInd w:val="0"/>
        <w:spacing w:after="0" w:line="147"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Shahabuddin M, Scaife J. (1990) The gene for hypoxanthine phosphoribosyl transferase of </w:t>
      </w:r>
      <w:r>
        <w:rPr>
          <w:rFonts w:ascii="Times New Roman" w:hAnsi="Times New Roman" w:cs="Times New Roman"/>
          <w:i/>
          <w:iCs/>
          <w:sz w:val="17"/>
          <w:szCs w:val="17"/>
        </w:rPr>
        <w:t>Plasmodium falciparum</w:t>
      </w:r>
      <w:r>
        <w:rPr>
          <w:rFonts w:ascii="Times New Roman" w:hAnsi="Times New Roman" w:cs="Times New Roman"/>
          <w:sz w:val="17"/>
          <w:szCs w:val="17"/>
        </w:rPr>
        <w:t xml:space="preserve"> complements a bacterial HPT mutation. Mol Biochem Parasitol. 1990 Jun;41(2):281-8.</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Sharma V, Grubmeyer C, Sacchettini JC. (1998) Crystal structure of quinolinic acid phosphoribosyltransferase from Mycobacterium tuberculosis: a potential TB drug target. Structure. 1998 Dec 15;6(12):1587-99.</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Sherman I. W. (1979) Biochemistry of Plasmodium (malarial parasites). Microbiol Rev. 1979 Dec;43(4):453-95.</w:t>
      </w:r>
    </w:p>
    <w:p w:rsidR="00DD13AE" w:rsidRDefault="00DD13AE">
      <w:pPr>
        <w:widowControl w:val="0"/>
        <w:autoSpaceDE w:val="0"/>
        <w:autoSpaceDN w:val="0"/>
        <w:adjustRightInd w:val="0"/>
        <w:spacing w:after="0" w:line="69"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Sujay Subbayya IN and Balaram H (2000). Evidence for multiple active states of </w:t>
      </w:r>
      <w:r>
        <w:rPr>
          <w:rFonts w:ascii="Times New Roman" w:hAnsi="Times New Roman" w:cs="Times New Roman"/>
          <w:i/>
          <w:iCs/>
          <w:sz w:val="17"/>
          <w:szCs w:val="17"/>
        </w:rPr>
        <w:t>Plasmodium falciparum</w:t>
      </w:r>
      <w:r>
        <w:rPr>
          <w:rFonts w:ascii="Times New Roman" w:hAnsi="Times New Roman" w:cs="Times New Roman"/>
          <w:sz w:val="17"/>
          <w:szCs w:val="17"/>
        </w:rPr>
        <w:t xml:space="preserve"> hypoxanthine-guanine-xanthine phosphoribosyltransferase. Biochem Biophys Res Commun 279: 433–437.</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Ullman, B., Carter, D. (1995) Hypoxanthine-guanine phosphoribosyltransferase as a therapeutic target in protozoal infections. Infect Agents Dis. 1995 Mar;4(1):29-40.</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Vasanthakumar G, Davis RL Jr, Sullivan MA, Donahue JP. (1990) Cloning and expression in </w:t>
      </w:r>
      <w:r>
        <w:rPr>
          <w:rFonts w:ascii="Times New Roman" w:hAnsi="Times New Roman" w:cs="Times New Roman"/>
          <w:i/>
          <w:iCs/>
          <w:sz w:val="17"/>
          <w:szCs w:val="17"/>
        </w:rPr>
        <w:t>Escherichia coli</w:t>
      </w:r>
      <w:r>
        <w:rPr>
          <w:rFonts w:ascii="Times New Roman" w:hAnsi="Times New Roman" w:cs="Times New Roman"/>
          <w:sz w:val="17"/>
          <w:szCs w:val="17"/>
        </w:rPr>
        <w:t xml:space="preserve"> of a hypoxanthine-guanine phosphoribosyltransferase-encoding cDNA from </w:t>
      </w:r>
      <w:r>
        <w:rPr>
          <w:rFonts w:ascii="Times New Roman" w:hAnsi="Times New Roman" w:cs="Times New Roman"/>
          <w:i/>
          <w:iCs/>
          <w:sz w:val="17"/>
          <w:szCs w:val="17"/>
        </w:rPr>
        <w:t>Plasmodium falciparum</w:t>
      </w:r>
      <w:r>
        <w:rPr>
          <w:rFonts w:ascii="Times New Roman" w:hAnsi="Times New Roman" w:cs="Times New Roman"/>
          <w:sz w:val="17"/>
          <w:szCs w:val="17"/>
        </w:rPr>
        <w:t>. Gene. 1990 Jul 2;91(1):63-9.</w:t>
      </w:r>
    </w:p>
    <w:p w:rsidR="00DD13AE" w:rsidRDefault="00DD13AE">
      <w:pPr>
        <w:widowControl w:val="0"/>
        <w:autoSpaceDE w:val="0"/>
        <w:autoSpaceDN w:val="0"/>
        <w:adjustRightInd w:val="0"/>
        <w:spacing w:after="0" w:line="41" w:lineRule="exact"/>
        <w:rPr>
          <w:rFonts w:ascii="Times New Roman" w:hAnsi="Times New Roman" w:cs="Times New Roman"/>
          <w:sz w:val="24"/>
          <w:szCs w:val="24"/>
        </w:rPr>
      </w:pPr>
    </w:p>
    <w:p w:rsidR="00DD13AE" w:rsidRDefault="00C5634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Webster HK, Wiesmann WP, Pavia CS. (1984) Adenosine deaminase in malaria infection: effect of 2’-deoxycoformycin in vivo. Adv Exp Med Biol. 1984;165 Pt A:225-9.</w:t>
      </w:r>
    </w:p>
    <w:p w:rsidR="00DD13AE" w:rsidRDefault="00DD13AE">
      <w:pPr>
        <w:widowControl w:val="0"/>
        <w:autoSpaceDE w:val="0"/>
        <w:autoSpaceDN w:val="0"/>
        <w:adjustRightInd w:val="0"/>
        <w:spacing w:after="0" w:line="240" w:lineRule="auto"/>
        <w:rPr>
          <w:rFonts w:ascii="Times New Roman" w:hAnsi="Times New Roman" w:cs="Times New Roman"/>
          <w:sz w:val="24"/>
          <w:szCs w:val="24"/>
        </w:rPr>
        <w:sectPr w:rsidR="00DD13AE">
          <w:pgSz w:w="12240" w:h="15840"/>
          <w:pgMar w:top="704" w:right="1300" w:bottom="214" w:left="1160" w:header="720" w:footer="720" w:gutter="0"/>
          <w:cols w:space="720" w:equalWidth="0">
            <w:col w:w="9780"/>
          </w:cols>
          <w:noEndnote/>
        </w:sectPr>
      </w:pPr>
      <w:r w:rsidRPr="00DD13AE">
        <w:rPr>
          <w:noProof/>
        </w:rPr>
        <w:pict>
          <v:line id="_x0000_s1040" style="position:absolute;z-index:-251643904" from="0,547.3pt" to="489pt,547.3pt" o:allowincell="f" strokecolor="#210002" strokeweight="3pt"/>
        </w:pict>
      </w:r>
      <w:r w:rsidRPr="00DD13AE">
        <w:rPr>
          <w:noProof/>
        </w:rPr>
        <w:pict>
          <v:line id="_x0000_s1041" style="position:absolute;z-index:-251642880" from="0,549.85pt" to="489pt,549.85pt" o:allowincell="f" strokecolor="#210002"/>
        </w:pict>
      </w: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00" w:lineRule="exact"/>
        <w:rPr>
          <w:rFonts w:ascii="Times New Roman" w:hAnsi="Times New Roman" w:cs="Times New Roman"/>
          <w:sz w:val="24"/>
          <w:szCs w:val="24"/>
        </w:rPr>
      </w:pPr>
    </w:p>
    <w:p w:rsidR="00DD13AE" w:rsidRDefault="00DD13AE">
      <w:pPr>
        <w:widowControl w:val="0"/>
        <w:autoSpaceDE w:val="0"/>
        <w:autoSpaceDN w:val="0"/>
        <w:adjustRightInd w:val="0"/>
        <w:spacing w:after="0" w:line="240" w:lineRule="exact"/>
        <w:rPr>
          <w:rFonts w:ascii="Times New Roman" w:hAnsi="Times New Roman" w:cs="Times New Roman"/>
          <w:sz w:val="24"/>
          <w:szCs w:val="24"/>
        </w:rPr>
      </w:pPr>
    </w:p>
    <w:p w:rsidR="00DD13AE" w:rsidRDefault="00C5634D" w:rsidP="005166EC">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246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sectPr w:rsidR="00DD13AE" w:rsidSect="00DD13AE">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5F65FB"/>
    <w:rsid w:val="005166EC"/>
    <w:rsid w:val="005F65FB"/>
    <w:rsid w:val="00C5634D"/>
    <w:rsid w:val="00DD1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3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3095</Words>
  <Characters>17648</Characters>
  <Application>Microsoft Office Word</Application>
  <DocSecurity>0</DocSecurity>
  <Lines>147</Lines>
  <Paragraphs>41</Paragraphs>
  <ScaleCrop>false</ScaleCrop>
  <Company/>
  <LinksUpToDate>false</LinksUpToDate>
  <CharactersWithSpaces>20702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2016-09-25T16:18:00Z</dcterms:created>
  <dcterms:modified xsi:type="dcterms:W3CDTF">2016-09-25T16:18:00Z</dcterms:modified>
</cp:coreProperties>
</file>