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Berichttype: JW319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Bericht</w:t>
            </w:r>
          </w:p>
        </w:tc>
        <w:tc>
          <w:tcPr>
            <w:tcW w:type="dxa" w:w="864"/>
          </w:tcPr>
          <w:p>
            <w:r>
              <w:t>Berichtklasse</w:t>
            </w:r>
          </w:p>
        </w:tc>
        <w:tc>
          <w:tcPr>
            <w:tcW w:type="dxa" w:w="864"/>
          </w:tcPr>
          <w:p>
            <w:r>
              <w:t>Berichtelement\Datatype</w:t>
            </w:r>
          </w:p>
        </w:tc>
        <w:tc>
          <w:tcPr>
            <w:tcW w:type="dxa" w:w="864"/>
          </w:tcPr>
          <w:p>
            <w:r>
              <w:t>CDT-element\Datatype</w:t>
            </w:r>
          </w:p>
        </w:tc>
        <w:tc>
          <w:tcPr>
            <w:tcW w:type="dxa" w:w="864"/>
          </w:tcPr>
          <w:p>
            <w:r>
              <w:t>CDT-element\Datatype.1</w:t>
            </w:r>
          </w:p>
        </w:tc>
        <w:tc>
          <w:tcPr>
            <w:tcW w:type="dxa" w:w="864"/>
          </w:tcPr>
          <w:p>
            <w:r>
              <w:t>Sleutelelement</w:t>
            </w:r>
          </w:p>
        </w:tc>
        <w:tc>
          <w:tcPr>
            <w:tcW w:type="dxa" w:w="864"/>
          </w:tcPr>
          <w:p>
            <w:r>
              <w:t>Codelijst</w:t>
            </w:r>
          </w:p>
        </w:tc>
        <w:tc>
          <w:tcPr>
            <w:tcW w:type="dxa" w:w="864"/>
          </w:tcPr>
          <w:p>
            <w:r>
              <w:t>Regel</w:t>
            </w:r>
          </w:p>
        </w:tc>
        <w:tc>
          <w:tcPr>
            <w:tcW w:type="dxa" w:w="864"/>
          </w:tcPr>
          <w:p>
            <w:r>
              <w:t>Regelcode</w:t>
            </w:r>
          </w:p>
        </w:tc>
        <w:tc>
          <w:tcPr>
            <w:tcW w:type="dxa" w:w="864"/>
          </w:tcPr>
          <w:p>
            <w:r>
              <w:t>Retourcode</w:t>
            </w:r>
          </w:p>
        </w:tc>
      </w:tr>
      <w:tr>
        <w:tc>
          <w:tcPr>
            <w:tcW w:type="dxa" w:w="864"/>
          </w:tcPr>
          <w:p>
            <w:r>
              <w:t>JW319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OP003:  Het gestandaardiseerd berichtenverkeer wordt niet gebruikt indien, naar oordeel van een (zorg)professional, de overdracht van clientgegevens ernstige risico's met zich meebrengt voor de veiligheid van de client.</w:t>
            </w:r>
          </w:p>
        </w:tc>
        <w:tc>
          <w:tcPr>
            <w:tcW w:type="dxa" w:w="864"/>
          </w:tcPr>
          <w:p>
            <w:r>
              <w:t>OP003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JW319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OP039: In het berichtenverkeer mogen ketenpartijen clientgegevens doorgeven zoals deze in de administratie van de betreffende ketenpartij voorkomen, mits deze gegevens geen onderdeel zijn van een logische sleutel.</w:t>
            </w:r>
          </w:p>
        </w:tc>
        <w:tc>
          <w:tcPr>
            <w:tcW w:type="dxa" w:w="864"/>
          </w:tcPr>
          <w:p>
            <w:r>
              <w:t>OP039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JW319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OP047: Als een bericht niet aan de geldende standaard voldoet, mag het bericht afgekeurd worden.</w:t>
            </w:r>
          </w:p>
        </w:tc>
        <w:tc>
          <w:tcPr>
            <w:tcW w:type="dxa" w:w="864"/>
          </w:tcPr>
          <w:p>
            <w:r>
              <w:t>OP047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JW319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OP080: Aan het tijdstip waarop en de volgorde waarin berichten worden ontvangen en verwerkt kunnen ketenpartijen geen betekenis hechten.</w:t>
            </w:r>
          </w:p>
        </w:tc>
        <w:tc>
          <w:tcPr>
            <w:tcW w:type="dxa" w:w="864"/>
          </w:tcPr>
          <w:p>
            <w:r>
              <w:t>OP080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JW319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OP095: Een bericht mag niet worden afgekeurd op basis van informatie waartoe de verzendende partij geen toegang heeft.</w:t>
            </w:r>
          </w:p>
        </w:tc>
        <w:tc>
          <w:tcPr>
            <w:tcW w:type="dxa" w:w="864"/>
          </w:tcPr>
          <w:p>
            <w:r>
              <w:t>OP095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JW319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OP179: De grootte van verzonden bestanden mag niet meer zijn dan 25 Mb.</w:t>
            </w:r>
          </w:p>
        </w:tc>
        <w:tc>
          <w:tcPr>
            <w:tcW w:type="dxa" w:w="864"/>
          </w:tcPr>
          <w:p>
            <w:r>
              <w:t>OP179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JW319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OP192: Verzonden berichten moeten voldoen aan de technische eisen.</w:t>
            </w:r>
          </w:p>
        </w:tc>
        <w:tc>
          <w:tcPr>
            <w:tcW w:type="dxa" w:w="864"/>
          </w:tcPr>
          <w:p>
            <w:r>
              <w:t>OP192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JW319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OP254: In de iJw berichten worden AGB-codes gebruikt voor routering van de berichten en voor identificatie van de aanbieder.</w:t>
            </w:r>
          </w:p>
        </w:tc>
        <w:tc>
          <w:tcPr>
            <w:tcW w:type="dxa" w:w="864"/>
          </w:tcPr>
          <w:p>
            <w:r>
              <w:t>OP254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JW319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OP274: Na ontvangst van een verzoek om toewijzing stuurt de gemeente per aangevraagd product binnen 5 werkdagen ofwel een toewijzingbericht ofwel een antwoordbericht aan de aanbieder.</w:t>
            </w:r>
          </w:p>
        </w:tc>
        <w:tc>
          <w:tcPr>
            <w:tcW w:type="dxa" w:w="864"/>
          </w:tcPr>
          <w:p>
            <w:r>
              <w:t>OP274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JW319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OP286: Als de ontvanger een technische fout constateert, keurt deze het bericht in zijn geheel af en laat hij dit weten aan de verzender. Het bericht moet daarmee functioneel als niet-verzonden worden beschouwd</w:t>
            </w:r>
          </w:p>
        </w:tc>
        <w:tc>
          <w:tcPr>
            <w:tcW w:type="dxa" w:w="864"/>
          </w:tcPr>
          <w:p>
            <w:r>
              <w:t>OP286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JW319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OP344: Een verzoek wordt door de gemeente uiteindelijk beantwoord met een toewijzing of een afwijzing.</w:t>
            </w:r>
          </w:p>
        </w:tc>
        <w:tc>
          <w:tcPr>
            <w:tcW w:type="dxa" w:w="864"/>
          </w:tcPr>
          <w:p>
            <w:r>
              <w:t>OP344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JW319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OP346: Na ontvangst van een verzoek om wijziging bericht stuurt de gemeente binnen 5 werkdagen ofwel een toewijzingbericht ofwel een antwoordbericht aan de aanbieder. (Requirement).</w:t>
            </w:r>
          </w:p>
        </w:tc>
        <w:tc>
          <w:tcPr>
            <w:tcW w:type="dxa" w:w="864"/>
          </w:tcPr>
          <w:p>
            <w:r>
              <w:t>OP346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JW319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OP359: Indien een verzoek om toewijzing wordt afgewezen op basis van het woonplaatsbeginsel, dient de gemeente dit binnen de wettelijke termijn van 2 weken af te wijzen en de financieel verantwoordelijke gemeente terug te geven aan de aanbieder</w:t>
            </w:r>
          </w:p>
        </w:tc>
        <w:tc>
          <w:tcPr>
            <w:tcW w:type="dxa" w:w="864"/>
          </w:tcPr>
          <w:p>
            <w:r>
              <w:t>OP359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JW319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IV095: Hoe moet de juiste gemeente gevuld worden.</w:t>
            </w:r>
          </w:p>
        </w:tc>
        <w:tc>
          <w:tcPr>
            <w:tcW w:type="dxa" w:w="864"/>
          </w:tcPr>
          <w:p>
            <w:r>
              <w:t>IV095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JW319</w:t>
            </w:r>
          </w:p>
        </w:tc>
        <w:tc>
          <w:tcPr>
            <w:tcW w:type="dxa" w:w="864"/>
          </w:tcPr>
          <w:p>
            <w:r>
              <w:t>Antwoord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TR359: Als een antwoordbericht wordt verstuurd, mag er niet al eerder een toewijzingsbericht gestuurd zijn met dezelfde ReferentieAanbieder</w:t>
            </w:r>
          </w:p>
        </w:tc>
        <w:tc>
          <w:tcPr>
            <w:tcW w:type="dxa" w:w="864"/>
          </w:tcPr>
          <w:p>
            <w:r>
              <w:t>TR359</w:t>
            </w:r>
          </w:p>
        </w:tc>
        <w:tc>
          <w:tcPr>
            <w:tcW w:type="dxa" w:w="864"/>
          </w:tcPr>
          <w:p>
            <w:r>
              <w:t>9359</w:t>
            </w:r>
          </w:p>
        </w:tc>
      </w:tr>
      <w:tr>
        <w:tc>
          <w:tcPr>
            <w:tcW w:type="dxa" w:w="864"/>
          </w:tcPr>
          <w:p>
            <w:r>
              <w:t>JW319</w:t>
            </w:r>
          </w:p>
        </w:tc>
        <w:tc>
          <w:tcPr>
            <w:tcW w:type="dxa" w:w="864"/>
          </w:tcPr>
          <w:p>
            <w:r>
              <w:t>Antwoord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TR360: Een antwoordbericht met in VerzoekAntwoord de waarde 2 (Aanvraag in onderzoek), mag alleen gestuurd worden indien er nog geen antwoordbericht is met deze ReferentieAanbieder</w:t>
            </w:r>
          </w:p>
        </w:tc>
        <w:tc>
          <w:tcPr>
            <w:tcW w:type="dxa" w:w="864"/>
          </w:tcPr>
          <w:p>
            <w:r>
              <w:t>TR360</w:t>
            </w:r>
          </w:p>
        </w:tc>
        <w:tc>
          <w:tcPr>
            <w:tcW w:type="dxa" w:w="864"/>
          </w:tcPr>
          <w:p>
            <w:r>
              <w:t>9360</w:t>
            </w:r>
          </w:p>
        </w:tc>
      </w:tr>
      <w:tr>
        <w:tc>
          <w:tcPr>
            <w:tcW w:type="dxa" w:w="864"/>
          </w:tcPr>
          <w:p>
            <w:r>
              <w:t>JW319</w:t>
            </w:r>
          </w:p>
        </w:tc>
        <w:tc>
          <w:tcPr>
            <w:tcW w:type="dxa" w:w="864"/>
          </w:tcPr>
          <w:p>
            <w:r>
              <w:t>Antwoord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TR365: Als er al een antwoordbericht is met dezelfde ReferentieAanbieder dan moet VerzoekAntwoord daar de waarde 2 (Aanvraag in onderzoek) hebben.</w:t>
            </w:r>
          </w:p>
        </w:tc>
        <w:tc>
          <w:tcPr>
            <w:tcW w:type="dxa" w:w="864"/>
          </w:tcPr>
          <w:p>
            <w:r>
              <w:t>TR365</w:t>
            </w:r>
          </w:p>
        </w:tc>
        <w:tc>
          <w:tcPr>
            <w:tcW w:type="dxa" w:w="864"/>
          </w:tcPr>
          <w:p>
            <w:r>
              <w:t>9365</w:t>
            </w:r>
          </w:p>
        </w:tc>
      </w:tr>
      <w:tr>
        <w:tc>
          <w:tcPr>
            <w:tcW w:type="dxa" w:w="864"/>
          </w:tcPr>
          <w:p>
            <w:r>
              <w:t>JW319</w:t>
            </w:r>
          </w:p>
        </w:tc>
        <w:tc>
          <w:tcPr>
            <w:tcW w:type="dxa" w:w="864"/>
          </w:tcPr>
          <w:p>
            <w:r>
              <w:t>Antwoord</w:t>
            </w:r>
          </w:p>
        </w:tc>
        <w:tc>
          <w:tcPr>
            <w:tcW w:type="dxa" w:w="864"/>
          </w:tcPr>
          <w:p>
            <w:r>
              <w:t>ReferentieAanbieder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ja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TR355: ReferentieAanbieder in het antwoordbericht komt voor in een eerder verzoek om toewijzing of verzoek om wijziging</w:t>
            </w:r>
          </w:p>
        </w:tc>
        <w:tc>
          <w:tcPr>
            <w:tcW w:type="dxa" w:w="864"/>
          </w:tcPr>
          <w:p>
            <w:r>
              <w:t>TR355</w:t>
            </w:r>
          </w:p>
        </w:tc>
        <w:tc>
          <w:tcPr>
            <w:tcW w:type="dxa" w:w="864"/>
          </w:tcPr>
          <w:p>
            <w:r>
              <w:t>9355</w:t>
            </w:r>
          </w:p>
        </w:tc>
      </w:tr>
      <w:tr>
        <w:tc>
          <w:tcPr>
            <w:tcW w:type="dxa" w:w="864"/>
          </w:tcPr>
          <w:p>
            <w:r>
              <w:t>JW319</w:t>
            </w:r>
          </w:p>
        </w:tc>
        <w:tc>
          <w:tcPr>
            <w:tcW w:type="dxa" w:w="864"/>
          </w:tcPr>
          <w:p>
            <w:r>
              <w:t>Antwoord</w:t>
            </w:r>
          </w:p>
        </w:tc>
        <w:tc>
          <w:tcPr>
            <w:tcW w:type="dxa" w:w="864"/>
          </w:tcPr>
          <w:p>
            <w:r>
              <w:t>ReferentieAanbieder\LDT_Referentie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ja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RS024: Maximale lengte 36 posities</w:t>
            </w:r>
          </w:p>
        </w:tc>
        <w:tc>
          <w:tcPr>
            <w:tcW w:type="dxa" w:w="864"/>
          </w:tcPr>
          <w:p>
            <w:r>
              <w:t>RS024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JW319</w:t>
            </w:r>
          </w:p>
        </w:tc>
        <w:tc>
          <w:tcPr>
            <w:tcW w:type="dxa" w:w="864"/>
          </w:tcPr>
          <w:p>
            <w:r>
              <w:t>Antwoord</w:t>
            </w:r>
          </w:p>
        </w:tc>
        <w:tc>
          <w:tcPr>
            <w:tcW w:type="dxa" w:w="864"/>
          </w:tcPr>
          <w:p>
            <w:r>
              <w:t>ReferentieAanbieder\LDT_Referentie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ja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RS033: Geen lege elementen in XML.</w:t>
            </w:r>
          </w:p>
        </w:tc>
        <w:tc>
          <w:tcPr>
            <w:tcW w:type="dxa" w:w="864"/>
          </w:tcPr>
          <w:p>
            <w:r>
              <w:t>RS033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JW319</w:t>
            </w:r>
          </w:p>
        </w:tc>
        <w:tc>
          <w:tcPr>
            <w:tcW w:type="dxa" w:w="864"/>
          </w:tcPr>
          <w:p>
            <w:r>
              <w:t>Antwoord</w:t>
            </w:r>
          </w:p>
        </w:tc>
        <w:tc>
          <w:tcPr>
            <w:tcW w:type="dxa" w:w="864"/>
          </w:tcPr>
          <w:p>
            <w:r>
              <w:t>VerzoekAntwoord\LDT_VerzoekAntwoord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ja</w:t>
            </w:r>
          </w:p>
        </w:tc>
        <w:tc>
          <w:tcPr>
            <w:tcW w:type="dxa" w:w="864"/>
          </w:tcPr>
          <w:p>
            <w:r>
              <w:t>WJ760</w:t>
            </w:r>
          </w:p>
        </w:tc>
        <w:tc>
          <w:tcPr>
            <w:tcW w:type="dxa" w:w="864"/>
          </w:tcPr>
          <w:p>
            <w:r>
              <w:t>RS008: Maximale lengte 1 positie</w:t>
            </w:r>
          </w:p>
        </w:tc>
        <w:tc>
          <w:tcPr>
            <w:tcW w:type="dxa" w:w="864"/>
          </w:tcPr>
          <w:p>
            <w:r>
              <w:t>RS008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JW319</w:t>
            </w:r>
          </w:p>
        </w:tc>
        <w:tc>
          <w:tcPr>
            <w:tcW w:type="dxa" w:w="864"/>
          </w:tcPr>
          <w:p>
            <w:r>
              <w:t>Antwoord</w:t>
            </w:r>
          </w:p>
        </w:tc>
        <w:tc>
          <w:tcPr>
            <w:tcW w:type="dxa" w:w="864"/>
          </w:tcPr>
          <w:p>
            <w:r>
              <w:t>RedenAfwijzingVerzoek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CD085: Als VerzoekAntwoord de waarde 1 (Verzoek afgewezen) heeft, dan vullen</w:t>
            </w:r>
          </w:p>
        </w:tc>
        <w:tc>
          <w:tcPr>
            <w:tcW w:type="dxa" w:w="864"/>
          </w:tcPr>
          <w:p>
            <w:r>
              <w:t>CD085</w:t>
            </w:r>
          </w:p>
        </w:tc>
        <w:tc>
          <w:tcPr>
            <w:tcW w:type="dxa" w:w="864"/>
          </w:tcPr>
          <w:p>
            <w:r>
              <w:t>0001</w:t>
            </w:r>
          </w:p>
        </w:tc>
      </w:tr>
      <w:tr>
        <w:tc>
          <w:tcPr>
            <w:tcW w:type="dxa" w:w="864"/>
          </w:tcPr>
          <w:p>
            <w:r>
              <w:t>JW319</w:t>
            </w:r>
          </w:p>
        </w:tc>
        <w:tc>
          <w:tcPr>
            <w:tcW w:type="dxa" w:w="864"/>
          </w:tcPr>
          <w:p>
            <w:r>
              <w:t>Antwoord</w:t>
            </w:r>
          </w:p>
        </w:tc>
        <w:tc>
          <w:tcPr>
            <w:tcW w:type="dxa" w:w="864"/>
          </w:tcPr>
          <w:p>
            <w:r>
              <w:t>RedenAfwijzingVerzoek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CD086: Als VerzoekAntwoord de waarde 2 (Aanvraag in onderzoek) heeft, dan leeg laten</w:t>
            </w:r>
          </w:p>
        </w:tc>
        <w:tc>
          <w:tcPr>
            <w:tcW w:type="dxa" w:w="864"/>
          </w:tcPr>
          <w:p>
            <w:r>
              <w:t>CD086</w:t>
            </w:r>
          </w:p>
        </w:tc>
        <w:tc>
          <w:tcPr>
            <w:tcW w:type="dxa" w:w="864"/>
          </w:tcPr>
          <w:p>
            <w:r>
              <w:t>0001</w:t>
            </w:r>
          </w:p>
        </w:tc>
      </w:tr>
      <w:tr>
        <w:tc>
          <w:tcPr>
            <w:tcW w:type="dxa" w:w="864"/>
          </w:tcPr>
          <w:p>
            <w:r>
              <w:t>JW319</w:t>
            </w:r>
          </w:p>
        </w:tc>
        <w:tc>
          <w:tcPr>
            <w:tcW w:type="dxa" w:w="864"/>
          </w:tcPr>
          <w:p>
            <w:r>
              <w:t>Antwoord</w:t>
            </w:r>
          </w:p>
        </w:tc>
        <w:tc>
          <w:tcPr>
            <w:tcW w:type="dxa" w:w="864"/>
          </w:tcPr>
          <w:p>
            <w:r>
              <w:t>RedenAfwijzingVerzoek\LDT_RedenAfwijzingVerzoek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WJ759</w:t>
            </w:r>
          </w:p>
        </w:tc>
        <w:tc>
          <w:tcPr>
            <w:tcW w:type="dxa" w:w="864"/>
          </w:tcPr>
          <w:p>
            <w:r>
              <w:t>RS009: Maximale lengte 2 posities</w:t>
            </w:r>
          </w:p>
        </w:tc>
        <w:tc>
          <w:tcPr>
            <w:tcW w:type="dxa" w:w="864"/>
          </w:tcPr>
          <w:p>
            <w:r>
              <w:t>RS009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JW319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Afzender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IV046: Welke gemeentecode moet gevuld worden?</w:t>
            </w:r>
          </w:p>
        </w:tc>
        <w:tc>
          <w:tcPr>
            <w:tcW w:type="dxa" w:w="864"/>
          </w:tcPr>
          <w:p>
            <w:r>
              <w:t>IV046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JW319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Afzender\LDT_Gemeente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RS035: Vullen met 4 cijfers.</w:t>
            </w:r>
          </w:p>
        </w:tc>
        <w:tc>
          <w:tcPr>
            <w:tcW w:type="dxa" w:w="864"/>
          </w:tcPr>
          <w:p>
            <w:r>
              <w:t>RS035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JW319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Afzender\LDT_Gemeente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TR378: Vullen met een bestaande gemeentecode uit het overzicht van CBS dat actueel is op Ingangsdatum of ToewijzingIngangsdatum.</w:t>
            </w:r>
          </w:p>
        </w:tc>
        <w:tc>
          <w:tcPr>
            <w:tcW w:type="dxa" w:w="864"/>
          </w:tcPr>
          <w:p>
            <w:r>
              <w:t>TR378</w:t>
            </w:r>
          </w:p>
        </w:tc>
        <w:tc>
          <w:tcPr>
            <w:tcW w:type="dxa" w:w="864"/>
          </w:tcPr>
          <w:p>
            <w:r>
              <w:t>S300</w:t>
            </w:r>
          </w:p>
        </w:tc>
      </w:tr>
      <w:tr>
        <w:tc>
          <w:tcPr>
            <w:tcW w:type="dxa" w:w="864"/>
          </w:tcPr>
          <w:p>
            <w:r>
              <w:t>JW319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Ontvanger\LDT_AgbCode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RS014: Maximale lengte 8 posities</w:t>
            </w:r>
          </w:p>
        </w:tc>
        <w:tc>
          <w:tcPr>
            <w:tcW w:type="dxa" w:w="864"/>
          </w:tcPr>
          <w:p>
            <w:r>
              <w:t>RS014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JW319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Ontvanger\LDT_AgbCode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RS036: Vullen met 8 cijfers.</w:t>
            </w:r>
          </w:p>
        </w:tc>
        <w:tc>
          <w:tcPr>
            <w:tcW w:type="dxa" w:w="864"/>
          </w:tcPr>
          <w:p>
            <w:r>
              <w:t>RS036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JW319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BerichtIdentificatie\CDT_BerichtIdentificatie</w:t>
            </w:r>
          </w:p>
        </w:tc>
        <w:tc>
          <w:tcPr>
            <w:tcW w:type="dxa" w:w="864"/>
          </w:tcPr>
          <w:p>
            <w:r>
              <w:t>Identificatie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TR056: Identificatie moet per berichtsoort uniek zijn voor de verzendende partij.</w:t>
            </w:r>
          </w:p>
        </w:tc>
        <w:tc>
          <w:tcPr>
            <w:tcW w:type="dxa" w:w="864"/>
          </w:tcPr>
          <w:p>
            <w:r>
              <w:t>TR056</w:t>
            </w:r>
          </w:p>
        </w:tc>
        <w:tc>
          <w:tcPr>
            <w:tcW w:type="dxa" w:w="864"/>
          </w:tcPr>
          <w:p>
            <w:r>
              <w:t>9056</w:t>
            </w:r>
          </w:p>
        </w:tc>
      </w:tr>
      <w:tr>
        <w:tc>
          <w:tcPr>
            <w:tcW w:type="dxa" w:w="864"/>
          </w:tcPr>
          <w:p>
            <w:r>
              <w:t>JW319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BerichtIdentificatie\CDT_BerichtIdentificatie</w:t>
            </w:r>
          </w:p>
        </w:tc>
        <w:tc>
          <w:tcPr>
            <w:tcW w:type="dxa" w:w="864"/>
          </w:tcPr>
          <w:p>
            <w:r>
              <w:t>Identificatie\LDT_IdentificatieBericht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RS017: Maximale lengte 12 posities</w:t>
            </w:r>
          </w:p>
        </w:tc>
        <w:tc>
          <w:tcPr>
            <w:tcW w:type="dxa" w:w="864"/>
          </w:tcPr>
          <w:p>
            <w:r>
              <w:t>RS017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JW319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BerichtIdentificatie\CDT_BerichtIdentificatie</w:t>
            </w:r>
          </w:p>
        </w:tc>
        <w:tc>
          <w:tcPr>
            <w:tcW w:type="dxa" w:w="864"/>
          </w:tcPr>
          <w:p>
            <w:r>
              <w:t>Identificatie\LDT_IdentificatieBericht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RS033: Geen lege elementen in XML.</w:t>
            </w:r>
          </w:p>
        </w:tc>
        <w:tc>
          <w:tcPr>
            <w:tcW w:type="dxa" w:w="864"/>
          </w:tcPr>
          <w:p>
            <w:r>
              <w:t>RS033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JW319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BerichtIdentificatie\CDT_BerichtIdentificatie</w:t>
            </w:r>
          </w:p>
        </w:tc>
        <w:tc>
          <w:tcPr>
            <w:tcW w:type="dxa" w:w="864"/>
          </w:tcPr>
          <w:p>
            <w:r>
              <w:t>Dagtekening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TR135: Vullen met een bestaande datum die niet in de toekomst ligt.</w:t>
            </w:r>
          </w:p>
        </w:tc>
        <w:tc>
          <w:tcPr>
            <w:tcW w:type="dxa" w:w="864"/>
          </w:tcPr>
          <w:p>
            <w:r>
              <w:t>TR135</w:t>
            </w:r>
          </w:p>
        </w:tc>
        <w:tc>
          <w:tcPr>
            <w:tcW w:type="dxa" w:w="864"/>
          </w:tcPr>
          <w:p>
            <w:r>
              <w:t>8848</w:t>
            </w:r>
          </w:p>
        </w:tc>
      </w:tr>
      <w:tr>
        <w:tc>
          <w:tcPr>
            <w:tcW w:type="dxa" w:w="864"/>
          </w:tcPr>
          <w:p>
            <w:r>
              <w:t>JW319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BerichtIdentificatie\CDT_BerichtIdentificatie</w:t>
            </w:r>
          </w:p>
        </w:tc>
        <w:tc>
          <w:tcPr>
            <w:tcW w:type="dxa" w:w="864"/>
          </w:tcPr>
          <w:p>
            <w:r>
              <w:t>Dagtekening\LDT_Datum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RS032: Datum vullen zonder tijdzone.</w:t>
            </w:r>
          </w:p>
        </w:tc>
        <w:tc>
          <w:tcPr>
            <w:tcW w:type="dxa" w:w="864"/>
          </w:tcPr>
          <w:p>
            <w:r>
              <w:t>RS032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JW319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BerichtCode\LDT_BerichtCode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RS010: Maximale lengte 3 posities</w:t>
            </w:r>
          </w:p>
        </w:tc>
        <w:tc>
          <w:tcPr>
            <w:tcW w:type="dxa" w:w="864"/>
          </w:tcPr>
          <w:p>
            <w:r>
              <w:t>RS010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JW319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BerichtCode\LDT_BerichtCode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RS047: Vullen met BerichtCode volgens de specificatie</w:t>
            </w:r>
          </w:p>
        </w:tc>
        <w:tc>
          <w:tcPr>
            <w:tcW w:type="dxa" w:w="864"/>
          </w:tcPr>
          <w:p>
            <w:r>
              <w:t>RS047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JW319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BerichtVersie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CS025: BerichtVersie vullen met 3.</w:t>
            </w:r>
          </w:p>
        </w:tc>
        <w:tc>
          <w:tcPr>
            <w:tcW w:type="dxa" w:w="864"/>
          </w:tcPr>
          <w:p>
            <w:r>
              <w:t>CS025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JW319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BerichtVersie\LDT_BerichtVersie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RS001: Minimale waarde 0</w:t>
            </w:r>
          </w:p>
        </w:tc>
        <w:tc>
          <w:tcPr>
            <w:tcW w:type="dxa" w:w="864"/>
          </w:tcPr>
          <w:p>
            <w:r>
              <w:t>RS001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JW319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BerichtVersie\LDT_BerichtVersie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RS002: Maximale waarde 99</w:t>
            </w:r>
          </w:p>
        </w:tc>
        <w:tc>
          <w:tcPr>
            <w:tcW w:type="dxa" w:w="864"/>
          </w:tcPr>
          <w:p>
            <w:r>
              <w:t>RS002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JW319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BerichtSubversie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CS015: BerichtSubversie vullen met 2.</w:t>
            </w:r>
          </w:p>
        </w:tc>
        <w:tc>
          <w:tcPr>
            <w:tcW w:type="dxa" w:w="864"/>
          </w:tcPr>
          <w:p>
            <w:r>
              <w:t>CS015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JW319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BerichtSubversie\LDT_BerichtSubversie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RS001: Minimale waarde 0</w:t>
            </w:r>
          </w:p>
        </w:tc>
        <w:tc>
          <w:tcPr>
            <w:tcW w:type="dxa" w:w="864"/>
          </w:tcPr>
          <w:p>
            <w:r>
              <w:t>RS001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JW319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BerichtSubversie\LDT_BerichtSubversie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RS002: Maximale waarde 99</w:t>
            </w:r>
          </w:p>
        </w:tc>
        <w:tc>
          <w:tcPr>
            <w:tcW w:type="dxa" w:w="864"/>
          </w:tcPr>
          <w:p>
            <w:r>
              <w:t>RS002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JW319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XsdVersie\CDT_XsdVersie</w:t>
            </w:r>
          </w:p>
        </w:tc>
        <w:tc>
          <w:tcPr>
            <w:tcW w:type="dxa" w:w="864"/>
          </w:tcPr>
          <w:p>
            <w:r>
              <w:t>BerichtXsdVersie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IV034: Hoe moet XsdVersie gevuld worden?</w:t>
            </w:r>
          </w:p>
        </w:tc>
        <w:tc>
          <w:tcPr>
            <w:tcW w:type="dxa" w:w="864"/>
          </w:tcPr>
          <w:p>
            <w:r>
              <w:t>IV034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JW319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XsdVersie\CDT_XsdVersie</w:t>
            </w:r>
          </w:p>
        </w:tc>
        <w:tc>
          <w:tcPr>
            <w:tcW w:type="dxa" w:w="864"/>
          </w:tcPr>
          <w:p>
            <w:r>
              <w:t>BerichtXsdVersie\LDT_Versie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RS048: Vullen met een versienummer bestaande uit drie gehele getallen, gescheiden met punten.</w:t>
            </w:r>
          </w:p>
        </w:tc>
        <w:tc>
          <w:tcPr>
            <w:tcW w:type="dxa" w:w="864"/>
          </w:tcPr>
          <w:p>
            <w:r>
              <w:t>RS048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JW319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XsdVersie\CDT_XsdVersie</w:t>
            </w:r>
          </w:p>
        </w:tc>
        <w:tc>
          <w:tcPr>
            <w:tcW w:type="dxa" w:w="864"/>
          </w:tcPr>
          <w:p>
            <w:r>
              <w:t>BasisschemaXsdVersie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IV034: Hoe moet XsdVersie gevuld worden?</w:t>
            </w:r>
          </w:p>
        </w:tc>
        <w:tc>
          <w:tcPr>
            <w:tcW w:type="dxa" w:w="864"/>
          </w:tcPr>
          <w:p>
            <w:r>
              <w:t>IV034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JW319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XsdVersie\CDT_XsdVersie</w:t>
            </w:r>
          </w:p>
        </w:tc>
        <w:tc>
          <w:tcPr>
            <w:tcW w:type="dxa" w:w="864"/>
          </w:tcPr>
          <w:p>
            <w:r>
              <w:t>BasisschemaXsdVersie\LDT_Versie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RS048: Vullen met een versienummer bestaande uit drie gehele getallen, gescheiden met punten.</w:t>
            </w:r>
          </w:p>
        </w:tc>
        <w:tc>
          <w:tcPr>
            <w:tcW w:type="dxa" w:w="864"/>
          </w:tcPr>
          <w:p>
            <w:r>
              <w:t>RS048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JW319</w:t>
            </w:r>
          </w:p>
        </w:tc>
        <w:tc>
          <w:tcPr>
            <w:tcW w:type="dxa" w:w="864"/>
          </w:tcPr>
          <w:p>
            <w:r>
              <w:t>Woonplaatsbeginsel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TR377: Indien RedenAfwijzingVerzoek de waarde 8 (Woonplaatsbeginsel) heeft, dan berichtklasse Woonplaatsbeginsel opnemen</w:t>
            </w:r>
          </w:p>
        </w:tc>
        <w:tc>
          <w:tcPr>
            <w:tcW w:type="dxa" w:w="864"/>
          </w:tcPr>
          <w:p>
            <w:r>
              <w:t>TR377</w:t>
            </w:r>
          </w:p>
        </w:tc>
        <w:tc>
          <w:tcPr>
            <w:tcW w:type="dxa" w:w="864"/>
          </w:tcPr>
          <w:p>
            <w:r>
              <w:t>0001</w:t>
            </w:r>
          </w:p>
        </w:tc>
      </w:tr>
      <w:tr>
        <w:tc>
          <w:tcPr>
            <w:tcW w:type="dxa" w:w="864"/>
          </w:tcPr>
          <w:p>
            <w:r>
              <w:t>JW319</w:t>
            </w:r>
          </w:p>
        </w:tc>
        <w:tc>
          <w:tcPr>
            <w:tcW w:type="dxa" w:w="864"/>
          </w:tcPr>
          <w:p>
            <w:r>
              <w:t>Woonplaatsbeginsel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TR409: Als RedenAfwijzingVerzoek ongelijk is aan 8 (Woonplaatsbeginsel), dan berichtklasse Woonplaatsbeginsel weglaten</w:t>
            </w:r>
          </w:p>
        </w:tc>
        <w:tc>
          <w:tcPr>
            <w:tcW w:type="dxa" w:w="864"/>
          </w:tcPr>
          <w:p>
            <w:r>
              <w:t>TR409</w:t>
            </w:r>
          </w:p>
        </w:tc>
        <w:tc>
          <w:tcPr>
            <w:tcW w:type="dxa" w:w="864"/>
          </w:tcPr>
          <w:p>
            <w:r>
              <w:t>0001</w:t>
            </w:r>
          </w:p>
        </w:tc>
      </w:tr>
      <w:tr>
        <w:tc>
          <w:tcPr>
            <w:tcW w:type="dxa" w:w="864"/>
          </w:tcPr>
          <w:p>
            <w:r>
              <w:t>JW319</w:t>
            </w:r>
          </w:p>
        </w:tc>
        <w:tc>
          <w:tcPr>
            <w:tcW w:type="dxa" w:w="864"/>
          </w:tcPr>
          <w:p>
            <w:r>
              <w:t>Woonplaatsbeginsel</w:t>
            </w:r>
          </w:p>
        </w:tc>
        <w:tc>
          <w:tcPr>
            <w:tcW w:type="dxa" w:w="864"/>
          </w:tcPr>
          <w:p>
            <w:r>
              <w:t>Gemeente\LDT_Gemeente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ja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RS035: Vullen met 4 cijfers.</w:t>
            </w:r>
          </w:p>
        </w:tc>
        <w:tc>
          <w:tcPr>
            <w:tcW w:type="dxa" w:w="864"/>
          </w:tcPr>
          <w:p>
            <w:r>
              <w:t>RS035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JW319</w:t>
            </w:r>
          </w:p>
        </w:tc>
        <w:tc>
          <w:tcPr>
            <w:tcW w:type="dxa" w:w="864"/>
          </w:tcPr>
          <w:p>
            <w:r>
              <w:t>Woonplaatsbeginsel</w:t>
            </w:r>
          </w:p>
        </w:tc>
        <w:tc>
          <w:tcPr>
            <w:tcW w:type="dxa" w:w="864"/>
          </w:tcPr>
          <w:p>
            <w:r>
              <w:t>Gemeente\LDT_Gemeente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ja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TR378: Vullen met een bestaande gemeentecode uit het overzicht van CBS dat actueel is op Ingangsdatum of ToewijzingIngangsdatum.</w:t>
            </w:r>
          </w:p>
        </w:tc>
        <w:tc>
          <w:tcPr>
            <w:tcW w:type="dxa" w:w="864"/>
          </w:tcPr>
          <w:p>
            <w:r>
              <w:t>TR378</w:t>
            </w:r>
          </w:p>
        </w:tc>
        <w:tc>
          <w:tcPr>
            <w:tcW w:type="dxa" w:w="864"/>
          </w:tcPr>
          <w:p>
            <w:r>
              <w:t>S300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