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JW323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OP003:  Het gestandaardiseerd berichtenverkeer wordt niet gebruikt indien, naar oordeel van een (zorg)professional, de overdracht van clientgegevens ernstige risico's met zich meebrengt voor de veiligheid van de client.</w:t>
            </w:r>
          </w:p>
        </w:tc>
        <w:tc>
          <w:tcPr>
            <w:tcW w:type="dxa" w:w="864"/>
          </w:tcPr>
          <w:p>
            <w:r>
              <w:t>OP003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OP039: In het berichtenverkeer mogen ketenpartijen clientgegevens doorgeven zoals deze in de administratie van de betreffende ketenpartij voorkomen, mits deze gegevens geen onderdeel zijn van een logische sleutel.</w:t>
            </w:r>
          </w:p>
        </w:tc>
        <w:tc>
          <w:tcPr>
            <w:tcW w:type="dxa" w:w="864"/>
          </w:tcPr>
          <w:p>
            <w:r>
              <w:t>OP039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OP047: Als een bericht niet aan de geldende standaard voldoet, mag het bericht afgekeurd worden.</w:t>
            </w:r>
          </w:p>
        </w:tc>
        <w:tc>
          <w:tcPr>
            <w:tcW w:type="dxa" w:w="864"/>
          </w:tcPr>
          <w:p>
            <w:r>
              <w:t>OP047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OP079: Het is verplicht om gebruik te maken van het BSN van de client in de onderlinge uitwisseling van gegevens.</w:t>
            </w:r>
          </w:p>
        </w:tc>
        <w:tc>
          <w:tcPr>
            <w:tcW w:type="dxa" w:w="864"/>
          </w:tcPr>
          <w:p>
            <w:r>
              <w:t>OP079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OP080: Aan het tijdstip waarop en de volgorde waarin berichten worden ontvangen en verwerkt kunnen ketenpartijen geen betekenis hechten.</w:t>
            </w:r>
          </w:p>
        </w:tc>
        <w:tc>
          <w:tcPr>
            <w:tcW w:type="dxa" w:w="864"/>
          </w:tcPr>
          <w:p>
            <w:r>
              <w:t>OP080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OP095: Een bericht mag niet worden afgekeurd op basis van informatie waartoe de verzendende partij geen toegang heeft.</w:t>
            </w:r>
          </w:p>
        </w:tc>
        <w:tc>
          <w:tcPr>
            <w:tcW w:type="dxa" w:w="864"/>
          </w:tcPr>
          <w:p>
            <w:r>
              <w:t>OP095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OP179: De grootte van verzonden bestanden mag niet meer zijn dan 25 Mb.</w:t>
            </w:r>
          </w:p>
        </w:tc>
        <w:tc>
          <w:tcPr>
            <w:tcW w:type="dxa" w:w="864"/>
          </w:tcPr>
          <w:p>
            <w:r>
              <w:t>OP179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OP192: Verzonden berichten moeten voldoen aan de technische eisen.</w:t>
            </w:r>
          </w:p>
        </w:tc>
        <w:tc>
          <w:tcPr>
            <w:tcW w:type="dxa" w:w="864"/>
          </w:tcPr>
          <w:p>
            <w:r>
              <w:t>OP192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OP254: In de iJw berichten worden AGB-codes gebruikt voor routering van de berichten en voor identificatie van de aanbieder.</w:t>
            </w:r>
          </w:p>
        </w:tc>
        <w:tc>
          <w:tcPr>
            <w:tcW w:type="dxa" w:w="864"/>
          </w:tcPr>
          <w:p>
            <w:r>
              <w:t>OP254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OP262: Voor ondersteuningsproducten met een inspanningsgerichte uitvoering wordt een tarief per tijdseenheid afgesproken behalve voor ondersteuningsproducten met de eenheid stuks (inspanning) daar wordt een tarief per stuk afgesproken.</w:t>
            </w:r>
          </w:p>
        </w:tc>
        <w:tc>
          <w:tcPr>
            <w:tcW w:type="dxa" w:w="864"/>
          </w:tcPr>
          <w:p>
            <w:r>
              <w:t>OP262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OP263: Voor ondersteuningsproducten met een outputgerichte werkwijze wordt een tarief per stuk afgesproken of wordt afgesproken dat een bedrag in euro's over een vastgestelde periode wordt vastgesteld.</w:t>
            </w:r>
          </w:p>
        </w:tc>
        <w:tc>
          <w:tcPr>
            <w:tcW w:type="dxa" w:w="864"/>
          </w:tcPr>
          <w:p>
            <w:r>
              <w:t>OP263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OP264: Voor ondersteuningsproducten met een outputgerichte werkwijze wordt vastgesteld op welk moment gedeclareerd wordt.</w:t>
            </w:r>
          </w:p>
        </w:tc>
        <w:tc>
          <w:tcPr>
            <w:tcW w:type="dxa" w:w="864"/>
          </w:tcPr>
          <w:p>
            <w:r>
              <w:t>OP264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OP267: De aanbieder declareert in een eenheid die aansluit bij de toewijzing.</w:t>
            </w:r>
          </w:p>
        </w:tc>
        <w:tc>
          <w:tcPr>
            <w:tcW w:type="dxa" w:w="864"/>
          </w:tcPr>
          <w:p>
            <w:r>
              <w:t>OP267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OP276: De aanbieder declareert voor een client waarvoor de aanbieder een toewijzing ontvangen heeft.</w:t>
            </w:r>
          </w:p>
        </w:tc>
        <w:tc>
          <w:tcPr>
            <w:tcW w:type="dxa" w:w="864"/>
          </w:tcPr>
          <w:p>
            <w:r>
              <w:t>OP276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OP279: De aanbieder declareert een product binnen de toegewezen periode.</w:t>
            </w:r>
          </w:p>
        </w:tc>
        <w:tc>
          <w:tcPr>
            <w:tcW w:type="dxa" w:w="864"/>
          </w:tcPr>
          <w:p>
            <w:r>
              <w:t>OP279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OP280: Een declaratiebericht heeft betrekking op één declaratieperiode.</w:t>
            </w:r>
          </w:p>
        </w:tc>
        <w:tc>
          <w:tcPr>
            <w:tcW w:type="dxa" w:w="864"/>
          </w:tcPr>
          <w:p>
            <w:r>
              <w:t>OP280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OP281: Een declaratiebericht kan prestaties van één of meer clienten bevatten.</w:t>
            </w:r>
          </w:p>
        </w:tc>
        <w:tc>
          <w:tcPr>
            <w:tcW w:type="dxa" w:w="864"/>
          </w:tcPr>
          <w:p>
            <w:r>
              <w:t>OP281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OP283: Iedere prestatie krijgt een uniek nummer per aanbieder per wettelijk domein.</w:t>
            </w:r>
          </w:p>
        </w:tc>
        <w:tc>
          <w:tcPr>
            <w:tcW w:type="dxa" w:w="864"/>
          </w:tcPr>
          <w:p>
            <w:r>
              <w:t>OP283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OP284: Indien iedere declaratieperiode zorg is geleverd door de aanbieder, moeten de declaratieperioden aansluitend zijn in opvolgende declaratieberichten.</w:t>
            </w:r>
          </w:p>
        </w:tc>
        <w:tc>
          <w:tcPr>
            <w:tcW w:type="dxa" w:w="864"/>
          </w:tcPr>
          <w:p>
            <w:r>
              <w:t>OP284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OP286: Als de ontvanger een technische fout constateert, keurt deze het bericht in zijn geheel af en laat hij dit weten aan de verzender. Het bericht moet daarmee functioneel als niet-verzonden worden beschouwd</w:t>
            </w:r>
          </w:p>
        </w:tc>
        <w:tc>
          <w:tcPr>
            <w:tcW w:type="dxa" w:w="864"/>
          </w:tcPr>
          <w:p>
            <w:r>
              <w:t>OP286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OP302: De aanbieder declareert een zorg- of ondersteuningsproduct dat aansluit bij de toewijzing.</w:t>
            </w:r>
          </w:p>
        </w:tc>
        <w:tc>
          <w:tcPr>
            <w:tcW w:type="dxa" w:w="864"/>
          </w:tcPr>
          <w:p>
            <w:r>
              <w:t>OP302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OP303: Het  declaratie-antwoordbericht bevat alle informatie om het bericht administratief te verwerken.</w:t>
            </w:r>
          </w:p>
        </w:tc>
        <w:tc>
          <w:tcPr>
            <w:tcW w:type="dxa" w:w="864"/>
          </w:tcPr>
          <w:p>
            <w:r>
              <w:t>OP303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OP349: Iedere declaratie krijgt een uniek nummer per aanbieder per wettelijk domein.</w:t>
            </w:r>
          </w:p>
        </w:tc>
        <w:tc>
          <w:tcPr>
            <w:tcW w:type="dxa" w:w="864"/>
          </w:tcPr>
          <w:p>
            <w:r>
              <w:t>OP349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OP354: Zorg of ondersteuning geleverd aan een client tijdens een bepaalde declaratieperiode wordt direct in de erop volgende declaratieperiode of achteraf in een latere declaratieperiode gedeclareerd.</w:t>
            </w:r>
          </w:p>
        </w:tc>
        <w:tc>
          <w:tcPr>
            <w:tcW w:type="dxa" w:w="864"/>
          </w:tcPr>
          <w:p>
            <w:r>
              <w:t>OP354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OP360: Een prestatie mag alleen worden gecrediteerd indien deze niet eerder is gecrediteerd</w:t>
            </w:r>
          </w:p>
        </w:tc>
        <w:tc>
          <w:tcPr>
            <w:tcW w:type="dxa" w:w="864"/>
          </w:tcPr>
          <w:p>
            <w:r>
              <w:t>OP360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OP364: Regieberichten worden niet voorwaardelijk gesteld aan declaratie</w:t>
            </w:r>
          </w:p>
        </w:tc>
        <w:tc>
          <w:tcPr>
            <w:tcW w:type="dxa" w:w="864"/>
          </w:tcPr>
          <w:p>
            <w:r>
              <w:t>OP364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OP365: De aanbieder declareert een zorg- of ondersteuningsproduct met een omvang die aansluit bij de toewijzing en/of gecontracteerde afspraken.</w:t>
            </w:r>
          </w:p>
        </w:tc>
        <w:tc>
          <w:tcPr>
            <w:tcW w:type="dxa" w:w="864"/>
          </w:tcPr>
          <w:p>
            <w:r>
              <w:t>OP365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OP366: Een prestatieregel moet eerst volledig worden gecrediteerd voordat er een correctie op deze prestatieregel kan worden ingediend</w:t>
            </w:r>
          </w:p>
        </w:tc>
        <w:tc>
          <w:tcPr>
            <w:tcW w:type="dxa" w:w="864"/>
          </w:tcPr>
          <w:p>
            <w:r>
              <w:t>OP366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OP367: Een productperiode valt altijd binnen een kalendermaand</w:t>
            </w:r>
          </w:p>
        </w:tc>
        <w:tc>
          <w:tcPr>
            <w:tcW w:type="dxa" w:w="864"/>
          </w:tcPr>
          <w:p>
            <w:r>
              <w:t>OP367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OP368: Een productperiode valt altijd binnen de geldigheidsperiode van een toewijzing</w:t>
            </w:r>
          </w:p>
        </w:tc>
        <w:tc>
          <w:tcPr>
            <w:tcW w:type="dxa" w:w="864"/>
          </w:tcPr>
          <w:p>
            <w:r>
              <w:t>OP368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IV084: Hoe moet de declaratie gevuld worden wanneer sprake is van elkaar opvolgende toewijzingen binnen 1 declaratieperiode?</w:t>
            </w:r>
          </w:p>
        </w:tc>
        <w:tc>
          <w:tcPr>
            <w:tcW w:type="dxa" w:w="864"/>
          </w:tcPr>
          <w:p>
            <w:r>
              <w:t>IV084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IV085: Wanneer kan een creditering van een declaratie verzonden worden?</w:t>
            </w:r>
          </w:p>
        </w:tc>
        <w:tc>
          <w:tcPr>
            <w:tcW w:type="dxa" w:w="864"/>
          </w:tcPr>
          <w:p>
            <w:r>
              <w:t>IV085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IV086: Hoe moet worden omgegaan met debet en credit prestaties in een declaratiebericht?</w:t>
            </w:r>
          </w:p>
        </w:tc>
        <w:tc>
          <w:tcPr>
            <w:tcW w:type="dxa" w:w="864"/>
          </w:tcPr>
          <w:p>
            <w:r>
              <w:t>IV086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IV090: Hoe moet het declaratiebericht gevuld worden indien achteraf gedeclareerd wordt?</w:t>
            </w:r>
          </w:p>
        </w:tc>
        <w:tc>
          <w:tcPr>
            <w:tcW w:type="dxa" w:w="864"/>
          </w:tcPr>
          <w:p>
            <w:r>
              <w:t>IV090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IV091: Hoe moet een creditprestatie gevuld worden in een declaratiebericht?</w:t>
            </w:r>
          </w:p>
        </w:tc>
        <w:tc>
          <w:tcPr>
            <w:tcW w:type="dxa" w:w="864"/>
          </w:tcPr>
          <w:p>
            <w:r>
              <w:t>IV091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TR304: Bsn moet overeenkomen met Bsn van een Client.</w:t>
            </w:r>
          </w:p>
        </w:tc>
        <w:tc>
          <w:tcPr>
            <w:tcW w:type="dxa" w:w="864"/>
          </w:tcPr>
          <w:p>
            <w:r>
              <w:t>TR304</w:t>
            </w:r>
          </w:p>
        </w:tc>
        <w:tc>
          <w:tcPr>
            <w:tcW w:type="dxa" w:w="864"/>
          </w:tcPr>
          <w:p>
            <w:r>
              <w:t>8187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CS002: De waarde moet voldoen aan de 11-proef.</w:t>
            </w:r>
          </w:p>
        </w:tc>
        <w:tc>
          <w:tcPr>
            <w:tcW w:type="dxa" w:w="864"/>
          </w:tcPr>
          <w:p>
            <w:r>
              <w:t>CS002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RS015: Maximale lengte 9 posities</w:t>
            </w:r>
          </w:p>
        </w:tc>
        <w:tc>
          <w:tcPr>
            <w:tcW w:type="dxa" w:w="864"/>
          </w:tcPr>
          <w:p>
            <w:r>
              <w:t>RS015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RS037: Vullen met 9 cijfers.</w:t>
            </w:r>
          </w:p>
        </w:tc>
        <w:tc>
          <w:tcPr>
            <w:tcW w:type="dxa" w:w="864"/>
          </w:tcPr>
          <w:p>
            <w:r>
              <w:t>RS037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CS319: Aaneengesloten vullen met cijfers en/of letters</w:t>
            </w:r>
          </w:p>
        </w:tc>
        <w:tc>
          <w:tcPr>
            <w:tcW w:type="dxa" w:w="864"/>
          </w:tcPr>
          <w:p>
            <w:r>
              <w:t>CS319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TR333: DeclaratieNummer van de Declaratie moet uniek zijn voor de aanbieder binnen het wettelijk domein waarop de Declaratie betrekking heeft.</w:t>
            </w:r>
          </w:p>
        </w:tc>
        <w:tc>
          <w:tcPr>
            <w:tcW w:type="dxa" w:w="864"/>
          </w:tcPr>
          <w:p>
            <w:r>
              <w:t>TR333</w:t>
            </w:r>
          </w:p>
        </w:tc>
        <w:tc>
          <w:tcPr>
            <w:tcW w:type="dxa" w:w="864"/>
          </w:tcPr>
          <w:p>
            <w:r>
              <w:t>9333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DeclaratieNummer\LDT_IdentificatieDeclaratie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CS100: Vullen met een datum die groter dan of gelijk is aan 01-01-2021</w:t>
            </w:r>
          </w:p>
        </w:tc>
        <w:tc>
          <w:tcPr>
            <w:tcW w:type="dxa" w:w="864"/>
          </w:tcPr>
          <w:p>
            <w:r>
              <w:t>CS100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CS340: De periode is exact gelijk aan 1 hele kalendermaand</w:t>
            </w:r>
          </w:p>
        </w:tc>
        <w:tc>
          <w:tcPr>
            <w:tcW w:type="dxa" w:w="864"/>
          </w:tcPr>
          <w:p>
            <w:r>
              <w:t>CS340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TR318: Indien iedere DeclaratiePeriode zorg is geleverd, moet DeclaratiePeriode de kalendermaand volgend op voorgaande DeclaratiePeriode zijn.</w:t>
            </w:r>
          </w:p>
        </w:tc>
        <w:tc>
          <w:tcPr>
            <w:tcW w:type="dxa" w:w="864"/>
          </w:tcPr>
          <w:p>
            <w:r>
              <w:t>TR318</w:t>
            </w:r>
          </w:p>
        </w:tc>
        <w:tc>
          <w:tcPr>
            <w:tcW w:type="dxa" w:w="864"/>
          </w:tcPr>
          <w:p>
            <w:r>
              <w:t>8214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IV076: Hoe moet het volume in de prestatie gevuld worden, wanneer de toewijzing de frequentie week heeft</w:t>
            </w:r>
          </w:p>
        </w:tc>
        <w:tc>
          <w:tcPr>
            <w:tcW w:type="dxa" w:w="864"/>
          </w:tcPr>
          <w:p>
            <w:r>
              <w:t>IV076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DeclaratiePeriode\CDT_GeslotenPeriode</w:t>
            </w:r>
          </w:p>
        </w:tc>
        <w:tc>
          <w:tcPr>
            <w:tcW w:type="dxa" w:w="864"/>
          </w:tcPr>
          <w:p>
            <w:r>
              <w:t>Begindatum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DeclaratiePeriode\CDT_GeslotenPeriode</w:t>
            </w:r>
          </w:p>
        </w:tc>
        <w:tc>
          <w:tcPr>
            <w:tcW w:type="dxa" w:w="864"/>
          </w:tcPr>
          <w:p>
            <w:r>
              <w:t>Begindatum\LDT_Datum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DeclaratiePeriode\CDT_GeslotenPeriode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TR137: Vullen met een waarde die groter is dan, of gelijk is aan de Begindatum van de aangeduide periode én die niet groter is dan de Dagtekening van het bericht.</w:t>
            </w:r>
          </w:p>
        </w:tc>
        <w:tc>
          <w:tcPr>
            <w:tcW w:type="dxa" w:w="864"/>
          </w:tcPr>
          <w:p>
            <w:r>
              <w:t>TR137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DeclaratiePeriode\CDT_GeslotenPeriode</w:t>
            </w:r>
          </w:p>
        </w:tc>
        <w:tc>
          <w:tcPr>
            <w:tcW w:type="dxa" w:w="864"/>
          </w:tcPr>
          <w:p>
            <w:r>
              <w:t>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DeclaratieDagtekening\LDT_Datum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TR358: De waarde van TotaalBedrag in TotaalIngediendBedrag  moet gelijk zijn aan de SOM van de waarden van Bedrag in Ingediendbedrag in alle onderliggende Prestaties, rekening houdend met indicatie debet/credit.</w:t>
            </w:r>
          </w:p>
        </w:tc>
        <w:tc>
          <w:tcPr>
            <w:tcW w:type="dxa" w:w="864"/>
          </w:tcPr>
          <w:p>
            <w:r>
              <w:t>TR358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TotaalBedrag\LDT_TotaalBedrag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RS040: Maximale waarde 999999999999 (12*9)</w:t>
            </w:r>
          </w:p>
        </w:tc>
        <w:tc>
          <w:tcPr>
            <w:tcW w:type="dxa" w:w="864"/>
          </w:tcPr>
          <w:p>
            <w:r>
              <w:t>RS040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CS325: Indien (Totaal)Bedrag de waarde 0 heeft, dan DebetCredit vullen met D (Debet).</w:t>
            </w:r>
          </w:p>
        </w:tc>
        <w:tc>
          <w:tcPr>
            <w:tcW w:type="dxa" w:w="864"/>
          </w:tcPr>
          <w:p>
            <w:r>
              <w:t>CS325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Declaratie</w:t>
            </w:r>
          </w:p>
        </w:tc>
        <w:tc>
          <w:tcPr>
            <w:tcW w:type="dxa" w:w="864"/>
          </w:tcPr>
          <w:p>
            <w:r>
              <w:t>TotaalIngediendBedrag\CDT_TotaalBedragMetDC</w:t>
            </w:r>
          </w:p>
        </w:tc>
        <w:tc>
          <w:tcPr>
            <w:tcW w:type="dxa" w:w="864"/>
          </w:tcPr>
          <w:p>
            <w:r>
              <w:t>DebetCredit\LDT_DebetCredit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COD043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IV046: Welke gemeentecode moet gevuld worden?</w:t>
            </w:r>
          </w:p>
        </w:tc>
        <w:tc>
          <w:tcPr>
            <w:tcW w:type="dxa" w:w="864"/>
          </w:tcPr>
          <w:p>
            <w:r>
              <w:t>IV046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RS010: Maximale lengte 3 posities</w:t>
            </w:r>
          </w:p>
        </w:tc>
        <w:tc>
          <w:tcPr>
            <w:tcW w:type="dxa" w:w="864"/>
          </w:tcPr>
          <w:p>
            <w:r>
              <w:t>RS010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RS047: Vullen met BerichtCode volgens de specificatie</w:t>
            </w:r>
          </w:p>
        </w:tc>
        <w:tc>
          <w:tcPr>
            <w:tcW w:type="dxa" w:w="864"/>
          </w:tcPr>
          <w:p>
            <w:r>
              <w:t>RS047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CS025: BerichtVersie vullen met 3.</w:t>
            </w:r>
          </w:p>
        </w:tc>
        <w:tc>
          <w:tcPr>
            <w:tcW w:type="dxa" w:w="864"/>
          </w:tcPr>
          <w:p>
            <w:r>
              <w:t>CS025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CS015: BerichtSubversie vullen met 2.</w:t>
            </w:r>
          </w:p>
        </w:tc>
        <w:tc>
          <w:tcPr>
            <w:tcW w:type="dxa" w:w="864"/>
          </w:tcPr>
          <w:p>
            <w:r>
              <w:t>CS015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TR319: Een declaratiebericht bevat alleen prestaties waarvan de ProductPeriode valt binnen de huidige, of een voorgaande declaratieperiode.</w:t>
            </w:r>
          </w:p>
        </w:tc>
        <w:tc>
          <w:tcPr>
            <w:tcW w:type="dxa" w:w="864"/>
          </w:tcPr>
          <w:p>
            <w:r>
              <w:t>TR319</w:t>
            </w:r>
          </w:p>
        </w:tc>
        <w:tc>
          <w:tcPr>
            <w:tcW w:type="dxa" w:w="864"/>
          </w:tcPr>
          <w:p>
            <w:r>
              <w:t>9319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TR338: De Prestatie is gerelateerd aan een ToegewezenProduct op basis van het Toewijzingnummer.</w:t>
            </w:r>
          </w:p>
        </w:tc>
        <w:tc>
          <w:tcPr>
            <w:tcW w:type="dxa" w:w="864"/>
          </w:tcPr>
          <w:p>
            <w:r>
              <w:t>TR338</w:t>
            </w:r>
          </w:p>
        </w:tc>
        <w:tc>
          <w:tcPr>
            <w:tcW w:type="dxa" w:w="864"/>
          </w:tcPr>
          <w:p>
            <w:r>
              <w:t>9338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TR384: Het is niet toegestaan te declareren op een toewijzing met RedenWijziging waarde "13" (Verwijderd)</w:t>
            </w:r>
          </w:p>
        </w:tc>
        <w:tc>
          <w:tcPr>
            <w:tcW w:type="dxa" w:w="864"/>
          </w:tcPr>
          <w:p>
            <w:r>
              <w:t>TR384</w:t>
            </w:r>
          </w:p>
        </w:tc>
        <w:tc>
          <w:tcPr>
            <w:tcW w:type="dxa" w:w="864"/>
          </w:tcPr>
          <w:p>
            <w:r>
              <w:t>9384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TR389: Prestatie met DebetCredit in IngediendBedrag waarde Debet mag alleen ingezonden worden voor dezelfde ProductPeriode, ProductCategorie en ProductCode met gelijk ToewijzingNummer als er niet al eerder een debetprestatie is verzonden.</w:t>
            </w:r>
          </w:p>
        </w:tc>
        <w:tc>
          <w:tcPr>
            <w:tcW w:type="dxa" w:w="864"/>
          </w:tcPr>
          <w:p>
            <w:r>
              <w:t>TR389</w:t>
            </w:r>
          </w:p>
        </w:tc>
        <w:tc>
          <w:tcPr>
            <w:tcW w:type="dxa" w:w="864"/>
          </w:tcPr>
          <w:p>
            <w:r>
              <w:t>9389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TR390: DebetCredit mag alleen waarde Credit hebben indien voor Prestatie met gelijk ProductReferentie niet een Prestatie met Credit bestaat</w:t>
            </w:r>
          </w:p>
        </w:tc>
        <w:tc>
          <w:tcPr>
            <w:tcW w:type="dxa" w:w="864"/>
          </w:tcPr>
          <w:p>
            <w:r>
              <w:t>TR390</w:t>
            </w:r>
          </w:p>
        </w:tc>
        <w:tc>
          <w:tcPr>
            <w:tcW w:type="dxa" w:w="864"/>
          </w:tcPr>
          <w:p>
            <w:r>
              <w:t>9390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TR416: Prestatie met DebetCredit in IngediendBedrag waarde Debet mag alleen ingezonden worden voor dezelfde ProductPeriode, ProductCategorie en ProductCode met gelijk ToewijzingNummer als er niet al een Prestatie met waarde Debet is.</w:t>
            </w:r>
          </w:p>
        </w:tc>
        <w:tc>
          <w:tcPr>
            <w:tcW w:type="dxa" w:w="864"/>
          </w:tcPr>
          <w:p>
            <w:r>
              <w:t>TR416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IV042: Hoe moet de omvang van te leveren of geleverde ondersteuning gevuld worden?</w:t>
            </w:r>
          </w:p>
        </w:tc>
        <w:tc>
          <w:tcPr>
            <w:tcW w:type="dxa" w:w="864"/>
          </w:tcPr>
          <w:p>
            <w:r>
              <w:t>IV042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IV075: Hoe moeten productgegevens gevuld worden?</w:t>
            </w:r>
          </w:p>
        </w:tc>
        <w:tc>
          <w:tcPr>
            <w:tcW w:type="dxa" w:w="864"/>
          </w:tcPr>
          <w:p>
            <w:r>
              <w:t>IV075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IV078: Wat mag gedeclareerd worden wanneer een onvolledige periode is toegewezen?</w:t>
            </w:r>
          </w:p>
        </w:tc>
        <w:tc>
          <w:tcPr>
            <w:tcW w:type="dxa" w:w="864"/>
          </w:tcPr>
          <w:p>
            <w:r>
              <w:t>IV078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TR314: ReferentieNummer van de Prestatie moet uniek zijn voor de aanbieder binnen het wettelijk domein waarop de Prestatie betrekking heeft, zowel binnen één bericht als berichtoverstijgend.</w:t>
            </w:r>
          </w:p>
        </w:tc>
        <w:tc>
          <w:tcPr>
            <w:tcW w:type="dxa" w:w="864"/>
          </w:tcPr>
          <w:p>
            <w:r>
              <w:t>TR314</w:t>
            </w:r>
          </w:p>
        </w:tc>
        <w:tc>
          <w:tcPr>
            <w:tcW w:type="dxa" w:w="864"/>
          </w:tcPr>
          <w:p>
            <w:r>
              <w:t>8021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TR315: VorigReferentieNummer van de Prestatie moet uniek zijn in het bericht.</w:t>
            </w:r>
          </w:p>
        </w:tc>
        <w:tc>
          <w:tcPr>
            <w:tcW w:type="dxa" w:w="864"/>
          </w:tcPr>
          <w:p>
            <w:r>
              <w:t>TR315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TR316: Debetregels mogen niet in hetzelfde bericht gecrediteerd worden.</w:t>
            </w:r>
          </w:p>
        </w:tc>
        <w:tc>
          <w:tcPr>
            <w:tcW w:type="dxa" w:w="864"/>
          </w:tcPr>
          <w:p>
            <w:r>
              <w:t>TR316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TR323: Een credit Prestatie moet gerelateerd zijn aan een eerder verzonden (goedgekeurde) debet Prestatie op basis van sleutelvelden.</w:t>
            </w:r>
          </w:p>
        </w:tc>
        <w:tc>
          <w:tcPr>
            <w:tcW w:type="dxa" w:w="864"/>
          </w:tcPr>
          <w:p>
            <w:r>
              <w:t>TR323</w:t>
            </w:r>
          </w:p>
        </w:tc>
        <w:tc>
          <w:tcPr>
            <w:tcW w:type="dxa" w:w="864"/>
          </w:tcPr>
          <w:p>
            <w:r>
              <w:t>8017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ReferentieNummer\LDT_ReferentieNummer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RS019: Maximale lengte 20 posities</w:t>
            </w:r>
          </w:p>
        </w:tc>
        <w:tc>
          <w:tcPr>
            <w:tcW w:type="dxa" w:w="864"/>
          </w:tcPr>
          <w:p>
            <w:r>
              <w:t>RS019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VorigReferentieNummer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CD060: Verplicht vullen indien DebetCredit bij het ingediende bedrag de waarde C (credit) heeft, anders leeg laten.</w:t>
            </w:r>
          </w:p>
        </w:tc>
        <w:tc>
          <w:tcPr>
            <w:tcW w:type="dxa" w:w="864"/>
          </w:tcPr>
          <w:p>
            <w:r>
              <w:t>CD060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ProductReferentie\CDT_Referentie</w:t>
            </w:r>
          </w:p>
        </w:tc>
        <w:tc>
          <w:tcPr>
            <w:tcW w:type="dxa" w:w="864"/>
          </w:tcPr>
          <w:p>
            <w:r>
              <w:t>VorigReferentieNummer\LDT_ReferentieNummer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RS019: Maximale lengte 20 posities</w:t>
            </w:r>
          </w:p>
        </w:tc>
        <w:tc>
          <w:tcPr>
            <w:tcW w:type="dxa" w:w="864"/>
          </w:tcPr>
          <w:p>
            <w:r>
              <w:t>RS019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RS006: Maximale waarde 999999999 (9*9)</w:t>
            </w:r>
          </w:p>
        </w:tc>
        <w:tc>
          <w:tcPr>
            <w:tcW w:type="dxa" w:w="864"/>
          </w:tcPr>
          <w:p>
            <w:r>
              <w:t>RS006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TR339: ProductCategorie in Prestatie moet gelijk zijn aan ProductCategorie in het ToegewezenProduct indien deze opgenomen is.</w:t>
            </w:r>
          </w:p>
        </w:tc>
        <w:tc>
          <w:tcPr>
            <w:tcW w:type="dxa" w:w="864"/>
          </w:tcPr>
          <w:p>
            <w:r>
              <w:t>TR339</w:t>
            </w:r>
          </w:p>
        </w:tc>
        <w:tc>
          <w:tcPr>
            <w:tcW w:type="dxa" w:w="864"/>
          </w:tcPr>
          <w:p>
            <w:r>
              <w:t>9339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ProductCategorie\LDT_ProductCategorie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JZ020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TR340: ProductCode in Prestatie moet gelijk zijn aan ProductCode in het ToegewezenProduct, indien deze opgenomen is.</w:t>
            </w:r>
          </w:p>
        </w:tc>
        <w:tc>
          <w:tcPr>
            <w:tcW w:type="dxa" w:w="864"/>
          </w:tcPr>
          <w:p>
            <w:r>
              <w:t>TR340</w:t>
            </w:r>
          </w:p>
        </w:tc>
        <w:tc>
          <w:tcPr>
            <w:tcW w:type="dxa" w:w="864"/>
          </w:tcPr>
          <w:p>
            <w:r>
              <w:t>9340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TR381: ProductCode vullen met een code die, volgens de gehanteerde productcodelijst, past bij de ProductCategorie.</w:t>
            </w:r>
          </w:p>
        </w:tc>
        <w:tc>
          <w:tcPr>
            <w:tcW w:type="dxa" w:w="864"/>
          </w:tcPr>
          <w:p>
            <w:r>
              <w:t>TR381</w:t>
            </w:r>
          </w:p>
        </w:tc>
        <w:tc>
          <w:tcPr>
            <w:tcW w:type="dxa" w:w="864"/>
          </w:tcPr>
          <w:p>
            <w:r>
              <w:t>S329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RS012: Maximale lengte 5 posities</w:t>
            </w:r>
          </w:p>
        </w:tc>
        <w:tc>
          <w:tcPr>
            <w:tcW w:type="dxa" w:w="864"/>
          </w:tcPr>
          <w:p>
            <w:r>
              <w:t>RS012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CS100: Vullen met een datum die groter dan of gelijk is aan 01-01-2021</w:t>
            </w:r>
          </w:p>
        </w:tc>
        <w:tc>
          <w:tcPr>
            <w:tcW w:type="dxa" w:w="864"/>
          </w:tcPr>
          <w:p>
            <w:r>
              <w:t>CS100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CS337: Einddatum in de ProductPeriode vullen met een datum die valt in dezelfde kalendermaand en jaar als de Begindatum van de ProductPeriode</w:t>
            </w:r>
          </w:p>
        </w:tc>
        <w:tc>
          <w:tcPr>
            <w:tcW w:type="dxa" w:w="864"/>
          </w:tcPr>
          <w:p>
            <w:r>
              <w:t>CS337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TR307: Begindatum in ProductPeriode in Prestatie moet groter dan of gelijk zijn aan Ingangsdatum in ToegewezenProduct.</w:t>
            </w:r>
          </w:p>
        </w:tc>
        <w:tc>
          <w:tcPr>
            <w:tcW w:type="dxa" w:w="864"/>
          </w:tcPr>
          <w:p>
            <w:r>
              <w:t>TR307</w:t>
            </w:r>
          </w:p>
        </w:tc>
        <w:tc>
          <w:tcPr>
            <w:tcW w:type="dxa" w:w="864"/>
          </w:tcPr>
          <w:p>
            <w:r>
              <w:t>9307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TR308: Einddatum in ProductPeriode in Prestatie moet kleiner dan of gelijk zijn aan Einddatum in ToegewezenProduct, indien die gevuld is.</w:t>
            </w:r>
          </w:p>
        </w:tc>
        <w:tc>
          <w:tcPr>
            <w:tcW w:type="dxa" w:w="864"/>
          </w:tcPr>
          <w:p>
            <w:r>
              <w:t>TR308</w:t>
            </w:r>
          </w:p>
        </w:tc>
        <w:tc>
          <w:tcPr>
            <w:tcW w:type="dxa" w:w="864"/>
          </w:tcPr>
          <w:p>
            <w:r>
              <w:t>9308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TR335: Einddatum mag niet meer dan 5 jaar voor DeclaratieDagtekening liggen.</w:t>
            </w:r>
          </w:p>
        </w:tc>
        <w:tc>
          <w:tcPr>
            <w:tcW w:type="dxa" w:w="864"/>
          </w:tcPr>
          <w:p>
            <w:r>
              <w:t>TR335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TR387: De Begindatum van een ProductPeriode is altijd de eerste dag van de kalendermaand waarop de ProductPeriode betrekking heeft tenzij de Ingangsdatum van de toewijzing later in de betreffende maand ligt</w:t>
            </w:r>
          </w:p>
        </w:tc>
        <w:tc>
          <w:tcPr>
            <w:tcW w:type="dxa" w:w="864"/>
          </w:tcPr>
          <w:p>
            <w:r>
              <w:t>TR387</w:t>
            </w:r>
          </w:p>
        </w:tc>
        <w:tc>
          <w:tcPr>
            <w:tcW w:type="dxa" w:w="864"/>
          </w:tcPr>
          <w:p>
            <w:r>
              <w:t>9387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TR388: De Einddatum van een ProductPeriode is altijd de laatste dag van de kalendermaand waarop de ProductPeriode betrekking heeft tenzij de Einddatum van de toewijzing eerder in de betreffende maand ligt</w:t>
            </w:r>
          </w:p>
        </w:tc>
        <w:tc>
          <w:tcPr>
            <w:tcW w:type="dxa" w:w="864"/>
          </w:tcPr>
          <w:p>
            <w:r>
              <w:t>TR388</w:t>
            </w:r>
          </w:p>
        </w:tc>
        <w:tc>
          <w:tcPr>
            <w:tcW w:type="dxa" w:w="864"/>
          </w:tcPr>
          <w:p>
            <w:r>
              <w:t>9388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IV089: Hoe moet ProductPeriode gevuld worden?</w:t>
            </w:r>
          </w:p>
        </w:tc>
        <w:tc>
          <w:tcPr>
            <w:tcW w:type="dxa" w:w="864"/>
          </w:tcPr>
          <w:p>
            <w:r>
              <w:t>IV089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Begindatum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Begindatum\LDT_Datum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TR137: Vullen met een waarde die groter is dan, of gelijk is aan de Begindatum van de aangeduide periode én die niet groter is dan de Dagtekening van het bericht.</w:t>
            </w:r>
          </w:p>
        </w:tc>
        <w:tc>
          <w:tcPr>
            <w:tcW w:type="dxa" w:w="864"/>
          </w:tcPr>
          <w:p>
            <w:r>
              <w:t>TR137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ProductPeriode\CDT_GeslotenPeriode</w:t>
            </w:r>
          </w:p>
        </w:tc>
        <w:tc>
          <w:tcPr>
            <w:tcW w:type="dxa" w:w="864"/>
          </w:tcPr>
          <w:p>
            <w:r>
              <w:t>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TR321: Indien in het ToegewezenProduct een Omvang is meegegeven, moet GeleverdVolume in de Prestatie passen binnen Volume in het ToegewezenProduct.</w:t>
            </w:r>
          </w:p>
        </w:tc>
        <w:tc>
          <w:tcPr>
            <w:tcW w:type="dxa" w:w="864"/>
          </w:tcPr>
          <w:p>
            <w:r>
              <w:t>TR321</w:t>
            </w:r>
          </w:p>
        </w:tc>
        <w:tc>
          <w:tcPr>
            <w:tcW w:type="dxa" w:w="864"/>
          </w:tcPr>
          <w:p>
            <w:r>
              <w:t>9321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TR322: Indien in het ToegewezenProduct een Omvang is meegegeven, moet de som van GeleverdVolume in alle ingediende Prestaties die betrekking hebben op dat ToegewezenProduct passen binnen de toegewezen Omvang.</w:t>
            </w:r>
          </w:p>
        </w:tc>
        <w:tc>
          <w:tcPr>
            <w:tcW w:type="dxa" w:w="864"/>
          </w:tcPr>
          <w:p>
            <w:r>
              <w:t>TR322</w:t>
            </w:r>
          </w:p>
        </w:tc>
        <w:tc>
          <w:tcPr>
            <w:tcW w:type="dxa" w:w="864"/>
          </w:tcPr>
          <w:p>
            <w:r>
              <w:t>9322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TR369: Indien in het ToegewezenProduct een Budget is meegegeven, moet de som van GeleverdVolume in alle ingediende Prestaties die betrekking hebben op dat ToegewezenProduct passen binnen het toegewezen Budget.</w:t>
            </w:r>
          </w:p>
        </w:tc>
        <w:tc>
          <w:tcPr>
            <w:tcW w:type="dxa" w:w="864"/>
          </w:tcPr>
          <w:p>
            <w:r>
              <w:t>TR369</w:t>
            </w:r>
          </w:p>
        </w:tc>
        <w:tc>
          <w:tcPr>
            <w:tcW w:type="dxa" w:w="864"/>
          </w:tcPr>
          <w:p>
            <w:r>
              <w:t>9369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IV077: Hoe moet het maximaal te declareren volume berekend worden over de productperiode bij gebruik van de frequentie per week in de toewijzing?</w:t>
            </w:r>
          </w:p>
        </w:tc>
        <w:tc>
          <w:tcPr>
            <w:tcW w:type="dxa" w:w="864"/>
          </w:tcPr>
          <w:p>
            <w:r>
              <w:t>IV077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IV079: Hoe moet het volume in de prestatie gevuld worden wanneer de eenheid in de prestatie uren is en de geleverde prestatie niet uit volledige uren bestaat?</w:t>
            </w:r>
          </w:p>
        </w:tc>
        <w:tc>
          <w:tcPr>
            <w:tcW w:type="dxa" w:w="864"/>
          </w:tcPr>
          <w:p>
            <w:r>
              <w:t>IV079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GeleverdVolume\LDT_Volume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TR341: Eenheid in Prestatie moet passen bij Eenheid in het ToegewezenProduct.</w:t>
            </w:r>
          </w:p>
        </w:tc>
        <w:tc>
          <w:tcPr>
            <w:tcW w:type="dxa" w:w="864"/>
          </w:tcPr>
          <w:p>
            <w:r>
              <w:t>TR341</w:t>
            </w:r>
          </w:p>
        </w:tc>
        <w:tc>
          <w:tcPr>
            <w:tcW w:type="dxa" w:w="864"/>
          </w:tcPr>
          <w:p>
            <w:r>
              <w:t>9341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Eenheid\LDT_Eenheid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WJ756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CD087: Als eenheid ongelijk is aan 83 (euro's) dan verplicht vullen, anders leeg laten.</w:t>
            </w:r>
          </w:p>
        </w:tc>
        <w:tc>
          <w:tcPr>
            <w:tcW w:type="dxa" w:w="864"/>
          </w:tcPr>
          <w:p>
            <w:r>
              <w:t>CD087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TR418: ProductTarief in Prestatie dient overeen te komen met het contractuele tarief van ProductCode.</w:t>
            </w:r>
          </w:p>
        </w:tc>
        <w:tc>
          <w:tcPr>
            <w:tcW w:type="dxa" w:w="864"/>
          </w:tcPr>
          <w:p>
            <w:r>
              <w:t>TR418</w:t>
            </w:r>
          </w:p>
        </w:tc>
        <w:tc>
          <w:tcPr>
            <w:tcW w:type="dxa" w:w="864"/>
          </w:tcPr>
          <w:p>
            <w:r>
              <w:t>0611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IV081: Hoe moet het ProductTarief gevuld worden?</w:t>
            </w:r>
          </w:p>
        </w:tc>
        <w:tc>
          <w:tcPr>
            <w:tcW w:type="dxa" w:w="864"/>
          </w:tcPr>
          <w:p>
            <w:r>
              <w:t>IV081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ProductTarief\LDT_Bedrag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CS339: Indien Eenheid de waarde 83 (euro's) heeft, moet IngediendBedrag gelijk zijn aan GeleverdVolume.</w:t>
            </w:r>
          </w:p>
        </w:tc>
        <w:tc>
          <w:tcPr>
            <w:tcW w:type="dxa" w:w="864"/>
          </w:tcPr>
          <w:p>
            <w:r>
              <w:t>CS339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TR346: Indien Eenheid ongelijk is aan waarde 83 (Euro’s), moet IngediendBedrag gelijk zijn aan GeleverdVolume vermenigvuldigd met ProductTarief</w:t>
            </w:r>
          </w:p>
        </w:tc>
        <w:tc>
          <w:tcPr>
            <w:tcW w:type="dxa" w:w="864"/>
          </w:tcPr>
          <w:p>
            <w:r>
              <w:t>TR346</w:t>
            </w:r>
          </w:p>
        </w:tc>
        <w:tc>
          <w:tcPr>
            <w:tcW w:type="dxa" w:w="864"/>
          </w:tcPr>
          <w:p>
            <w:r>
              <w:t>9346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Bedrag\LDT_Bedrag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CS325: Indien (Totaal)Bedrag de waarde 0 heeft, dan DebetCredit vullen met D (Debet).</w:t>
            </w:r>
          </w:p>
        </w:tc>
        <w:tc>
          <w:tcPr>
            <w:tcW w:type="dxa" w:w="864"/>
          </w:tcPr>
          <w:p>
            <w:r>
              <w:t>CS325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JW323</w:t>
            </w:r>
          </w:p>
        </w:tc>
        <w:tc>
          <w:tcPr>
            <w:tcW w:type="dxa" w:w="864"/>
          </w:tcPr>
          <w:p>
            <w:r>
              <w:t>Prestatie</w:t>
            </w:r>
          </w:p>
        </w:tc>
        <w:tc>
          <w:tcPr>
            <w:tcW w:type="dxa" w:w="864"/>
          </w:tcPr>
          <w:p>
            <w:r>
              <w:t>IngediendBedrag\CDT_BedragMetDC</w:t>
            </w:r>
          </w:p>
        </w:tc>
        <w:tc>
          <w:tcPr>
            <w:tcW w:type="dxa" w:w="864"/>
          </w:tcPr>
          <w:p>
            <w:r>
              <w:t>DebetCredit\LDT_DebetCredit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COD043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