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ED618" w14:textId="77777777" w:rsidR="004E1EB7" w:rsidRDefault="004E1EB7">
      <w:pPr>
        <w:pBdr>
          <w:top w:val="nil"/>
          <w:left w:val="nil"/>
          <w:bottom w:val="nil"/>
          <w:right w:val="nil"/>
          <w:between w:val="nil"/>
        </w:pBdr>
        <w:spacing w:before="219" w:after="1"/>
        <w:rPr>
          <w:rFonts w:ascii="Times New Roman" w:eastAsia="Times New Roman" w:hAnsi="Times New Roman" w:cs="Times New Roman"/>
          <w:color w:val="000000"/>
          <w:sz w:val="20"/>
          <w:szCs w:val="20"/>
        </w:rPr>
      </w:pPr>
    </w:p>
    <w:p w14:paraId="6CD82265" w14:textId="77777777" w:rsidR="004E1EB7" w:rsidRDefault="00000000">
      <w:pPr>
        <w:pBdr>
          <w:top w:val="nil"/>
          <w:left w:val="nil"/>
          <w:bottom w:val="nil"/>
          <w:right w:val="nil"/>
          <w:between w:val="nil"/>
        </w:pBdr>
        <w:ind w:left="284"/>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mc:AlternateContent>
          <mc:Choice Requires="wps">
            <w:drawing>
              <wp:inline distT="0" distB="0" distL="0" distR="0" wp14:anchorId="446D7855" wp14:editId="36AE1BD6">
                <wp:extent cx="5769610" cy="2193925"/>
                <wp:effectExtent l="0" t="0" r="0" b="0"/>
                <wp:docPr id="17" name="Rectangle 17"/>
                <wp:cNvGraphicFramePr/>
                <a:graphic xmlns:a="http://schemas.openxmlformats.org/drawingml/2006/main">
                  <a:graphicData uri="http://schemas.microsoft.com/office/word/2010/wordprocessingShape">
                    <wps:wsp>
                      <wps:cNvSpPr/>
                      <wps:spPr>
                        <a:xfrm>
                          <a:off x="2465958" y="2687800"/>
                          <a:ext cx="5760085" cy="2184400"/>
                        </a:xfrm>
                        <a:prstGeom prst="rect">
                          <a:avLst/>
                        </a:prstGeom>
                        <a:solidFill>
                          <a:srgbClr val="1A233F"/>
                        </a:solidFill>
                        <a:ln>
                          <a:noFill/>
                        </a:ln>
                      </wps:spPr>
                      <wps:txbx>
                        <w:txbxContent>
                          <w:p w14:paraId="39BEC31E" w14:textId="77777777" w:rsidR="004E1EB7" w:rsidRDefault="004E1EB7">
                            <w:pPr>
                              <w:spacing w:before="307"/>
                              <w:textDirection w:val="btLr"/>
                            </w:pPr>
                          </w:p>
                          <w:p w14:paraId="66503774" w14:textId="77777777" w:rsidR="004E1EB7" w:rsidRDefault="00000000">
                            <w:pPr>
                              <w:jc w:val="center"/>
                              <w:textDirection w:val="btLr"/>
                            </w:pPr>
                            <w:r>
                              <w:rPr>
                                <w:b/>
                                <w:color w:val="FFFFFF"/>
                                <w:sz w:val="60"/>
                              </w:rPr>
                              <w:t>The Fork in the Road</w:t>
                            </w:r>
                          </w:p>
                          <w:p w14:paraId="2E6C4A03" w14:textId="77777777" w:rsidR="004E1EB7" w:rsidRDefault="00000000">
                            <w:pPr>
                              <w:spacing w:before="332"/>
                              <w:jc w:val="center"/>
                              <w:textDirection w:val="btLr"/>
                            </w:pPr>
                            <w:r>
                              <w:rPr>
                                <w:b/>
                                <w:color w:val="FFFFFF"/>
                                <w:sz w:val="32"/>
                              </w:rPr>
                              <w:t>How LibreOffice Was Born from a Crisis of Trust</w:t>
                            </w:r>
                          </w:p>
                        </w:txbxContent>
                      </wps:txbx>
                      <wps:bodyPr spcFirstLastPara="1" wrap="square" lIns="0" tIns="0" rIns="0" bIns="0" anchor="t" anchorCtr="0">
                        <a:noAutofit/>
                      </wps:bodyPr>
                    </wps:wsp>
                  </a:graphicData>
                </a:graphic>
              </wp:inline>
            </w:drawing>
          </mc:Choice>
          <mc:Fallback>
            <w:pict>
              <v:rect w14:anchorId="446D7855" id="Rectangle 17" o:spid="_x0000_s1026" style="width:454.3pt;height:17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" fillcolor="#1a233f" stroked="f">
                <v:textbox inset="0,0,0,0">
                  <w:txbxContent>
                    <w:p w14:paraId="39BEC31E" w14:textId="77777777" w:rsidR="004E1EB7" w:rsidRDefault="004E1EB7">
                      <w:pPr>
                        <w:spacing w:before="307"/>
                        <w:textDirection w:val="btLr"/>
                      </w:pPr>
                    </w:p>
                    <w:p w14:paraId="66503774" w14:textId="77777777" w:rsidR="004E1EB7" w:rsidRDefault="00000000">
                      <w:pPr>
                        <w:jc w:val="center"/>
                        <w:textDirection w:val="btLr"/>
                      </w:pPr>
                      <w:r>
                        <w:rPr>
                          <w:b/>
                          <w:color w:val="FFFFFF"/>
                          <w:sz w:val="60"/>
                        </w:rPr>
                        <w:t>The Fork in the Road</w:t>
                      </w:r>
                    </w:p>
                    <w:p w14:paraId="2E6C4A03" w14:textId="77777777" w:rsidR="004E1EB7" w:rsidRDefault="00000000">
                      <w:pPr>
                        <w:spacing w:before="332"/>
                        <w:jc w:val="center"/>
                        <w:textDirection w:val="btLr"/>
                      </w:pPr>
                      <w:r>
                        <w:rPr>
                          <w:b/>
                          <w:color w:val="FFFFFF"/>
                          <w:sz w:val="32"/>
                        </w:rPr>
                        <w:t>How LibreOffice Was Born from a Crisis of Trust</w:t>
                      </w:r>
                    </w:p>
                  </w:txbxContent>
                </v:textbox>
                <w10:anchorlock/>
              </v:rect>
            </w:pict>
          </mc:Fallback>
        </mc:AlternateContent>
      </w:r>
    </w:p>
    <w:p w14:paraId="3AAC6810" w14:textId="77777777" w:rsidR="004E1EB7" w:rsidRDefault="004E1EB7">
      <w:pPr>
        <w:pBdr>
          <w:top w:val="nil"/>
          <w:left w:val="nil"/>
          <w:bottom w:val="nil"/>
          <w:right w:val="nil"/>
          <w:between w:val="nil"/>
        </w:pBdr>
        <w:spacing w:before="123"/>
        <w:rPr>
          <w:rFonts w:ascii="Times New Roman" w:eastAsia="Times New Roman" w:hAnsi="Times New Roman" w:cs="Times New Roman"/>
          <w:color w:val="000000"/>
          <w:sz w:val="28"/>
          <w:szCs w:val="28"/>
        </w:rPr>
      </w:pPr>
    </w:p>
    <w:p w14:paraId="032112E5" w14:textId="77777777" w:rsidR="004E1EB7" w:rsidRDefault="00000000">
      <w:pPr>
        <w:spacing w:before="1" w:line="297" w:lineRule="auto"/>
        <w:ind w:left="3286" w:right="919" w:hanging="1961"/>
        <w:rPr>
          <w:color w:val="4A86E8"/>
          <w:sz w:val="28"/>
          <w:szCs w:val="28"/>
        </w:rPr>
      </w:pPr>
      <w:r>
        <w:rPr>
          <w:color w:val="4A86E8"/>
          <w:sz w:val="28"/>
          <w:szCs w:val="28"/>
        </w:rPr>
        <w:t xml:space="preserve">A Case Study in </w:t>
      </w:r>
      <w:proofErr w:type="gramStart"/>
      <w:r>
        <w:rPr>
          <w:color w:val="4A86E8"/>
          <w:sz w:val="28"/>
          <w:szCs w:val="28"/>
        </w:rPr>
        <w:t>Open Source</w:t>
      </w:r>
      <w:proofErr w:type="gramEnd"/>
      <w:r>
        <w:rPr>
          <w:color w:val="4A86E8"/>
          <w:sz w:val="28"/>
          <w:szCs w:val="28"/>
        </w:rPr>
        <w:t xml:space="preserve"> Governance, Community, and the Ethics of Control</w:t>
      </w:r>
    </w:p>
    <w:p w14:paraId="26DE8FF1" w14:textId="77777777" w:rsidR="004E1EB7" w:rsidRDefault="004E1EB7">
      <w:pPr>
        <w:pBdr>
          <w:top w:val="nil"/>
          <w:left w:val="nil"/>
          <w:bottom w:val="nil"/>
          <w:right w:val="nil"/>
          <w:between w:val="nil"/>
        </w:pBdr>
        <w:rPr>
          <w:color w:val="000000"/>
          <w:sz w:val="20"/>
          <w:szCs w:val="20"/>
        </w:rPr>
      </w:pPr>
    </w:p>
    <w:p w14:paraId="4344E599" w14:textId="77777777" w:rsidR="004E1EB7" w:rsidRDefault="004E1EB7">
      <w:pPr>
        <w:pBdr>
          <w:top w:val="nil"/>
          <w:left w:val="nil"/>
          <w:bottom w:val="nil"/>
          <w:right w:val="nil"/>
          <w:between w:val="nil"/>
        </w:pBdr>
        <w:rPr>
          <w:color w:val="000000"/>
          <w:sz w:val="20"/>
          <w:szCs w:val="20"/>
        </w:rPr>
      </w:pPr>
    </w:p>
    <w:p w14:paraId="4528EF48" w14:textId="77777777" w:rsidR="004E1EB7" w:rsidRDefault="00000000">
      <w:pPr>
        <w:pBdr>
          <w:top w:val="nil"/>
          <w:left w:val="nil"/>
          <w:bottom w:val="nil"/>
          <w:right w:val="nil"/>
          <w:between w:val="nil"/>
        </w:pBdr>
        <w:spacing w:before="210"/>
        <w:rPr>
          <w:color w:val="000000"/>
          <w:sz w:val="20"/>
          <w:szCs w:val="20"/>
        </w:rPr>
      </w:pPr>
      <w:r>
        <w:rPr>
          <w:noProof/>
        </w:rPr>
        <mc:AlternateContent>
          <mc:Choice Requires="wpg">
            <w:drawing>
              <wp:anchor distT="0" distB="0" distL="0" distR="0" simplePos="0" relativeHeight="251658240" behindDoc="0" locked="0" layoutInCell="1" hidden="0" allowOverlap="1" wp14:anchorId="506EBB1B" wp14:editId="430CD6E5">
                <wp:simplePos x="0" y="0"/>
                <wp:positionH relativeFrom="column">
                  <wp:posOffset>1378264</wp:posOffset>
                </wp:positionH>
                <wp:positionV relativeFrom="paragraph">
                  <wp:posOffset>288564</wp:posOffset>
                </wp:positionV>
                <wp:extent cx="3364865" cy="12700"/>
                <wp:effectExtent l="0" t="0" r="0" b="0"/>
                <wp:wrapTopAndBottom distT="0" distB="0"/>
                <wp:docPr id="18" name="Freeform: Shape 18"/>
                <wp:cNvGraphicFramePr/>
                <a:graphic xmlns:a="http://schemas.openxmlformats.org/drawingml/2006/main">
                  <a:graphicData uri="http://schemas.microsoft.com/office/word/2010/wordprocessingShape">
                    <wps:wsp>
                      <wps:cNvSpPr/>
                      <wps:spPr>
                        <a:xfrm>
                          <a:off x="3663568" y="3779365"/>
                          <a:ext cx="3364865" cy="1270"/>
                        </a:xfrm>
                        <a:custGeom>
                          <a:avLst/>
                          <a:gdLst/>
                          <a:ahLst/>
                          <a:cxnLst/>
                          <a:rect l="l" t="t" r="r" b="b"/>
                          <a:pathLst>
                            <a:path w="3364865" h="120000" extrusionOk="0">
                              <a:moveTo>
                                <a:pt x="0" y="0"/>
                              </a:moveTo>
                              <a:lnTo>
                                <a:pt x="3364560" y="0"/>
                              </a:lnTo>
                            </a:path>
                          </a:pathLst>
                        </a:custGeom>
                        <a:noFill/>
                        <a:ln w="12700" cap="flat" cmpd="sng">
                          <a:solidFill>
                            <a:srgbClr val="C8932A"/>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1378264</wp:posOffset>
                </wp:positionH>
                <wp:positionV relativeFrom="paragraph">
                  <wp:posOffset>288564</wp:posOffset>
                </wp:positionV>
                <wp:extent cx="3364865" cy="12700"/>
                <wp:effectExtent b="0" l="0" r="0" t="0"/>
                <wp:wrapTopAndBottom distB="0" distT="0"/>
                <wp:docPr id="18"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3364865" cy="12700"/>
                        </a:xfrm>
                        <a:prstGeom prst="rect"/>
                        <a:ln/>
                      </pic:spPr>
                    </pic:pic>
                  </a:graphicData>
                </a:graphic>
              </wp:anchor>
            </w:drawing>
          </mc:Fallback>
        </mc:AlternateContent>
      </w:r>
    </w:p>
    <w:p w14:paraId="4E7068AF" w14:textId="77777777" w:rsidR="004E1EB7" w:rsidRDefault="004E1EB7">
      <w:pPr>
        <w:pBdr>
          <w:top w:val="nil"/>
          <w:left w:val="nil"/>
          <w:bottom w:val="nil"/>
          <w:right w:val="nil"/>
          <w:between w:val="nil"/>
        </w:pBdr>
        <w:rPr>
          <w:color w:val="000000"/>
        </w:rPr>
      </w:pPr>
    </w:p>
    <w:p w14:paraId="496CDF02" w14:textId="77777777" w:rsidR="004E1EB7" w:rsidRDefault="004E1EB7">
      <w:pPr>
        <w:pBdr>
          <w:top w:val="nil"/>
          <w:left w:val="nil"/>
          <w:bottom w:val="nil"/>
          <w:right w:val="nil"/>
          <w:between w:val="nil"/>
        </w:pBdr>
        <w:spacing w:before="171"/>
        <w:rPr>
          <w:color w:val="000000"/>
        </w:rPr>
      </w:pPr>
    </w:p>
    <w:p w14:paraId="70B43CF8" w14:textId="77777777" w:rsidR="004E1EB7" w:rsidRDefault="00000000">
      <w:pPr>
        <w:tabs>
          <w:tab w:val="left" w:pos="2834"/>
        </w:tabs>
        <w:ind w:left="107"/>
        <w:jc w:val="center"/>
        <w:rPr>
          <w:b/>
          <w:bCs/>
          <w:color w:val="4A86E8"/>
        </w:rPr>
      </w:pPr>
      <w:r>
        <w:rPr>
          <w:b/>
          <w:bCs/>
          <w:color w:val="4A86E8"/>
        </w:rPr>
        <w:t>Course</w:t>
      </w:r>
      <w:r>
        <w:rPr>
          <w:b/>
          <w:bCs/>
          <w:color w:val="4A86E8"/>
        </w:rPr>
        <w:tab/>
      </w:r>
      <w:proofErr w:type="gramStart"/>
      <w:r>
        <w:rPr>
          <w:b/>
          <w:bCs/>
          <w:color w:val="4A86E8"/>
        </w:rPr>
        <w:t>Open Source</w:t>
      </w:r>
      <w:proofErr w:type="gramEnd"/>
      <w:r>
        <w:rPr>
          <w:b/>
          <w:bCs/>
          <w:color w:val="4A86E8"/>
        </w:rPr>
        <w:t xml:space="preserve"> Software — NGMC</w:t>
      </w:r>
    </w:p>
    <w:p w14:paraId="4D93EFDA" w14:textId="77777777" w:rsidR="004E1EB7" w:rsidRDefault="00000000">
      <w:pPr>
        <w:pBdr>
          <w:top w:val="nil"/>
          <w:left w:val="nil"/>
          <w:bottom w:val="nil"/>
          <w:right w:val="nil"/>
          <w:between w:val="nil"/>
        </w:pBdr>
        <w:spacing w:before="3"/>
        <w:rPr>
          <w:b/>
          <w:bCs/>
          <w:color w:val="4A86E8"/>
          <w:sz w:val="11"/>
          <w:szCs w:val="11"/>
        </w:rPr>
      </w:pPr>
      <w:r>
        <w:rPr>
          <w:noProof/>
        </w:rPr>
        <mc:AlternateContent>
          <mc:Choice Requires="wpg">
            <w:drawing>
              <wp:anchor distT="0" distB="0" distL="0" distR="0" simplePos="0" relativeHeight="251659264" behindDoc="0" locked="0" layoutInCell="1" hidden="0" allowOverlap="1" wp14:anchorId="5E9CF218" wp14:editId="460079EE">
                <wp:simplePos x="0" y="0"/>
                <wp:positionH relativeFrom="column">
                  <wp:posOffset>540545</wp:posOffset>
                </wp:positionH>
                <wp:positionV relativeFrom="paragraph">
                  <wp:posOffset>91190</wp:posOffset>
                </wp:positionV>
                <wp:extent cx="5039995" cy="12700"/>
                <wp:effectExtent l="0" t="0" r="0" b="0"/>
                <wp:wrapTopAndBottom distT="0" distB="0"/>
                <wp:docPr id="20" name="Freeform: Shape 20"/>
                <wp:cNvGraphicFramePr/>
                <a:graphic xmlns:a="http://schemas.openxmlformats.org/drawingml/2006/main">
                  <a:graphicData uri="http://schemas.microsoft.com/office/word/2010/wordprocessingShape">
                    <wps:wsp>
                      <wps:cNvSpPr/>
                      <wps:spPr>
                        <a:xfrm>
                          <a:off x="2826003" y="3779365"/>
                          <a:ext cx="5039995" cy="1270"/>
                        </a:xfrm>
                        <a:custGeom>
                          <a:avLst/>
                          <a:gdLst/>
                          <a:ahLst/>
                          <a:cxnLst/>
                          <a:rect l="l" t="t" r="r" b="b"/>
                          <a:pathLst>
                            <a:path w="5039995" h="120000" extrusionOk="0">
                              <a:moveTo>
                                <a:pt x="0" y="0"/>
                              </a:moveTo>
                              <a:lnTo>
                                <a:pt x="5040000" y="0"/>
                              </a:lnTo>
                            </a:path>
                          </a:pathLst>
                        </a:custGeom>
                        <a:noFill/>
                        <a:ln w="9525" cap="flat" cmpd="sng">
                          <a:solidFill>
                            <a:srgbClr val="CCCCDD"/>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540545</wp:posOffset>
                </wp:positionH>
                <wp:positionV relativeFrom="paragraph">
                  <wp:posOffset>91190</wp:posOffset>
                </wp:positionV>
                <wp:extent cx="5039995" cy="12700"/>
                <wp:effectExtent b="0" l="0" r="0" t="0"/>
                <wp:wrapTopAndBottom distB="0" distT="0"/>
                <wp:docPr id="20"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5039995" cy="12700"/>
                        </a:xfrm>
                        <a:prstGeom prst="rect"/>
                        <a:ln/>
                      </pic:spPr>
                    </pic:pic>
                  </a:graphicData>
                </a:graphic>
              </wp:anchor>
            </w:drawing>
          </mc:Fallback>
        </mc:AlternateContent>
      </w:r>
    </w:p>
    <w:p w14:paraId="3F655E7B" w14:textId="77777777" w:rsidR="004E1EB7" w:rsidRDefault="00000000">
      <w:pPr>
        <w:pBdr>
          <w:top w:val="nil"/>
          <w:left w:val="nil"/>
          <w:bottom w:val="nil"/>
          <w:right w:val="nil"/>
          <w:between w:val="nil"/>
        </w:pBdr>
        <w:tabs>
          <w:tab w:val="left" w:pos="2834"/>
        </w:tabs>
        <w:spacing w:before="110"/>
        <w:ind w:left="34"/>
        <w:jc w:val="center"/>
        <w:rPr>
          <w:b/>
          <w:bCs/>
          <w:color w:val="4A86E8"/>
        </w:rPr>
      </w:pPr>
      <w:r>
        <w:rPr>
          <w:b/>
          <w:bCs/>
          <w:color w:val="4A86E8"/>
        </w:rPr>
        <w:t>Type</w:t>
      </w:r>
      <w:r>
        <w:rPr>
          <w:b/>
          <w:bCs/>
          <w:color w:val="4A86E8"/>
        </w:rPr>
        <w:tab/>
        <w:t>Individual Case Study Report</w:t>
      </w:r>
    </w:p>
    <w:p w14:paraId="2EE657D2" w14:textId="77777777" w:rsidR="004E1EB7" w:rsidRDefault="00000000">
      <w:pPr>
        <w:pBdr>
          <w:top w:val="nil"/>
          <w:left w:val="nil"/>
          <w:bottom w:val="nil"/>
          <w:right w:val="nil"/>
          <w:between w:val="nil"/>
        </w:pBdr>
        <w:spacing w:before="3"/>
        <w:rPr>
          <w:b/>
          <w:bCs/>
          <w:color w:val="4A86E8"/>
          <w:sz w:val="11"/>
          <w:szCs w:val="11"/>
        </w:rPr>
      </w:pPr>
      <w:r>
        <w:rPr>
          <w:noProof/>
        </w:rPr>
        <mc:AlternateContent>
          <mc:Choice Requires="wpg">
            <w:drawing>
              <wp:anchor distT="0" distB="0" distL="0" distR="0" simplePos="0" relativeHeight="251660288" behindDoc="0" locked="0" layoutInCell="1" hidden="0" allowOverlap="1" wp14:anchorId="1B5278EE" wp14:editId="45F5F14B">
                <wp:simplePos x="0" y="0"/>
                <wp:positionH relativeFrom="column">
                  <wp:posOffset>540545</wp:posOffset>
                </wp:positionH>
                <wp:positionV relativeFrom="paragraph">
                  <wp:posOffset>91453</wp:posOffset>
                </wp:positionV>
                <wp:extent cx="5039995" cy="12700"/>
                <wp:effectExtent l="0" t="0" r="0" b="0"/>
                <wp:wrapTopAndBottom distT="0" distB="0"/>
                <wp:docPr id="5" name="Freeform: Shape 5"/>
                <wp:cNvGraphicFramePr/>
                <a:graphic xmlns:a="http://schemas.openxmlformats.org/drawingml/2006/main">
                  <a:graphicData uri="http://schemas.microsoft.com/office/word/2010/wordprocessingShape">
                    <wps:wsp>
                      <wps:cNvSpPr/>
                      <wps:spPr>
                        <a:xfrm>
                          <a:off x="2826003" y="3779365"/>
                          <a:ext cx="5039995" cy="1270"/>
                        </a:xfrm>
                        <a:custGeom>
                          <a:avLst/>
                          <a:gdLst/>
                          <a:ahLst/>
                          <a:cxnLst/>
                          <a:rect l="l" t="t" r="r" b="b"/>
                          <a:pathLst>
                            <a:path w="5039995" h="120000" extrusionOk="0">
                              <a:moveTo>
                                <a:pt x="0" y="0"/>
                              </a:moveTo>
                              <a:lnTo>
                                <a:pt x="5040000" y="0"/>
                              </a:lnTo>
                            </a:path>
                          </a:pathLst>
                        </a:custGeom>
                        <a:noFill/>
                        <a:ln w="9525" cap="flat" cmpd="sng">
                          <a:solidFill>
                            <a:srgbClr val="CCCCDD"/>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540545</wp:posOffset>
                </wp:positionH>
                <wp:positionV relativeFrom="paragraph">
                  <wp:posOffset>91453</wp:posOffset>
                </wp:positionV>
                <wp:extent cx="5039995" cy="12700"/>
                <wp:effectExtent b="0" l="0" r="0" t="0"/>
                <wp:wrapTopAndBottom distB="0" distT="0"/>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039995" cy="12700"/>
                        </a:xfrm>
                        <a:prstGeom prst="rect"/>
                        <a:ln/>
                      </pic:spPr>
                    </pic:pic>
                  </a:graphicData>
                </a:graphic>
              </wp:anchor>
            </w:drawing>
          </mc:Fallback>
        </mc:AlternateContent>
      </w:r>
    </w:p>
    <w:p w14:paraId="55C3E389" w14:textId="74B0F0BB" w:rsidR="004E1EB7" w:rsidRDefault="00000000">
      <w:pPr>
        <w:tabs>
          <w:tab w:val="right" w:pos="6420"/>
        </w:tabs>
        <w:spacing w:before="267"/>
        <w:ind w:left="1657"/>
        <w:rPr>
          <w:b/>
          <w:bCs/>
          <w:color w:val="4A86E8"/>
        </w:rPr>
      </w:pPr>
      <w:r>
        <w:rPr>
          <w:b/>
          <w:bCs/>
          <w:color w:val="4A86E8"/>
        </w:rPr>
        <w:t xml:space="preserve">    Name                                            </w:t>
      </w:r>
      <w:r w:rsidR="00C0018C">
        <w:rPr>
          <w:b/>
          <w:bCs/>
          <w:color w:val="4A86E8"/>
        </w:rPr>
        <w:t>Soumodeep Biswas</w:t>
      </w:r>
    </w:p>
    <w:p w14:paraId="56FCED36" w14:textId="63F2C6AD" w:rsidR="004E1EB7" w:rsidRDefault="00000000">
      <w:pPr>
        <w:tabs>
          <w:tab w:val="left" w:pos="5588"/>
        </w:tabs>
        <w:spacing w:before="267"/>
        <w:ind w:left="1516"/>
        <w:rPr>
          <w:b/>
          <w:bCs/>
          <w:color w:val="4A86E8"/>
        </w:rPr>
      </w:pPr>
      <w:r>
        <w:rPr>
          <w:b/>
          <w:bCs/>
          <w:color w:val="4A86E8"/>
        </w:rPr>
        <w:t>Registration Number                         24BCE10</w:t>
      </w:r>
      <w:r>
        <w:rPr>
          <w:noProof/>
        </w:rPr>
        <mc:AlternateContent>
          <mc:Choice Requires="wpg">
            <w:drawing>
              <wp:anchor distT="0" distB="0" distL="0" distR="0" simplePos="0" relativeHeight="251661312" behindDoc="0" locked="0" layoutInCell="1" hidden="0" allowOverlap="1" wp14:anchorId="073691E2" wp14:editId="53873117">
                <wp:simplePos x="0" y="0"/>
                <wp:positionH relativeFrom="column">
                  <wp:posOffset>540545</wp:posOffset>
                </wp:positionH>
                <wp:positionV relativeFrom="paragraph">
                  <wp:posOffset>91467</wp:posOffset>
                </wp:positionV>
                <wp:extent cx="5039995" cy="12700"/>
                <wp:effectExtent l="0" t="0" r="0" b="0"/>
                <wp:wrapNone/>
                <wp:docPr id="2" name="Freeform: Shape 2"/>
                <wp:cNvGraphicFramePr/>
                <a:graphic xmlns:a="http://schemas.openxmlformats.org/drawingml/2006/main">
                  <a:graphicData uri="http://schemas.microsoft.com/office/word/2010/wordprocessingShape">
                    <wps:wsp>
                      <wps:cNvSpPr/>
                      <wps:spPr>
                        <a:xfrm>
                          <a:off x="2826003" y="3779365"/>
                          <a:ext cx="5039995" cy="1270"/>
                        </a:xfrm>
                        <a:custGeom>
                          <a:avLst/>
                          <a:gdLst/>
                          <a:ahLst/>
                          <a:cxnLst/>
                          <a:rect l="l" t="t" r="r" b="b"/>
                          <a:pathLst>
                            <a:path w="5039995" h="120000" extrusionOk="0">
                              <a:moveTo>
                                <a:pt x="0" y="0"/>
                              </a:moveTo>
                              <a:lnTo>
                                <a:pt x="5040000" y="0"/>
                              </a:lnTo>
                            </a:path>
                          </a:pathLst>
                        </a:custGeom>
                        <a:noFill/>
                        <a:ln w="9525" cap="flat" cmpd="sng">
                          <a:solidFill>
                            <a:srgbClr val="CCCCDD"/>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540545</wp:posOffset>
                </wp:positionH>
                <wp:positionV relativeFrom="paragraph">
                  <wp:posOffset>91467</wp:posOffset>
                </wp:positionV>
                <wp:extent cx="5039995" cy="1270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039995" cy="12700"/>
                        </a:xfrm>
                        <a:prstGeom prst="rect"/>
                        <a:ln/>
                      </pic:spPr>
                    </pic:pic>
                  </a:graphicData>
                </a:graphic>
              </wp:anchor>
            </w:drawing>
          </mc:Fallback>
        </mc:AlternateContent>
      </w:r>
      <w:r w:rsidR="00C0018C">
        <w:rPr>
          <w:b/>
          <w:bCs/>
          <w:color w:val="4A86E8"/>
        </w:rPr>
        <w:t>885</w:t>
      </w:r>
    </w:p>
    <w:p w14:paraId="402526C8" w14:textId="77777777" w:rsidR="004E1EB7" w:rsidRDefault="004E1EB7">
      <w:pPr>
        <w:pBdr>
          <w:top w:val="nil"/>
          <w:left w:val="nil"/>
          <w:bottom w:val="nil"/>
          <w:right w:val="nil"/>
          <w:between w:val="nil"/>
        </w:pBdr>
        <w:rPr>
          <w:color w:val="000000"/>
          <w:sz w:val="20"/>
          <w:szCs w:val="20"/>
        </w:rPr>
      </w:pPr>
    </w:p>
    <w:p w14:paraId="6C4D8B4A" w14:textId="77777777" w:rsidR="004E1EB7" w:rsidRDefault="004E1EB7">
      <w:pPr>
        <w:pBdr>
          <w:top w:val="nil"/>
          <w:left w:val="nil"/>
          <w:bottom w:val="nil"/>
          <w:right w:val="nil"/>
          <w:between w:val="nil"/>
        </w:pBdr>
        <w:rPr>
          <w:color w:val="000000"/>
          <w:sz w:val="20"/>
          <w:szCs w:val="20"/>
        </w:rPr>
      </w:pPr>
    </w:p>
    <w:p w14:paraId="75E57E68" w14:textId="77777777" w:rsidR="004E1EB7" w:rsidRDefault="004E1EB7">
      <w:pPr>
        <w:pBdr>
          <w:top w:val="nil"/>
          <w:left w:val="nil"/>
          <w:bottom w:val="nil"/>
          <w:right w:val="nil"/>
          <w:between w:val="nil"/>
        </w:pBdr>
        <w:rPr>
          <w:color w:val="000000"/>
          <w:sz w:val="20"/>
          <w:szCs w:val="20"/>
        </w:rPr>
      </w:pPr>
    </w:p>
    <w:p w14:paraId="002F449C" w14:textId="77777777" w:rsidR="004E1EB7" w:rsidRDefault="00000000">
      <w:pPr>
        <w:pBdr>
          <w:top w:val="nil"/>
          <w:left w:val="nil"/>
          <w:bottom w:val="nil"/>
          <w:right w:val="nil"/>
          <w:between w:val="nil"/>
        </w:pBdr>
        <w:spacing w:before="200"/>
        <w:rPr>
          <w:color w:val="000000"/>
          <w:sz w:val="20"/>
          <w:szCs w:val="20"/>
        </w:rPr>
      </w:pPr>
      <w:r>
        <w:rPr>
          <w:noProof/>
        </w:rPr>
        <mc:AlternateContent>
          <mc:Choice Requires="wpg">
            <w:drawing>
              <wp:anchor distT="0" distB="0" distL="0" distR="0" simplePos="0" relativeHeight="251662336" behindDoc="0" locked="0" layoutInCell="1" hidden="0" allowOverlap="1" wp14:anchorId="04731CB8" wp14:editId="4F217EC2">
                <wp:simplePos x="0" y="0"/>
                <wp:positionH relativeFrom="column">
                  <wp:posOffset>1378264</wp:posOffset>
                </wp:positionH>
                <wp:positionV relativeFrom="paragraph">
                  <wp:posOffset>282267</wp:posOffset>
                </wp:positionV>
                <wp:extent cx="3364865" cy="12700"/>
                <wp:effectExtent l="0" t="0" r="0" b="0"/>
                <wp:wrapTopAndBottom distT="0" distB="0"/>
                <wp:docPr id="10" name="Freeform: Shape 10"/>
                <wp:cNvGraphicFramePr/>
                <a:graphic xmlns:a="http://schemas.openxmlformats.org/drawingml/2006/main">
                  <a:graphicData uri="http://schemas.microsoft.com/office/word/2010/wordprocessingShape">
                    <wps:wsp>
                      <wps:cNvSpPr/>
                      <wps:spPr>
                        <a:xfrm>
                          <a:off x="3663568" y="3779365"/>
                          <a:ext cx="3364865" cy="1270"/>
                        </a:xfrm>
                        <a:custGeom>
                          <a:avLst/>
                          <a:gdLst/>
                          <a:ahLst/>
                          <a:cxnLst/>
                          <a:rect l="l" t="t" r="r" b="b"/>
                          <a:pathLst>
                            <a:path w="3364865" h="120000" extrusionOk="0">
                              <a:moveTo>
                                <a:pt x="0" y="0"/>
                              </a:moveTo>
                              <a:lnTo>
                                <a:pt x="3364560" y="0"/>
                              </a:lnTo>
                            </a:path>
                          </a:pathLst>
                        </a:custGeom>
                        <a:noFill/>
                        <a:ln w="12700" cap="flat" cmpd="sng">
                          <a:solidFill>
                            <a:srgbClr val="C8932A"/>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1378264</wp:posOffset>
                </wp:positionH>
                <wp:positionV relativeFrom="paragraph">
                  <wp:posOffset>282267</wp:posOffset>
                </wp:positionV>
                <wp:extent cx="3364865" cy="12700"/>
                <wp:effectExtent b="0" l="0" r="0" t="0"/>
                <wp:wrapTopAndBottom distB="0" distT="0"/>
                <wp:docPr id="1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3364865" cy="12700"/>
                        </a:xfrm>
                        <a:prstGeom prst="rect"/>
                        <a:ln/>
                      </pic:spPr>
                    </pic:pic>
                  </a:graphicData>
                </a:graphic>
              </wp:anchor>
            </w:drawing>
          </mc:Fallback>
        </mc:AlternateContent>
      </w:r>
    </w:p>
    <w:p w14:paraId="3067CCA5" w14:textId="77777777" w:rsidR="004E1EB7" w:rsidRDefault="004E1EB7">
      <w:pPr>
        <w:pBdr>
          <w:top w:val="nil"/>
          <w:left w:val="nil"/>
          <w:bottom w:val="nil"/>
          <w:right w:val="nil"/>
          <w:between w:val="nil"/>
        </w:pBdr>
        <w:spacing w:before="210"/>
        <w:rPr>
          <w:color w:val="000000"/>
        </w:rPr>
      </w:pPr>
    </w:p>
    <w:p w14:paraId="1922A3B9" w14:textId="77777777" w:rsidR="004E1EB7" w:rsidRDefault="00000000">
      <w:pPr>
        <w:spacing w:before="1" w:line="340" w:lineRule="auto"/>
        <w:ind w:left="884" w:right="1331"/>
        <w:rPr>
          <w:i/>
          <w:iCs/>
        </w:rPr>
        <w:sectPr w:rsidR="004E1EB7">
          <w:footerReference w:type="default" r:id="rId8"/>
          <w:pgSz w:w="11910" w:h="16840"/>
          <w:pgMar w:top="1920" w:right="1133" w:bottom="940" w:left="1133" w:header="0" w:footer="745" w:gutter="0"/>
          <w:pgNumType w:start="1"/>
          <w:cols w:space="720"/>
        </w:sectPr>
      </w:pPr>
      <w:r>
        <w:rPr>
          <w:i/>
          <w:iCs/>
          <w:color w:val="2B498C"/>
        </w:rPr>
        <w:t>"A community is not a product. It is a covenant between people who choose, every day, to build something together. Break that covenant and you lose not just contributors — you lose legitimacy."</w:t>
      </w:r>
    </w:p>
    <w:p w14:paraId="60EFA089" w14:textId="77777777" w:rsidR="004E1EB7" w:rsidRDefault="00000000">
      <w:pPr>
        <w:spacing w:before="70"/>
        <w:ind w:left="404"/>
        <w:rPr>
          <w:b/>
          <w:bCs/>
          <w:sz w:val="18"/>
          <w:szCs w:val="18"/>
        </w:rPr>
      </w:pPr>
      <w:r>
        <w:rPr>
          <w:b/>
          <w:bCs/>
          <w:color w:val="3A6BBF"/>
          <w:sz w:val="18"/>
          <w:szCs w:val="18"/>
        </w:rPr>
        <w:lastRenderedPageBreak/>
        <w:t>NAVIGATION</w:t>
      </w:r>
    </w:p>
    <w:p w14:paraId="63EE87AD" w14:textId="77777777" w:rsidR="004E1EB7" w:rsidRDefault="004E1EB7">
      <w:pPr>
        <w:pBdr>
          <w:top w:val="nil"/>
          <w:left w:val="nil"/>
          <w:bottom w:val="nil"/>
          <w:right w:val="nil"/>
          <w:between w:val="nil"/>
        </w:pBdr>
        <w:spacing w:before="197"/>
        <w:rPr>
          <w:b/>
          <w:bCs/>
          <w:color w:val="000000"/>
          <w:sz w:val="18"/>
          <w:szCs w:val="18"/>
        </w:rPr>
      </w:pPr>
    </w:p>
    <w:p w14:paraId="50D7E4DE" w14:textId="77777777" w:rsidR="004E1EB7" w:rsidRDefault="00000000">
      <w:pPr>
        <w:pStyle w:val="Heading1"/>
        <w:ind w:firstLine="404"/>
      </w:pPr>
      <w:r>
        <w:rPr>
          <w:color w:val="1A233F"/>
        </w:rPr>
        <w:t>Table of Contents</w:t>
      </w:r>
      <w:r>
        <w:rPr>
          <w:noProof/>
        </w:rPr>
        <mc:AlternateContent>
          <mc:Choice Requires="wpg">
            <w:drawing>
              <wp:anchor distT="0" distB="0" distL="0" distR="0" simplePos="0" relativeHeight="251663360" behindDoc="0" locked="0" layoutInCell="1" hidden="0" allowOverlap="1" wp14:anchorId="5308AFFE" wp14:editId="0F54831C">
                <wp:simplePos x="0" y="0"/>
                <wp:positionH relativeFrom="column">
                  <wp:posOffset>256745</wp:posOffset>
                </wp:positionH>
                <wp:positionV relativeFrom="paragraph">
                  <wp:posOffset>375015</wp:posOffset>
                </wp:positionV>
                <wp:extent cx="5607685" cy="15225"/>
                <wp:effectExtent l="0" t="0" r="0" b="0"/>
                <wp:wrapNone/>
                <wp:docPr id="6" name="Freeform: Shape 6"/>
                <wp:cNvGraphicFramePr/>
                <a:graphic xmlns:a="http://schemas.openxmlformats.org/drawingml/2006/main">
                  <a:graphicData uri="http://schemas.microsoft.com/office/word/2010/wordprocessingShape">
                    <wps:wsp>
                      <wps:cNvSpPr/>
                      <wps:spPr>
                        <a:xfrm>
                          <a:off x="2542158" y="3779365"/>
                          <a:ext cx="5607685" cy="1270"/>
                        </a:xfrm>
                        <a:custGeom>
                          <a:avLst/>
                          <a:gdLst/>
                          <a:ahLst/>
                          <a:cxnLst/>
                          <a:rect l="l" t="t" r="r" b="b"/>
                          <a:pathLst>
                            <a:path w="5607685" h="120000" extrusionOk="0">
                              <a:moveTo>
                                <a:pt x="0" y="0"/>
                              </a:moveTo>
                              <a:lnTo>
                                <a:pt x="5607599" y="0"/>
                              </a:lnTo>
                            </a:path>
                          </a:pathLst>
                        </a:custGeom>
                        <a:noFill/>
                        <a:ln w="15225" cap="flat" cmpd="sng">
                          <a:solidFill>
                            <a:srgbClr val="2B498C"/>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256745</wp:posOffset>
                </wp:positionH>
                <wp:positionV relativeFrom="paragraph">
                  <wp:posOffset>375015</wp:posOffset>
                </wp:positionV>
                <wp:extent cx="5607685" cy="15225"/>
                <wp:effectExtent b="0" l="0" r="0" t="0"/>
                <wp:wrapNone/>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607685" cy="15225"/>
                        </a:xfrm>
                        <a:prstGeom prst="rect"/>
                        <a:ln/>
                      </pic:spPr>
                    </pic:pic>
                  </a:graphicData>
                </a:graphic>
              </wp:anchor>
            </w:drawing>
          </mc:Fallback>
        </mc:AlternateContent>
      </w:r>
    </w:p>
    <w:p w14:paraId="0573FD81" w14:textId="77777777" w:rsidR="004E1EB7" w:rsidRDefault="00000000">
      <w:pPr>
        <w:pBdr>
          <w:top w:val="nil"/>
          <w:left w:val="nil"/>
          <w:bottom w:val="nil"/>
          <w:right w:val="nil"/>
          <w:between w:val="nil"/>
        </w:pBdr>
        <w:tabs>
          <w:tab w:val="right" w:pos="9197"/>
        </w:tabs>
        <w:spacing w:before="606"/>
        <w:ind w:left="2566"/>
        <w:rPr>
          <w:color w:val="000000"/>
          <w:sz w:val="20"/>
          <w:szCs w:val="20"/>
        </w:rPr>
      </w:pPr>
      <w:hyperlink w:anchor="_ia10bzuxumjv">
        <w:r>
          <w:rPr>
            <w:color w:val="2B498C"/>
            <w:sz w:val="20"/>
            <w:szCs w:val="20"/>
          </w:rPr>
          <w:t>Why This Case Study Matters</w:t>
        </w:r>
        <w:r>
          <w:rPr>
            <w:color w:val="2B498C"/>
            <w:sz w:val="20"/>
            <w:szCs w:val="20"/>
          </w:rPr>
          <w:tab/>
          <w:t>3</w:t>
        </w:r>
      </w:hyperlink>
    </w:p>
    <w:p w14:paraId="4DD10412" w14:textId="77777777" w:rsidR="004E1EB7" w:rsidRDefault="00000000">
      <w:pPr>
        <w:pBdr>
          <w:top w:val="nil"/>
          <w:left w:val="nil"/>
          <w:bottom w:val="nil"/>
          <w:right w:val="nil"/>
          <w:between w:val="nil"/>
        </w:pBdr>
        <w:tabs>
          <w:tab w:val="right" w:pos="9197"/>
        </w:tabs>
        <w:spacing w:before="190"/>
        <w:ind w:left="2566"/>
        <w:rPr>
          <w:color w:val="000000"/>
          <w:sz w:val="20"/>
          <w:szCs w:val="20"/>
        </w:rPr>
      </w:pPr>
      <w:hyperlink w:anchor="_yjhluxbtz212">
        <w:r>
          <w:rPr>
            <w:color w:val="2B498C"/>
            <w:sz w:val="20"/>
            <w:szCs w:val="20"/>
          </w:rPr>
          <w:t>Establishing the Context</w:t>
        </w:r>
        <w:r>
          <w:rPr>
            <w:color w:val="2B498C"/>
            <w:sz w:val="20"/>
            <w:szCs w:val="20"/>
          </w:rPr>
          <w:tab/>
          <w:t>4</w:t>
        </w:r>
      </w:hyperlink>
    </w:p>
    <w:p w14:paraId="669607F2" w14:textId="77777777" w:rsidR="004E1EB7" w:rsidRDefault="00000000">
      <w:pPr>
        <w:numPr>
          <w:ilvl w:val="1"/>
          <w:numId w:val="9"/>
        </w:numPr>
        <w:pBdr>
          <w:top w:val="nil"/>
          <w:left w:val="nil"/>
          <w:bottom w:val="nil"/>
          <w:right w:val="nil"/>
          <w:between w:val="nil"/>
        </w:pBdr>
        <w:tabs>
          <w:tab w:val="left" w:pos="2899"/>
          <w:tab w:val="right" w:pos="9197"/>
        </w:tabs>
        <w:spacing w:before="191"/>
        <w:ind w:left="2899" w:hanging="333"/>
      </w:pPr>
      <w:hyperlink w:anchor="_3z3it8he1lqv">
        <w:r>
          <w:rPr>
            <w:color w:val="2B498C"/>
            <w:sz w:val="20"/>
            <w:szCs w:val="20"/>
          </w:rPr>
          <w:t xml:space="preserve">The Structural Problem in </w:t>
        </w:r>
        <w:proofErr w:type="spellStart"/>
        <w:r>
          <w:rPr>
            <w:color w:val="2B498C"/>
            <w:sz w:val="20"/>
            <w:szCs w:val="20"/>
          </w:rPr>
          <w:t>OpenOffice.org's</w:t>
        </w:r>
        <w:proofErr w:type="spellEnd"/>
        <w:r>
          <w:rPr>
            <w:color w:val="2B498C"/>
            <w:sz w:val="20"/>
            <w:szCs w:val="20"/>
          </w:rPr>
          <w:t xml:space="preserve"> Governance</w:t>
        </w:r>
        <w:r>
          <w:rPr>
            <w:color w:val="2B498C"/>
            <w:sz w:val="20"/>
            <w:szCs w:val="20"/>
          </w:rPr>
          <w:tab/>
          <w:t>4</w:t>
        </w:r>
      </w:hyperlink>
    </w:p>
    <w:p w14:paraId="24BBADDA" w14:textId="77777777" w:rsidR="004E1EB7" w:rsidRDefault="00000000">
      <w:pPr>
        <w:numPr>
          <w:ilvl w:val="1"/>
          <w:numId w:val="9"/>
        </w:numPr>
        <w:pBdr>
          <w:top w:val="nil"/>
          <w:left w:val="nil"/>
          <w:bottom w:val="nil"/>
          <w:right w:val="nil"/>
          <w:between w:val="nil"/>
        </w:pBdr>
        <w:tabs>
          <w:tab w:val="left" w:pos="2899"/>
          <w:tab w:val="right" w:pos="9197"/>
        </w:tabs>
        <w:spacing w:before="190"/>
        <w:ind w:left="2899" w:hanging="333"/>
      </w:pPr>
      <w:hyperlink w:anchor="_dvhntoc0s0hq">
        <w:r>
          <w:rPr>
            <w:color w:val="2B498C"/>
            <w:sz w:val="20"/>
            <w:szCs w:val="20"/>
          </w:rPr>
          <w:t>Why Oracle Was the Trigger, Not Sun</w:t>
        </w:r>
        <w:r>
          <w:rPr>
            <w:color w:val="2B498C"/>
            <w:sz w:val="20"/>
            <w:szCs w:val="20"/>
          </w:rPr>
          <w:tab/>
          <w:t>5</w:t>
        </w:r>
      </w:hyperlink>
    </w:p>
    <w:p w14:paraId="4F093CFE" w14:textId="77777777" w:rsidR="004E1EB7" w:rsidRDefault="00000000">
      <w:pPr>
        <w:numPr>
          <w:ilvl w:val="1"/>
          <w:numId w:val="9"/>
        </w:numPr>
        <w:pBdr>
          <w:top w:val="nil"/>
          <w:left w:val="nil"/>
          <w:bottom w:val="nil"/>
          <w:right w:val="nil"/>
          <w:between w:val="nil"/>
        </w:pBdr>
        <w:tabs>
          <w:tab w:val="left" w:pos="2899"/>
          <w:tab w:val="right" w:pos="9197"/>
        </w:tabs>
        <w:spacing w:before="190"/>
        <w:ind w:left="2899" w:hanging="333"/>
      </w:pPr>
      <w:hyperlink w:anchor="_239oth6j6j3j">
        <w:r>
          <w:rPr>
            <w:color w:val="2B498C"/>
            <w:sz w:val="20"/>
            <w:szCs w:val="20"/>
          </w:rPr>
          <w:t>Legal Openness vs. Practical Openness</w:t>
        </w:r>
        <w:r>
          <w:rPr>
            <w:color w:val="2B498C"/>
            <w:sz w:val="20"/>
            <w:szCs w:val="20"/>
          </w:rPr>
          <w:tab/>
          <w:t>6</w:t>
        </w:r>
      </w:hyperlink>
    </w:p>
    <w:p w14:paraId="3075A9FA" w14:textId="77777777" w:rsidR="004E1EB7" w:rsidRDefault="00000000">
      <w:pPr>
        <w:pBdr>
          <w:top w:val="nil"/>
          <w:left w:val="nil"/>
          <w:bottom w:val="nil"/>
          <w:right w:val="nil"/>
          <w:between w:val="nil"/>
        </w:pBdr>
        <w:tabs>
          <w:tab w:val="right" w:pos="9197"/>
        </w:tabs>
        <w:spacing w:before="190"/>
        <w:ind w:left="2566"/>
        <w:rPr>
          <w:color w:val="000000"/>
          <w:sz w:val="20"/>
          <w:szCs w:val="20"/>
        </w:rPr>
      </w:pPr>
      <w:hyperlink w:anchor="_eb4gleo4aems">
        <w:r>
          <w:rPr>
            <w:color w:val="2B498C"/>
            <w:sz w:val="20"/>
            <w:szCs w:val="20"/>
          </w:rPr>
          <w:t>The Ethics of Corporate Control</w:t>
        </w:r>
        <w:r>
          <w:rPr>
            <w:color w:val="2B498C"/>
            <w:sz w:val="20"/>
            <w:szCs w:val="20"/>
          </w:rPr>
          <w:tab/>
          <w:t>8</w:t>
        </w:r>
      </w:hyperlink>
    </w:p>
    <w:p w14:paraId="2D069D29" w14:textId="77777777" w:rsidR="004E1EB7" w:rsidRDefault="00000000">
      <w:pPr>
        <w:numPr>
          <w:ilvl w:val="1"/>
          <w:numId w:val="8"/>
        </w:numPr>
        <w:pBdr>
          <w:top w:val="nil"/>
          <w:left w:val="nil"/>
          <w:bottom w:val="nil"/>
          <w:right w:val="nil"/>
          <w:between w:val="nil"/>
        </w:pBdr>
        <w:tabs>
          <w:tab w:val="left" w:pos="2899"/>
          <w:tab w:val="right" w:pos="9197"/>
        </w:tabs>
        <w:spacing w:before="190"/>
        <w:ind w:left="2899" w:hanging="333"/>
      </w:pPr>
      <w:hyperlink w:anchor="_pdoqoh7x6myn">
        <w:r>
          <w:rPr>
            <w:color w:val="2B498C"/>
            <w:sz w:val="20"/>
            <w:szCs w:val="20"/>
          </w:rPr>
          <w:t>The Case for Corporate Authority</w:t>
        </w:r>
        <w:r>
          <w:rPr>
            <w:color w:val="2B498C"/>
            <w:sz w:val="20"/>
            <w:szCs w:val="20"/>
          </w:rPr>
          <w:tab/>
          <w:t>8</w:t>
        </w:r>
      </w:hyperlink>
    </w:p>
    <w:p w14:paraId="71C7F05A" w14:textId="77777777" w:rsidR="004E1EB7" w:rsidRDefault="00000000">
      <w:pPr>
        <w:numPr>
          <w:ilvl w:val="1"/>
          <w:numId w:val="8"/>
        </w:numPr>
        <w:pBdr>
          <w:top w:val="nil"/>
          <w:left w:val="nil"/>
          <w:bottom w:val="nil"/>
          <w:right w:val="nil"/>
          <w:between w:val="nil"/>
        </w:pBdr>
        <w:tabs>
          <w:tab w:val="left" w:pos="2899"/>
          <w:tab w:val="right" w:pos="9197"/>
        </w:tabs>
        <w:spacing w:before="190"/>
        <w:ind w:left="2899" w:hanging="333"/>
      </w:pPr>
      <w:hyperlink w:anchor="_4ix6rjryyqw6">
        <w:r>
          <w:rPr>
            <w:color w:val="2B498C"/>
            <w:sz w:val="20"/>
            <w:szCs w:val="20"/>
          </w:rPr>
          <w:t>The Case Against: Open Source as Commons</w:t>
        </w:r>
        <w:r>
          <w:rPr>
            <w:color w:val="2B498C"/>
            <w:sz w:val="20"/>
            <w:szCs w:val="20"/>
          </w:rPr>
          <w:tab/>
          <w:t>9</w:t>
        </w:r>
      </w:hyperlink>
    </w:p>
    <w:p w14:paraId="1E5CB152" w14:textId="77777777" w:rsidR="004E1EB7" w:rsidRDefault="004E1EB7">
      <w:pPr>
        <w:pBdr>
          <w:top w:val="nil"/>
          <w:left w:val="nil"/>
          <w:bottom w:val="nil"/>
          <w:right w:val="nil"/>
          <w:between w:val="nil"/>
        </w:pBdr>
        <w:spacing w:before="190"/>
        <w:ind w:right="439"/>
        <w:jc w:val="right"/>
        <w:rPr>
          <w:color w:val="000000"/>
          <w:sz w:val="20"/>
          <w:szCs w:val="20"/>
        </w:rPr>
      </w:pPr>
    </w:p>
    <w:p w14:paraId="650B5DBF" w14:textId="77777777" w:rsidR="004E1EB7" w:rsidRDefault="00000000">
      <w:pPr>
        <w:numPr>
          <w:ilvl w:val="1"/>
          <w:numId w:val="8"/>
        </w:numPr>
        <w:pBdr>
          <w:top w:val="nil"/>
          <w:left w:val="nil"/>
          <w:bottom w:val="nil"/>
          <w:right w:val="nil"/>
          <w:between w:val="nil"/>
        </w:pBdr>
        <w:tabs>
          <w:tab w:val="left" w:pos="2899"/>
          <w:tab w:val="left" w:pos="9086"/>
        </w:tabs>
        <w:spacing w:before="70"/>
        <w:ind w:left="2899" w:hanging="333"/>
      </w:pPr>
      <w:r>
        <w:rPr>
          <w:color w:val="2B498C"/>
          <w:sz w:val="20"/>
          <w:szCs w:val="20"/>
        </w:rPr>
        <w:t>The Copyright Assignment Clause — Sun vs. Oracle                           10</w:t>
      </w:r>
    </w:p>
    <w:p w14:paraId="001842C1" w14:textId="77777777" w:rsidR="004E1EB7" w:rsidRDefault="004E1EB7">
      <w:pPr>
        <w:spacing w:before="190"/>
        <w:ind w:left="9086"/>
        <w:rPr>
          <w:sz w:val="20"/>
          <w:szCs w:val="20"/>
        </w:rPr>
      </w:pPr>
    </w:p>
    <w:p w14:paraId="3DC59BD6" w14:textId="77777777" w:rsidR="004E1EB7" w:rsidRDefault="00000000">
      <w:pPr>
        <w:numPr>
          <w:ilvl w:val="1"/>
          <w:numId w:val="8"/>
        </w:numPr>
        <w:pBdr>
          <w:top w:val="nil"/>
          <w:left w:val="nil"/>
          <w:bottom w:val="nil"/>
          <w:right w:val="nil"/>
          <w:between w:val="nil"/>
        </w:pBdr>
        <w:tabs>
          <w:tab w:val="left" w:pos="2899"/>
          <w:tab w:val="left" w:pos="9086"/>
        </w:tabs>
        <w:spacing w:before="70"/>
        <w:ind w:left="2899" w:hanging="333"/>
      </w:pPr>
      <w:r>
        <w:rPr>
          <w:color w:val="2B498C"/>
          <w:sz w:val="20"/>
          <w:szCs w:val="20"/>
        </w:rPr>
        <w:t>Stewardship vs. Ownership</w:t>
      </w:r>
      <w:r>
        <w:rPr>
          <w:color w:val="2B498C"/>
          <w:sz w:val="20"/>
          <w:szCs w:val="20"/>
        </w:rPr>
        <w:tab/>
        <w:t>12</w:t>
      </w:r>
    </w:p>
    <w:p w14:paraId="60F843A6" w14:textId="77777777" w:rsidR="004E1EB7" w:rsidRDefault="004E1EB7">
      <w:pPr>
        <w:spacing w:before="190"/>
        <w:ind w:left="9086"/>
        <w:rPr>
          <w:sz w:val="20"/>
          <w:szCs w:val="20"/>
        </w:rPr>
      </w:pPr>
    </w:p>
    <w:p w14:paraId="2F4815CA" w14:textId="77777777" w:rsidR="004E1EB7" w:rsidRDefault="00000000">
      <w:pPr>
        <w:tabs>
          <w:tab w:val="left" w:pos="9086"/>
        </w:tabs>
        <w:spacing w:before="70"/>
        <w:ind w:left="2566"/>
        <w:rPr>
          <w:sz w:val="20"/>
          <w:szCs w:val="20"/>
        </w:rPr>
      </w:pPr>
      <w:r>
        <w:rPr>
          <w:color w:val="2B498C"/>
          <w:sz w:val="20"/>
          <w:szCs w:val="20"/>
        </w:rPr>
        <w:t>The Forking Question</w:t>
      </w:r>
      <w:r>
        <w:rPr>
          <w:color w:val="2B498C"/>
          <w:sz w:val="20"/>
          <w:szCs w:val="20"/>
        </w:rPr>
        <w:tab/>
        <w:t>13</w:t>
      </w:r>
    </w:p>
    <w:p w14:paraId="7B78C217" w14:textId="77777777" w:rsidR="004E1EB7" w:rsidRDefault="004E1EB7">
      <w:pPr>
        <w:spacing w:before="190"/>
        <w:ind w:left="9086"/>
        <w:rPr>
          <w:sz w:val="20"/>
          <w:szCs w:val="20"/>
        </w:rPr>
      </w:pPr>
    </w:p>
    <w:p w14:paraId="62BAF925" w14:textId="77777777" w:rsidR="004E1EB7" w:rsidRDefault="00000000">
      <w:pPr>
        <w:numPr>
          <w:ilvl w:val="1"/>
          <w:numId w:val="7"/>
        </w:numPr>
        <w:pBdr>
          <w:top w:val="nil"/>
          <w:left w:val="nil"/>
          <w:bottom w:val="nil"/>
          <w:right w:val="nil"/>
          <w:between w:val="nil"/>
        </w:pBdr>
        <w:tabs>
          <w:tab w:val="left" w:pos="2899"/>
          <w:tab w:val="left" w:pos="9086"/>
        </w:tabs>
        <w:spacing w:before="70"/>
        <w:ind w:left="2899" w:hanging="333"/>
      </w:pPr>
      <w:r>
        <w:rPr>
          <w:color w:val="2B498C"/>
          <w:sz w:val="20"/>
          <w:szCs w:val="20"/>
        </w:rPr>
        <w:t>Was Forking the Right Response?</w:t>
      </w:r>
      <w:r>
        <w:rPr>
          <w:color w:val="2B498C"/>
          <w:sz w:val="20"/>
          <w:szCs w:val="20"/>
        </w:rPr>
        <w:tab/>
        <w:t>13</w:t>
      </w:r>
    </w:p>
    <w:p w14:paraId="39F4E5F8" w14:textId="77777777" w:rsidR="004E1EB7" w:rsidRDefault="004E1EB7">
      <w:pPr>
        <w:spacing w:before="190"/>
        <w:ind w:left="9086"/>
        <w:rPr>
          <w:sz w:val="20"/>
          <w:szCs w:val="20"/>
        </w:rPr>
      </w:pPr>
    </w:p>
    <w:p w14:paraId="032739A8" w14:textId="77777777" w:rsidR="004E1EB7" w:rsidRDefault="00000000">
      <w:pPr>
        <w:numPr>
          <w:ilvl w:val="1"/>
          <w:numId w:val="7"/>
        </w:numPr>
        <w:pBdr>
          <w:top w:val="nil"/>
          <w:left w:val="nil"/>
          <w:bottom w:val="nil"/>
          <w:right w:val="nil"/>
          <w:between w:val="nil"/>
        </w:pBdr>
        <w:tabs>
          <w:tab w:val="left" w:pos="2899"/>
          <w:tab w:val="left" w:pos="9086"/>
        </w:tabs>
        <w:spacing w:before="70"/>
        <w:ind w:left="2899" w:hanging="333"/>
      </w:pPr>
      <w:r>
        <w:rPr>
          <w:color w:val="2B498C"/>
          <w:sz w:val="20"/>
          <w:szCs w:val="20"/>
        </w:rPr>
        <w:t xml:space="preserve">Oracle's Decision </w:t>
      </w:r>
      <w:proofErr w:type="spellStart"/>
      <w:r>
        <w:rPr>
          <w:color w:val="2B498C"/>
          <w:sz w:val="20"/>
          <w:szCs w:val="20"/>
        </w:rPr>
        <w:t>Analysed</w:t>
      </w:r>
      <w:proofErr w:type="spellEnd"/>
      <w:r>
        <w:rPr>
          <w:color w:val="2B498C"/>
          <w:sz w:val="20"/>
          <w:szCs w:val="20"/>
        </w:rPr>
        <w:tab/>
        <w:t>14</w:t>
      </w:r>
    </w:p>
    <w:p w14:paraId="12DB9E5A" w14:textId="77777777" w:rsidR="004E1EB7" w:rsidRDefault="004E1EB7">
      <w:pPr>
        <w:spacing w:before="190"/>
        <w:ind w:left="9086"/>
        <w:rPr>
          <w:sz w:val="20"/>
          <w:szCs w:val="20"/>
        </w:rPr>
      </w:pPr>
    </w:p>
    <w:p w14:paraId="0E569EA5" w14:textId="77777777" w:rsidR="004E1EB7" w:rsidRDefault="00000000">
      <w:pPr>
        <w:numPr>
          <w:ilvl w:val="1"/>
          <w:numId w:val="7"/>
        </w:numPr>
        <w:pBdr>
          <w:top w:val="nil"/>
          <w:left w:val="nil"/>
          <w:bottom w:val="nil"/>
          <w:right w:val="nil"/>
          <w:between w:val="nil"/>
        </w:pBdr>
        <w:tabs>
          <w:tab w:val="left" w:pos="2899"/>
          <w:tab w:val="left" w:pos="9086"/>
        </w:tabs>
        <w:spacing w:before="70"/>
        <w:ind w:left="2899" w:hanging="333"/>
      </w:pPr>
      <w:r>
        <w:rPr>
          <w:color w:val="2B498C"/>
          <w:sz w:val="20"/>
          <w:szCs w:val="20"/>
        </w:rPr>
        <w:t>Was the Fork Worth Its Cost?</w:t>
      </w:r>
      <w:r>
        <w:rPr>
          <w:color w:val="2B498C"/>
          <w:sz w:val="20"/>
          <w:szCs w:val="20"/>
        </w:rPr>
        <w:tab/>
        <w:t>15</w:t>
      </w:r>
    </w:p>
    <w:p w14:paraId="2C10D00C" w14:textId="77777777" w:rsidR="004E1EB7" w:rsidRDefault="004E1EB7">
      <w:pPr>
        <w:spacing w:before="190"/>
        <w:ind w:left="9086"/>
        <w:rPr>
          <w:sz w:val="20"/>
          <w:szCs w:val="20"/>
        </w:rPr>
      </w:pPr>
    </w:p>
    <w:p w14:paraId="1C0A275D" w14:textId="77777777" w:rsidR="004E1EB7" w:rsidRDefault="00000000">
      <w:pPr>
        <w:numPr>
          <w:ilvl w:val="1"/>
          <w:numId w:val="7"/>
        </w:numPr>
        <w:pBdr>
          <w:top w:val="nil"/>
          <w:left w:val="nil"/>
          <w:bottom w:val="nil"/>
          <w:right w:val="nil"/>
          <w:between w:val="nil"/>
        </w:pBdr>
        <w:tabs>
          <w:tab w:val="left" w:pos="2899"/>
          <w:tab w:val="left" w:pos="9086"/>
        </w:tabs>
        <w:spacing w:before="70"/>
        <w:ind w:left="2899" w:hanging="333"/>
      </w:pPr>
      <w:r>
        <w:rPr>
          <w:color w:val="2B498C"/>
          <w:sz w:val="20"/>
          <w:szCs w:val="20"/>
        </w:rPr>
        <w:t>The Strongest Case Against Forking</w:t>
      </w:r>
      <w:r>
        <w:rPr>
          <w:color w:val="2B498C"/>
          <w:sz w:val="20"/>
          <w:szCs w:val="20"/>
        </w:rPr>
        <w:tab/>
        <w:t>16</w:t>
      </w:r>
    </w:p>
    <w:p w14:paraId="4C94EDCE" w14:textId="77777777" w:rsidR="004E1EB7" w:rsidRDefault="004E1EB7">
      <w:pPr>
        <w:spacing w:before="190"/>
        <w:ind w:left="9086"/>
        <w:rPr>
          <w:sz w:val="20"/>
          <w:szCs w:val="20"/>
        </w:rPr>
      </w:pPr>
    </w:p>
    <w:p w14:paraId="0873DB92" w14:textId="77777777" w:rsidR="004E1EB7" w:rsidRDefault="00000000">
      <w:pPr>
        <w:tabs>
          <w:tab w:val="left" w:pos="9086"/>
        </w:tabs>
        <w:spacing w:before="70"/>
        <w:ind w:left="2566"/>
        <w:rPr>
          <w:sz w:val="20"/>
          <w:szCs w:val="20"/>
        </w:rPr>
      </w:pPr>
      <w:r>
        <w:rPr>
          <w:color w:val="2B498C"/>
          <w:sz w:val="20"/>
          <w:szCs w:val="20"/>
        </w:rPr>
        <w:t xml:space="preserve">Lessons and </w:t>
      </w:r>
      <w:proofErr w:type="spellStart"/>
      <w:r>
        <w:rPr>
          <w:color w:val="2B498C"/>
          <w:sz w:val="20"/>
          <w:szCs w:val="20"/>
        </w:rPr>
        <w:t>Generalisation</w:t>
      </w:r>
      <w:proofErr w:type="spellEnd"/>
      <w:r>
        <w:rPr>
          <w:color w:val="2B498C"/>
          <w:sz w:val="20"/>
          <w:szCs w:val="20"/>
        </w:rPr>
        <w:tab/>
        <w:t>17</w:t>
      </w:r>
    </w:p>
    <w:p w14:paraId="5FBB1A72" w14:textId="77777777" w:rsidR="004E1EB7" w:rsidRDefault="004E1EB7">
      <w:pPr>
        <w:spacing w:before="190"/>
        <w:ind w:left="9086"/>
        <w:rPr>
          <w:sz w:val="20"/>
          <w:szCs w:val="20"/>
        </w:rPr>
      </w:pPr>
    </w:p>
    <w:p w14:paraId="27F28046" w14:textId="77777777" w:rsidR="004E1EB7" w:rsidRDefault="00000000">
      <w:pPr>
        <w:numPr>
          <w:ilvl w:val="1"/>
          <w:numId w:val="6"/>
        </w:numPr>
        <w:pBdr>
          <w:top w:val="nil"/>
          <w:left w:val="nil"/>
          <w:bottom w:val="nil"/>
          <w:right w:val="nil"/>
          <w:between w:val="nil"/>
        </w:pBdr>
        <w:tabs>
          <w:tab w:val="left" w:pos="2899"/>
          <w:tab w:val="left" w:pos="9086"/>
        </w:tabs>
        <w:spacing w:before="70"/>
        <w:ind w:left="2899" w:hanging="333"/>
      </w:pPr>
      <w:r>
        <w:rPr>
          <w:color w:val="2B498C"/>
          <w:sz w:val="20"/>
          <w:szCs w:val="20"/>
        </w:rPr>
        <w:t>The Double Fork: LibreOffice and MariaDB</w:t>
      </w:r>
      <w:r>
        <w:rPr>
          <w:color w:val="2B498C"/>
          <w:sz w:val="20"/>
          <w:szCs w:val="20"/>
        </w:rPr>
        <w:tab/>
        <w:t>17</w:t>
      </w:r>
    </w:p>
    <w:p w14:paraId="1D2FD6BF" w14:textId="77777777" w:rsidR="004E1EB7" w:rsidRDefault="004E1EB7">
      <w:pPr>
        <w:spacing w:before="190"/>
        <w:ind w:left="9086"/>
        <w:rPr>
          <w:sz w:val="20"/>
          <w:szCs w:val="20"/>
        </w:rPr>
      </w:pPr>
    </w:p>
    <w:p w14:paraId="4F4E24A5" w14:textId="77777777" w:rsidR="004E1EB7" w:rsidRDefault="00000000">
      <w:pPr>
        <w:numPr>
          <w:ilvl w:val="1"/>
          <w:numId w:val="6"/>
        </w:numPr>
        <w:pBdr>
          <w:top w:val="nil"/>
          <w:left w:val="nil"/>
          <w:bottom w:val="nil"/>
          <w:right w:val="nil"/>
          <w:between w:val="nil"/>
        </w:pBdr>
        <w:tabs>
          <w:tab w:val="left" w:pos="2899"/>
          <w:tab w:val="left" w:pos="9086"/>
        </w:tabs>
        <w:spacing w:before="70"/>
        <w:ind w:left="2899" w:hanging="333"/>
      </w:pPr>
      <w:r>
        <w:rPr>
          <w:color w:val="2B498C"/>
          <w:sz w:val="20"/>
          <w:szCs w:val="20"/>
        </w:rPr>
        <w:t>The Company X Hypothetical</w:t>
      </w:r>
      <w:r>
        <w:rPr>
          <w:color w:val="2B498C"/>
          <w:sz w:val="20"/>
          <w:szCs w:val="20"/>
        </w:rPr>
        <w:tab/>
        <w:t>18</w:t>
      </w:r>
    </w:p>
    <w:p w14:paraId="03E09DD2" w14:textId="77777777" w:rsidR="004E1EB7" w:rsidRDefault="004E1EB7">
      <w:pPr>
        <w:spacing w:before="190"/>
        <w:ind w:left="9086"/>
        <w:rPr>
          <w:sz w:val="20"/>
          <w:szCs w:val="20"/>
        </w:rPr>
      </w:pPr>
    </w:p>
    <w:p w14:paraId="5B132687" w14:textId="77777777" w:rsidR="004E1EB7" w:rsidRDefault="00000000">
      <w:pPr>
        <w:numPr>
          <w:ilvl w:val="1"/>
          <w:numId w:val="6"/>
        </w:numPr>
        <w:pBdr>
          <w:top w:val="nil"/>
          <w:left w:val="nil"/>
          <w:bottom w:val="nil"/>
          <w:right w:val="nil"/>
          <w:between w:val="nil"/>
        </w:pBdr>
        <w:tabs>
          <w:tab w:val="left" w:pos="2899"/>
          <w:tab w:val="left" w:pos="9086"/>
        </w:tabs>
        <w:spacing w:before="70"/>
        <w:ind w:left="2899" w:hanging="333"/>
      </w:pPr>
      <w:r>
        <w:rPr>
          <w:color w:val="2B498C"/>
          <w:sz w:val="20"/>
          <w:szCs w:val="20"/>
        </w:rPr>
        <w:t>Governance Recommendations</w:t>
      </w:r>
      <w:r>
        <w:rPr>
          <w:color w:val="2B498C"/>
          <w:sz w:val="20"/>
          <w:szCs w:val="20"/>
        </w:rPr>
        <w:tab/>
        <w:t>20</w:t>
      </w:r>
    </w:p>
    <w:p w14:paraId="08B9ED73" w14:textId="77777777" w:rsidR="004E1EB7" w:rsidRDefault="004E1EB7">
      <w:pPr>
        <w:spacing w:before="190"/>
        <w:ind w:left="9086"/>
        <w:rPr>
          <w:sz w:val="20"/>
          <w:szCs w:val="20"/>
        </w:rPr>
      </w:pPr>
    </w:p>
    <w:p w14:paraId="5FD71789" w14:textId="77777777" w:rsidR="004E1EB7" w:rsidRDefault="00000000">
      <w:pPr>
        <w:tabs>
          <w:tab w:val="left" w:pos="9086"/>
        </w:tabs>
        <w:spacing w:before="70"/>
        <w:ind w:left="2566"/>
        <w:rPr>
          <w:sz w:val="20"/>
          <w:szCs w:val="20"/>
        </w:rPr>
        <w:sectPr w:rsidR="004E1EB7">
          <w:pgSz w:w="11910" w:h="16840"/>
          <w:pgMar w:top="1460" w:right="1133" w:bottom="940" w:left="1133" w:header="0" w:footer="745" w:gutter="0"/>
          <w:cols w:space="720"/>
        </w:sectPr>
      </w:pPr>
      <w:r>
        <w:rPr>
          <w:color w:val="2B498C"/>
          <w:sz w:val="20"/>
          <w:szCs w:val="20"/>
        </w:rPr>
        <w:t>Personal Reflection</w:t>
      </w:r>
      <w:r>
        <w:rPr>
          <w:color w:val="2B498C"/>
          <w:sz w:val="20"/>
          <w:szCs w:val="20"/>
        </w:rPr>
        <w:tab/>
        <w:t>22</w:t>
      </w:r>
    </w:p>
    <w:p w14:paraId="59AEDCE7" w14:textId="77777777" w:rsidR="004E1EB7" w:rsidRDefault="004E1EB7">
      <w:pPr>
        <w:spacing w:before="72"/>
        <w:rPr>
          <w:sz w:val="20"/>
          <w:szCs w:val="20"/>
        </w:rPr>
      </w:pPr>
    </w:p>
    <w:p w14:paraId="245D669B" w14:textId="77777777" w:rsidR="004E1EB7" w:rsidRDefault="00000000">
      <w:pPr>
        <w:tabs>
          <w:tab w:val="right" w:pos="9197"/>
        </w:tabs>
        <w:spacing w:before="70"/>
        <w:ind w:left="2566"/>
        <w:rPr>
          <w:sz w:val="20"/>
          <w:szCs w:val="20"/>
        </w:rPr>
        <w:sectPr w:rsidR="004E1EB7">
          <w:pgSz w:w="11910" w:h="16840"/>
          <w:pgMar w:top="1520" w:right="1133" w:bottom="940" w:left="1133" w:header="0" w:footer="745" w:gutter="0"/>
          <w:cols w:space="720"/>
        </w:sectPr>
      </w:pPr>
      <w:r>
        <w:rPr>
          <w:color w:val="2B498C"/>
          <w:sz w:val="20"/>
          <w:szCs w:val="20"/>
        </w:rPr>
        <w:t>Evaluation Rubric &amp; References</w:t>
      </w:r>
      <w:r>
        <w:rPr>
          <w:color w:val="2B498C"/>
          <w:sz w:val="20"/>
          <w:szCs w:val="20"/>
        </w:rPr>
        <w:tab/>
        <w:t>24</w:t>
      </w:r>
    </w:p>
    <w:p w14:paraId="2E36163C" w14:textId="77777777" w:rsidR="004E1EB7" w:rsidRDefault="00000000">
      <w:pPr>
        <w:spacing w:before="70"/>
        <w:ind w:left="404"/>
        <w:rPr>
          <w:b/>
          <w:bCs/>
          <w:sz w:val="18"/>
          <w:szCs w:val="18"/>
        </w:rPr>
      </w:pPr>
      <w:r>
        <w:rPr>
          <w:b/>
          <w:bCs/>
          <w:color w:val="3A6BBF"/>
          <w:sz w:val="18"/>
          <w:szCs w:val="18"/>
        </w:rPr>
        <w:lastRenderedPageBreak/>
        <w:t>PREFACE</w:t>
      </w:r>
    </w:p>
    <w:p w14:paraId="6BFFD209" w14:textId="77777777" w:rsidR="004E1EB7" w:rsidRDefault="00000000">
      <w:pPr>
        <w:pStyle w:val="Heading1"/>
        <w:spacing w:before="405"/>
        <w:ind w:firstLine="404"/>
      </w:pPr>
      <w:bookmarkStart w:id="0" w:name="_ia10bzuxumjv" w:colFirst="0" w:colLast="0"/>
      <w:bookmarkEnd w:id="0"/>
      <w:r>
        <w:rPr>
          <w:color w:val="1A233F"/>
        </w:rPr>
        <w:t>Why This Case Study Matters</w:t>
      </w:r>
      <w:r>
        <w:rPr>
          <w:noProof/>
        </w:rPr>
        <mc:AlternateContent>
          <mc:Choice Requires="wpg">
            <w:drawing>
              <wp:anchor distT="0" distB="0" distL="0" distR="0" simplePos="0" relativeHeight="251664384" behindDoc="0" locked="0" layoutInCell="1" hidden="0" allowOverlap="1" wp14:anchorId="383688DD" wp14:editId="1F2D48E6">
                <wp:simplePos x="0" y="0"/>
                <wp:positionH relativeFrom="column">
                  <wp:posOffset>256745</wp:posOffset>
                </wp:positionH>
                <wp:positionV relativeFrom="paragraph">
                  <wp:posOffset>631544</wp:posOffset>
                </wp:positionV>
                <wp:extent cx="5607685" cy="15225"/>
                <wp:effectExtent l="0" t="0" r="0" b="0"/>
                <wp:wrapNone/>
                <wp:docPr id="15" name="Freeform: Shape 15"/>
                <wp:cNvGraphicFramePr/>
                <a:graphic xmlns:a="http://schemas.openxmlformats.org/drawingml/2006/main">
                  <a:graphicData uri="http://schemas.microsoft.com/office/word/2010/wordprocessingShape">
                    <wps:wsp>
                      <wps:cNvSpPr/>
                      <wps:spPr>
                        <a:xfrm>
                          <a:off x="2542158" y="3779365"/>
                          <a:ext cx="5607685" cy="1270"/>
                        </a:xfrm>
                        <a:custGeom>
                          <a:avLst/>
                          <a:gdLst/>
                          <a:ahLst/>
                          <a:cxnLst/>
                          <a:rect l="l" t="t" r="r" b="b"/>
                          <a:pathLst>
                            <a:path w="5607685" h="120000" extrusionOk="0">
                              <a:moveTo>
                                <a:pt x="0" y="0"/>
                              </a:moveTo>
                              <a:lnTo>
                                <a:pt x="5607599" y="0"/>
                              </a:lnTo>
                            </a:path>
                          </a:pathLst>
                        </a:custGeom>
                        <a:noFill/>
                        <a:ln w="15225" cap="flat" cmpd="sng">
                          <a:solidFill>
                            <a:srgbClr val="2B498C"/>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256745</wp:posOffset>
                </wp:positionH>
                <wp:positionV relativeFrom="paragraph">
                  <wp:posOffset>631544</wp:posOffset>
                </wp:positionV>
                <wp:extent cx="5607685" cy="15225"/>
                <wp:effectExtent b="0" l="0" r="0" t="0"/>
                <wp:wrapNone/>
                <wp:docPr id="15"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5607685" cy="15225"/>
                        </a:xfrm>
                        <a:prstGeom prst="rect"/>
                        <a:ln/>
                      </pic:spPr>
                    </pic:pic>
                  </a:graphicData>
                </a:graphic>
              </wp:anchor>
            </w:drawing>
          </mc:Fallback>
        </mc:AlternateContent>
      </w:r>
    </w:p>
    <w:p w14:paraId="5029A618" w14:textId="77777777" w:rsidR="004E1EB7" w:rsidRDefault="00000000">
      <w:pPr>
        <w:pBdr>
          <w:top w:val="nil"/>
          <w:left w:val="nil"/>
          <w:bottom w:val="nil"/>
          <w:right w:val="nil"/>
          <w:between w:val="nil"/>
        </w:pBdr>
        <w:spacing w:before="321" w:line="340" w:lineRule="auto"/>
        <w:ind w:left="404" w:right="401"/>
        <w:jc w:val="both"/>
        <w:rPr>
          <w:color w:val="000000"/>
        </w:rPr>
      </w:pPr>
      <w:r>
        <w:rPr>
          <w:color w:val="1C1C2D"/>
        </w:rPr>
        <w:t xml:space="preserve">Most discussions about </w:t>
      </w:r>
      <w:proofErr w:type="gramStart"/>
      <w:r>
        <w:rPr>
          <w:color w:val="1C1C2D"/>
        </w:rPr>
        <w:t>open source</w:t>
      </w:r>
      <w:proofErr w:type="gramEnd"/>
      <w:r>
        <w:rPr>
          <w:color w:val="1C1C2D"/>
        </w:rPr>
        <w:t xml:space="preserve"> software begin and end with tools: which Linux distribution to use, how to install a package manager, which </w:t>
      </w:r>
      <w:proofErr w:type="spellStart"/>
      <w:r>
        <w:rPr>
          <w:color w:val="1C1C2D"/>
        </w:rPr>
        <w:t>licence</w:t>
      </w:r>
      <w:proofErr w:type="spellEnd"/>
      <w:r>
        <w:rPr>
          <w:color w:val="1C1C2D"/>
        </w:rPr>
        <w:t xml:space="preserve"> to apply to a repository. These are important questions. But they are not the most important questions. The most important question that </w:t>
      </w:r>
      <w:proofErr w:type="gramStart"/>
      <w:r>
        <w:rPr>
          <w:color w:val="1C1C2D"/>
        </w:rPr>
        <w:t>open source</w:t>
      </w:r>
      <w:proofErr w:type="gramEnd"/>
      <w:r>
        <w:rPr>
          <w:color w:val="1C1C2D"/>
        </w:rPr>
        <w:t xml:space="preserve"> raises is not technical at all — it is political: who holds power over the tools that communities build together, and what happens when that power is exercised against the interests of the community that built them?</w:t>
      </w:r>
    </w:p>
    <w:p w14:paraId="68D5C640" w14:textId="77777777" w:rsidR="004E1EB7" w:rsidRDefault="00000000">
      <w:pPr>
        <w:pBdr>
          <w:top w:val="nil"/>
          <w:left w:val="nil"/>
          <w:bottom w:val="nil"/>
          <w:right w:val="nil"/>
          <w:between w:val="nil"/>
        </w:pBdr>
        <w:spacing w:before="165" w:line="340" w:lineRule="auto"/>
        <w:ind w:left="404" w:right="401"/>
        <w:jc w:val="both"/>
        <w:rPr>
          <w:color w:val="000000"/>
        </w:rPr>
      </w:pPr>
      <w:r>
        <w:rPr>
          <w:color w:val="1C1C2D"/>
        </w:rPr>
        <w:t xml:space="preserve">The story of LibreOffice provides one of the clearest and most consequential answers to that question in the history of </w:t>
      </w:r>
      <w:proofErr w:type="gramStart"/>
      <w:r>
        <w:rPr>
          <w:color w:val="1C1C2D"/>
        </w:rPr>
        <w:t>open source</w:t>
      </w:r>
      <w:proofErr w:type="gramEnd"/>
      <w:r>
        <w:rPr>
          <w:color w:val="1C1C2D"/>
        </w:rPr>
        <w:t xml:space="preserve"> software. In 2010, thousands of developers, translators, documentarians, and users faced a moment of reckoning. They had given years of voluntary </w:t>
      </w:r>
      <w:proofErr w:type="spellStart"/>
      <w:r>
        <w:rPr>
          <w:color w:val="1C1C2D"/>
        </w:rPr>
        <w:t>labour</w:t>
      </w:r>
      <w:proofErr w:type="spellEnd"/>
      <w:r>
        <w:rPr>
          <w:color w:val="1C1C2D"/>
        </w:rPr>
        <w:t xml:space="preserve"> to a project that — as it turned out — they did not control. When control of that project passed to a company they did not trust, they had to decide: comply, negotiate, or leave and build again.</w:t>
      </w:r>
    </w:p>
    <w:p w14:paraId="6C2375CA" w14:textId="77777777" w:rsidR="004E1EB7" w:rsidRDefault="00000000">
      <w:pPr>
        <w:pBdr>
          <w:top w:val="nil"/>
          <w:left w:val="nil"/>
          <w:bottom w:val="nil"/>
          <w:right w:val="nil"/>
          <w:between w:val="nil"/>
        </w:pBdr>
        <w:spacing w:before="8"/>
        <w:rPr>
          <w:color w:val="000000"/>
          <w:sz w:val="9"/>
          <w:szCs w:val="9"/>
        </w:rPr>
      </w:pPr>
      <w:r>
        <w:rPr>
          <w:noProof/>
        </w:rPr>
        <mc:AlternateContent>
          <mc:Choice Requires="wps">
            <w:drawing>
              <wp:anchor distT="0" distB="0" distL="0" distR="0" simplePos="0" relativeHeight="251665408" behindDoc="0" locked="0" layoutInCell="1" hidden="0" allowOverlap="1" wp14:anchorId="27526564" wp14:editId="1F086BE5">
                <wp:simplePos x="0" y="0"/>
                <wp:positionH relativeFrom="column">
                  <wp:posOffset>531020</wp:posOffset>
                </wp:positionH>
                <wp:positionV relativeFrom="paragraph">
                  <wp:posOffset>86250</wp:posOffset>
                </wp:positionV>
                <wp:extent cx="5059045" cy="831850"/>
                <wp:effectExtent l="0" t="0" r="0" b="0"/>
                <wp:wrapTopAndBottom distT="0" distB="0"/>
                <wp:docPr id="3" name="Rectangle 3"/>
                <wp:cNvGraphicFramePr/>
                <a:graphic xmlns:a="http://schemas.openxmlformats.org/drawingml/2006/main">
                  <a:graphicData uri="http://schemas.microsoft.com/office/word/2010/wordprocessingShape">
                    <wps:wsp>
                      <wps:cNvSpPr/>
                      <wps:spPr>
                        <a:xfrm>
                          <a:off x="2826003" y="3373600"/>
                          <a:ext cx="5039995" cy="812800"/>
                        </a:xfrm>
                        <a:prstGeom prst="rect">
                          <a:avLst/>
                        </a:prstGeom>
                        <a:solidFill>
                          <a:srgbClr val="DBE8F4"/>
                        </a:solidFill>
                        <a:ln w="19050" cap="flat" cmpd="sng">
                          <a:solidFill>
                            <a:srgbClr val="3A6BBF"/>
                          </a:solidFill>
                          <a:prstDash val="solid"/>
                          <a:round/>
                          <a:headEnd type="none" w="sm" len="sm"/>
                          <a:tailEnd type="none" w="sm" len="sm"/>
                        </a:ln>
                      </wps:spPr>
                      <wps:txbx>
                        <w:txbxContent>
                          <w:p w14:paraId="0385172E" w14:textId="77777777" w:rsidR="004E1EB7" w:rsidRDefault="00000000">
                            <w:pPr>
                              <w:spacing w:before="280" w:line="311" w:lineRule="auto"/>
                              <w:ind w:left="3586" w:firstLine="597"/>
                              <w:textDirection w:val="btLr"/>
                            </w:pPr>
                            <w:r>
                              <w:rPr>
                                <w:b/>
                                <w:i/>
                                <w:color w:val="1A233F"/>
                                <w:sz w:val="24"/>
                              </w:rPr>
                              <w:t>They chose to leave. And in doing so, they built something better.</w:t>
                            </w:r>
                          </w:p>
                        </w:txbxContent>
                      </wps:txbx>
                      <wps:bodyPr spcFirstLastPara="1" wrap="square" lIns="0" tIns="0" rIns="0" bIns="0" anchor="t" anchorCtr="0">
                        <a:noAutofit/>
                      </wps:bodyPr>
                    </wps:wsp>
                  </a:graphicData>
                </a:graphic>
              </wp:anchor>
            </w:drawing>
          </mc:Choice>
          <mc:Fallback>
            <w:pict>
              <v:rect w14:anchorId="27526564" id="Rectangle 3" o:spid="_x0000_s1027" style="position:absolute;margin-left:41.8pt;margin-top:6.8pt;width:398.35pt;height:65.5pt;z-index:2516654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" fillcolor="#dbe8f4" strokecolor="#3a6bbf" strokeweight="1.5pt">
                <v:stroke startarrowwidth="narrow" startarrowlength="short" endarrowwidth="narrow" endarrowlength="short" joinstyle="round"/>
                <v:textbox inset="0,0,0,0">
                  <w:txbxContent>
                    <w:p w14:paraId="0385172E" w14:textId="77777777" w:rsidR="004E1EB7" w:rsidRDefault="00000000">
                      <w:pPr>
                        <w:spacing w:before="280" w:line="311" w:lineRule="auto"/>
                        <w:ind w:left="3586" w:firstLine="597"/>
                        <w:textDirection w:val="btLr"/>
                      </w:pPr>
                      <w:r>
                        <w:rPr>
                          <w:b/>
                          <w:i/>
                          <w:color w:val="1A233F"/>
                          <w:sz w:val="24"/>
                        </w:rPr>
                        <w:t>They chose to leave. And in doing so, they built something better.</w:t>
                      </w:r>
                    </w:p>
                  </w:txbxContent>
                </v:textbox>
                <w10:wrap type="topAndBottom"/>
              </v:rect>
            </w:pict>
          </mc:Fallback>
        </mc:AlternateContent>
      </w:r>
    </w:p>
    <w:p w14:paraId="276ABFD8" w14:textId="77777777" w:rsidR="004E1EB7" w:rsidRDefault="00000000">
      <w:pPr>
        <w:pBdr>
          <w:top w:val="nil"/>
          <w:left w:val="nil"/>
          <w:bottom w:val="nil"/>
          <w:right w:val="nil"/>
          <w:between w:val="nil"/>
        </w:pBdr>
        <w:spacing w:before="240" w:line="340" w:lineRule="auto"/>
        <w:ind w:left="404" w:right="401"/>
        <w:jc w:val="both"/>
        <w:rPr>
          <w:color w:val="000000"/>
        </w:rPr>
        <w:sectPr w:rsidR="004E1EB7">
          <w:pgSz w:w="11910" w:h="16840"/>
          <w:pgMar w:top="1460" w:right="1133" w:bottom="940" w:left="1133" w:header="0" w:footer="745" w:gutter="0"/>
          <w:cols w:space="720"/>
        </w:sectPr>
      </w:pPr>
      <w:r>
        <w:rPr>
          <w:color w:val="1C1C2D"/>
        </w:rPr>
        <w:t xml:space="preserve">This report analyses that decision and its consequences across five dimensions: the structural conditions that made the crisis possible, the ethical arguments about corporate control of </w:t>
      </w:r>
      <w:proofErr w:type="gramStart"/>
      <w:r>
        <w:rPr>
          <w:color w:val="1C1C2D"/>
        </w:rPr>
        <w:t>open source</w:t>
      </w:r>
      <w:proofErr w:type="gramEnd"/>
      <w:r>
        <w:rPr>
          <w:color w:val="1C1C2D"/>
        </w:rPr>
        <w:t xml:space="preserve"> </w:t>
      </w:r>
      <w:proofErr w:type="spellStart"/>
      <w:r>
        <w:rPr>
          <w:color w:val="1C1C2D"/>
        </w:rPr>
        <w:t>labour</w:t>
      </w:r>
      <w:proofErr w:type="spellEnd"/>
      <w:r>
        <w:rPr>
          <w:color w:val="1C1C2D"/>
        </w:rPr>
        <w:t xml:space="preserve">, the strategic logic of the fork, the broader lessons for </w:t>
      </w:r>
      <w:proofErr w:type="gramStart"/>
      <w:r>
        <w:rPr>
          <w:color w:val="1C1C2D"/>
        </w:rPr>
        <w:t>open source</w:t>
      </w:r>
      <w:proofErr w:type="gramEnd"/>
      <w:r>
        <w:rPr>
          <w:color w:val="1C1C2D"/>
        </w:rPr>
        <w:t xml:space="preserve"> governance, and a personal reflection on what this story reveals about the meaning of freedom in software.</w:t>
      </w:r>
    </w:p>
    <w:p w14:paraId="454E85E1" w14:textId="77777777" w:rsidR="004E1EB7" w:rsidRDefault="00000000">
      <w:pPr>
        <w:spacing w:before="70"/>
        <w:ind w:left="404"/>
        <w:rPr>
          <w:b/>
          <w:bCs/>
          <w:sz w:val="18"/>
          <w:szCs w:val="18"/>
        </w:rPr>
      </w:pPr>
      <w:r>
        <w:rPr>
          <w:b/>
          <w:bCs/>
          <w:color w:val="3A6BBF"/>
          <w:sz w:val="18"/>
          <w:szCs w:val="18"/>
        </w:rPr>
        <w:lastRenderedPageBreak/>
        <w:t>SECTION A</w:t>
      </w:r>
    </w:p>
    <w:p w14:paraId="7072DC5B" w14:textId="77777777" w:rsidR="004E1EB7" w:rsidRDefault="004E1EB7">
      <w:pPr>
        <w:pBdr>
          <w:top w:val="nil"/>
          <w:left w:val="nil"/>
          <w:bottom w:val="nil"/>
          <w:right w:val="nil"/>
          <w:between w:val="nil"/>
        </w:pBdr>
        <w:spacing w:before="197"/>
        <w:rPr>
          <w:b/>
          <w:bCs/>
          <w:color w:val="000000"/>
          <w:sz w:val="18"/>
          <w:szCs w:val="18"/>
        </w:rPr>
      </w:pPr>
    </w:p>
    <w:p w14:paraId="017C842D" w14:textId="77777777" w:rsidR="004E1EB7" w:rsidRDefault="00000000">
      <w:pPr>
        <w:pStyle w:val="Heading1"/>
        <w:ind w:firstLine="404"/>
      </w:pPr>
      <w:bookmarkStart w:id="1" w:name="_yjhluxbtz212" w:colFirst="0" w:colLast="0"/>
      <w:bookmarkEnd w:id="1"/>
      <w:r>
        <w:rPr>
          <w:color w:val="1A233F"/>
        </w:rPr>
        <w:t>Establishing the Context</w:t>
      </w:r>
    </w:p>
    <w:p w14:paraId="20E7623B" w14:textId="77777777" w:rsidR="004E1EB7" w:rsidRDefault="00000000">
      <w:pPr>
        <w:pBdr>
          <w:top w:val="nil"/>
          <w:left w:val="nil"/>
          <w:bottom w:val="nil"/>
          <w:right w:val="nil"/>
          <w:between w:val="nil"/>
        </w:pBdr>
        <w:spacing w:before="2"/>
        <w:rPr>
          <w:b/>
          <w:bCs/>
          <w:color w:val="000000"/>
          <w:sz w:val="14"/>
          <w:szCs w:val="14"/>
        </w:rPr>
      </w:pPr>
      <w:r>
        <w:rPr>
          <w:noProof/>
        </w:rPr>
        <mc:AlternateContent>
          <mc:Choice Requires="wpg">
            <w:drawing>
              <wp:anchor distT="0" distB="0" distL="0" distR="0" simplePos="0" relativeHeight="251666432" behindDoc="0" locked="0" layoutInCell="1" hidden="0" allowOverlap="1" wp14:anchorId="211FFD5F" wp14:editId="6347DC6F">
                <wp:simplePos x="0" y="0"/>
                <wp:positionH relativeFrom="column">
                  <wp:posOffset>256745</wp:posOffset>
                </wp:positionH>
                <wp:positionV relativeFrom="paragraph">
                  <wp:posOffset>111511</wp:posOffset>
                </wp:positionV>
                <wp:extent cx="5607685" cy="15225"/>
                <wp:effectExtent l="0" t="0" r="0" b="0"/>
                <wp:wrapTopAndBottom distT="0" distB="0"/>
                <wp:docPr id="4" name="Freeform: Shape 4"/>
                <wp:cNvGraphicFramePr/>
                <a:graphic xmlns:a="http://schemas.openxmlformats.org/drawingml/2006/main">
                  <a:graphicData uri="http://schemas.microsoft.com/office/word/2010/wordprocessingShape">
                    <wps:wsp>
                      <wps:cNvSpPr/>
                      <wps:spPr>
                        <a:xfrm>
                          <a:off x="2542158" y="3779365"/>
                          <a:ext cx="5607685" cy="1270"/>
                        </a:xfrm>
                        <a:custGeom>
                          <a:avLst/>
                          <a:gdLst/>
                          <a:ahLst/>
                          <a:cxnLst/>
                          <a:rect l="l" t="t" r="r" b="b"/>
                          <a:pathLst>
                            <a:path w="5607685" h="120000" extrusionOk="0">
                              <a:moveTo>
                                <a:pt x="0" y="0"/>
                              </a:moveTo>
                              <a:lnTo>
                                <a:pt x="5607599" y="0"/>
                              </a:lnTo>
                            </a:path>
                          </a:pathLst>
                        </a:custGeom>
                        <a:noFill/>
                        <a:ln w="15225" cap="flat" cmpd="sng">
                          <a:solidFill>
                            <a:srgbClr val="2B498C"/>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256745</wp:posOffset>
                </wp:positionH>
                <wp:positionV relativeFrom="paragraph">
                  <wp:posOffset>111511</wp:posOffset>
                </wp:positionV>
                <wp:extent cx="5607685" cy="15225"/>
                <wp:effectExtent b="0" l="0" r="0" t="0"/>
                <wp:wrapTopAndBottom distB="0" dist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607685" cy="15225"/>
                        </a:xfrm>
                        <a:prstGeom prst="rect"/>
                        <a:ln/>
                      </pic:spPr>
                    </pic:pic>
                  </a:graphicData>
                </a:graphic>
              </wp:anchor>
            </w:drawing>
          </mc:Fallback>
        </mc:AlternateContent>
      </w:r>
    </w:p>
    <w:p w14:paraId="67B02788" w14:textId="77777777" w:rsidR="004E1EB7" w:rsidRDefault="00000000">
      <w:pPr>
        <w:pStyle w:val="Heading2"/>
        <w:numPr>
          <w:ilvl w:val="1"/>
          <w:numId w:val="5"/>
        </w:numPr>
        <w:tabs>
          <w:tab w:val="left" w:pos="837"/>
        </w:tabs>
        <w:spacing w:before="284"/>
        <w:ind w:left="837" w:hanging="433"/>
      </w:pPr>
      <w:bookmarkStart w:id="2" w:name="_3z3it8he1lqv" w:colFirst="0" w:colLast="0"/>
      <w:bookmarkEnd w:id="2"/>
      <w:r>
        <w:rPr>
          <w:color w:val="2B498C"/>
        </w:rPr>
        <w:t xml:space="preserve">The Structural Problem in </w:t>
      </w:r>
      <w:proofErr w:type="spellStart"/>
      <w:r>
        <w:rPr>
          <w:color w:val="2B498C"/>
        </w:rPr>
        <w:t>OpenOffice.org's</w:t>
      </w:r>
      <w:proofErr w:type="spellEnd"/>
      <w:r>
        <w:rPr>
          <w:color w:val="2B498C"/>
        </w:rPr>
        <w:t xml:space="preserve"> Governance</w:t>
      </w:r>
    </w:p>
    <w:p w14:paraId="6BE9774A" w14:textId="77777777" w:rsidR="004E1EB7" w:rsidRDefault="00000000">
      <w:pPr>
        <w:pBdr>
          <w:top w:val="nil"/>
          <w:left w:val="nil"/>
          <w:bottom w:val="nil"/>
          <w:right w:val="nil"/>
          <w:between w:val="nil"/>
        </w:pBdr>
        <w:spacing w:before="138" w:line="340" w:lineRule="auto"/>
        <w:ind w:left="404" w:right="401"/>
        <w:jc w:val="both"/>
        <w:rPr>
          <w:color w:val="000000"/>
        </w:rPr>
      </w:pPr>
      <w:r>
        <w:rPr>
          <w:color w:val="1C1C2D"/>
        </w:rPr>
        <w:t xml:space="preserve">To understand why LibreOffice came into existence, one must first understand something that is easy to miss when looking at the OpenOffice.org project from the outside: it was, structurally speaking, not truly community-governed at all. It had the appearance of an </w:t>
      </w:r>
      <w:proofErr w:type="gramStart"/>
      <w:r>
        <w:rPr>
          <w:color w:val="1C1C2D"/>
        </w:rPr>
        <w:t>open source</w:t>
      </w:r>
      <w:proofErr w:type="gramEnd"/>
      <w:r>
        <w:rPr>
          <w:color w:val="1C1C2D"/>
        </w:rPr>
        <w:t xml:space="preserve"> community project — it had mailing lists, volunteer contributors, public forums, and a visible development process. But its underlying power structure was that of a corporate subsidiary.</w:t>
      </w:r>
    </w:p>
    <w:p w14:paraId="7692432C" w14:textId="77777777" w:rsidR="004E1EB7" w:rsidRDefault="00000000">
      <w:pPr>
        <w:pBdr>
          <w:top w:val="nil"/>
          <w:left w:val="nil"/>
          <w:bottom w:val="nil"/>
          <w:right w:val="nil"/>
          <w:between w:val="nil"/>
        </w:pBdr>
        <w:spacing w:before="165" w:line="340" w:lineRule="auto"/>
        <w:ind w:left="404" w:right="401"/>
        <w:jc w:val="both"/>
        <w:rPr>
          <w:color w:val="000000"/>
        </w:rPr>
      </w:pPr>
      <w:r>
        <w:rPr>
          <w:color w:val="1C1C2D"/>
        </w:rPr>
        <w:t xml:space="preserve">Sun Microsystems had open-sourced the </w:t>
      </w:r>
      <w:proofErr w:type="spellStart"/>
      <w:r>
        <w:rPr>
          <w:color w:val="1C1C2D"/>
        </w:rPr>
        <w:t>StarOffice</w:t>
      </w:r>
      <w:proofErr w:type="spellEnd"/>
      <w:r>
        <w:rPr>
          <w:color w:val="1C1C2D"/>
        </w:rPr>
        <w:t xml:space="preserve"> codebase in 1999, creating OpenOffice.org. This was a significant act: it gave millions of users a free, capable alternative to Microsoft Office. But the way Sun chose to structure the project embedded a fatal flaw from the very beginning.</w:t>
      </w:r>
    </w:p>
    <w:p w14:paraId="6427E166" w14:textId="77777777" w:rsidR="004E1EB7" w:rsidRDefault="00000000">
      <w:pPr>
        <w:pBdr>
          <w:top w:val="nil"/>
          <w:left w:val="nil"/>
          <w:bottom w:val="nil"/>
          <w:right w:val="nil"/>
          <w:between w:val="nil"/>
        </w:pBdr>
        <w:spacing w:before="163" w:line="340" w:lineRule="auto"/>
        <w:ind w:left="404" w:right="401"/>
        <w:jc w:val="both"/>
        <w:rPr>
          <w:color w:val="000000"/>
        </w:rPr>
      </w:pPr>
      <w:r>
        <w:rPr>
          <w:color w:val="1C1C2D"/>
        </w:rPr>
        <w:t>The flaw was the Joint Copyright Assignment (JCA) requirement. Every developer who wished to contribute code to OpenOffice.org was required to sign a legal agreement transferring joint ownership of their code to Sun Microsystems. The practical effect of this was straightforward: Sun owned the codebase. Contributors could write, test, and maintain code, but the legal rights to that code belonged to the corporation.</w:t>
      </w:r>
    </w:p>
    <w:p w14:paraId="68FEEDFA" w14:textId="77777777" w:rsidR="004E1EB7" w:rsidRDefault="00000000">
      <w:pPr>
        <w:pBdr>
          <w:top w:val="nil"/>
          <w:left w:val="nil"/>
          <w:bottom w:val="nil"/>
          <w:right w:val="nil"/>
          <w:between w:val="nil"/>
        </w:pBdr>
        <w:spacing w:before="164" w:line="340" w:lineRule="auto"/>
        <w:ind w:left="404" w:right="401"/>
        <w:jc w:val="both"/>
        <w:rPr>
          <w:color w:val="000000"/>
        </w:rPr>
      </w:pPr>
      <w:r>
        <w:rPr>
          <w:color w:val="1C1C2D"/>
        </w:rPr>
        <w:t xml:space="preserve">This mattered for several interconnected reasons. First, it meant that Sun alone could change the </w:t>
      </w:r>
      <w:proofErr w:type="spellStart"/>
      <w:r>
        <w:rPr>
          <w:color w:val="1C1C2D"/>
        </w:rPr>
        <w:t>licence</w:t>
      </w:r>
      <w:proofErr w:type="spellEnd"/>
      <w:r>
        <w:rPr>
          <w:color w:val="1C1C2D"/>
        </w:rPr>
        <w:t xml:space="preserve"> under which OpenOffice.org was distributed. A community that does not hold copyright cannot prevent a relicensing — and a corporation that holds copyright can, at any moment, close the code or impose new restrictions. Second, it meant that the release schedule, the roadmap, and the priorities of the project were ultimately Sun's decisions to make. Community members could advocate, propose, and build — but they could not decide.</w:t>
      </w:r>
    </w:p>
    <w:p w14:paraId="16FC8D8E" w14:textId="77777777" w:rsidR="004E1EB7" w:rsidRDefault="00000000">
      <w:pPr>
        <w:pBdr>
          <w:top w:val="nil"/>
          <w:left w:val="nil"/>
          <w:bottom w:val="nil"/>
          <w:right w:val="nil"/>
          <w:between w:val="nil"/>
        </w:pBdr>
        <w:spacing w:before="9"/>
        <w:rPr>
          <w:color w:val="000000"/>
          <w:sz w:val="9"/>
          <w:szCs w:val="9"/>
        </w:rPr>
      </w:pPr>
      <w:r>
        <w:rPr>
          <w:noProof/>
        </w:rPr>
        <mc:AlternateContent>
          <mc:Choice Requires="wps">
            <w:drawing>
              <wp:anchor distT="0" distB="0" distL="0" distR="0" simplePos="0" relativeHeight="251667456" behindDoc="0" locked="0" layoutInCell="1" hidden="0" allowOverlap="1" wp14:anchorId="56E06DA2" wp14:editId="7ADABB7C">
                <wp:simplePos x="0" y="0"/>
                <wp:positionH relativeFrom="column">
                  <wp:posOffset>531020</wp:posOffset>
                </wp:positionH>
                <wp:positionV relativeFrom="paragraph">
                  <wp:posOffset>86980</wp:posOffset>
                </wp:positionV>
                <wp:extent cx="5059045" cy="1289050"/>
                <wp:effectExtent l="0" t="0" r="0" b="0"/>
                <wp:wrapTopAndBottom distT="0" distB="0"/>
                <wp:docPr id="24" name="Rectangle 24"/>
                <wp:cNvGraphicFramePr/>
                <a:graphic xmlns:a="http://schemas.openxmlformats.org/drawingml/2006/main">
                  <a:graphicData uri="http://schemas.microsoft.com/office/word/2010/wordprocessingShape">
                    <wps:wsp>
                      <wps:cNvSpPr/>
                      <wps:spPr>
                        <a:xfrm>
                          <a:off x="2826003" y="3145000"/>
                          <a:ext cx="5039995" cy="1270000"/>
                        </a:xfrm>
                        <a:prstGeom prst="rect">
                          <a:avLst/>
                        </a:prstGeom>
                        <a:solidFill>
                          <a:srgbClr val="DBE8F4"/>
                        </a:solidFill>
                        <a:ln w="19050" cap="flat" cmpd="sng">
                          <a:solidFill>
                            <a:srgbClr val="3A6BBF"/>
                          </a:solidFill>
                          <a:prstDash val="solid"/>
                          <a:round/>
                          <a:headEnd type="none" w="sm" len="sm"/>
                          <a:tailEnd type="none" w="sm" len="sm"/>
                        </a:ln>
                      </wps:spPr>
                      <wps:txbx>
                        <w:txbxContent>
                          <w:p w14:paraId="0941DE58" w14:textId="77777777" w:rsidR="004E1EB7" w:rsidRDefault="004E1EB7">
                            <w:pPr>
                              <w:spacing w:before="3"/>
                              <w:textDirection w:val="btLr"/>
                            </w:pPr>
                          </w:p>
                          <w:p w14:paraId="3EFB919D" w14:textId="77777777" w:rsidR="004E1EB7" w:rsidRDefault="00000000">
                            <w:pPr>
                              <w:spacing w:before="1" w:line="311" w:lineRule="auto"/>
                              <w:ind w:left="362" w:right="360" w:firstLine="362"/>
                              <w:jc w:val="center"/>
                              <w:textDirection w:val="btLr"/>
                            </w:pPr>
                            <w:r>
                              <w:rPr>
                                <w:b/>
                                <w:i/>
                                <w:color w:val="1A233F"/>
                                <w:sz w:val="24"/>
                              </w:rPr>
                              <w:t xml:space="preserve">The governance gap in OpenOffice.org was not a bug — it was a design choice. Sun built a structure that kept ultimate authority in corporate hands while using volunteer </w:t>
                            </w:r>
                            <w:proofErr w:type="spellStart"/>
                            <w:r>
                              <w:rPr>
                                <w:b/>
                                <w:i/>
                                <w:color w:val="1A233F"/>
                                <w:sz w:val="24"/>
                              </w:rPr>
                              <w:t>labour</w:t>
                            </w:r>
                            <w:proofErr w:type="spellEnd"/>
                            <w:r>
                              <w:rPr>
                                <w:b/>
                                <w:i/>
                                <w:color w:val="1A233F"/>
                                <w:sz w:val="24"/>
                              </w:rPr>
                              <w:t xml:space="preserve"> to build the product.</w:t>
                            </w:r>
                          </w:p>
                        </w:txbxContent>
                      </wps:txbx>
                      <wps:bodyPr spcFirstLastPara="1" wrap="square" lIns="0" tIns="0" rIns="0" bIns="0" anchor="t" anchorCtr="0">
                        <a:noAutofit/>
                      </wps:bodyPr>
                    </wps:wsp>
                  </a:graphicData>
                </a:graphic>
              </wp:anchor>
            </w:drawing>
          </mc:Choice>
          <mc:Fallback>
            <w:pict>
              <v:rect w14:anchorId="56E06DA2" id="Rectangle 24" o:spid="_x0000_s1028" style="position:absolute;margin-left:41.8pt;margin-top:6.85pt;width:398.35pt;height:101.5pt;z-index:2516674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" fillcolor="#dbe8f4" strokecolor="#3a6bbf" strokeweight="1.5pt">
                <v:stroke startarrowwidth="narrow" startarrowlength="short" endarrowwidth="narrow" endarrowlength="short" joinstyle="round"/>
                <v:textbox inset="0,0,0,0">
                  <w:txbxContent>
                    <w:p w14:paraId="0941DE58" w14:textId="77777777" w:rsidR="004E1EB7" w:rsidRDefault="004E1EB7">
                      <w:pPr>
                        <w:spacing w:before="3"/>
                        <w:textDirection w:val="btLr"/>
                      </w:pPr>
                    </w:p>
                    <w:p w14:paraId="3EFB919D" w14:textId="77777777" w:rsidR="004E1EB7" w:rsidRDefault="00000000">
                      <w:pPr>
                        <w:spacing w:before="1" w:line="311" w:lineRule="auto"/>
                        <w:ind w:left="362" w:right="360" w:firstLine="362"/>
                        <w:jc w:val="center"/>
                        <w:textDirection w:val="btLr"/>
                      </w:pPr>
                      <w:r>
                        <w:rPr>
                          <w:b/>
                          <w:i/>
                          <w:color w:val="1A233F"/>
                          <w:sz w:val="24"/>
                        </w:rPr>
                        <w:t xml:space="preserve">The governance gap in OpenOffice.org was not a bug — it was a design choice. Sun built a structure that kept ultimate authority in corporate hands while using volunteer </w:t>
                      </w:r>
                      <w:proofErr w:type="spellStart"/>
                      <w:r>
                        <w:rPr>
                          <w:b/>
                          <w:i/>
                          <w:color w:val="1A233F"/>
                          <w:sz w:val="24"/>
                        </w:rPr>
                        <w:t>labour</w:t>
                      </w:r>
                      <w:proofErr w:type="spellEnd"/>
                      <w:r>
                        <w:rPr>
                          <w:b/>
                          <w:i/>
                          <w:color w:val="1A233F"/>
                          <w:sz w:val="24"/>
                        </w:rPr>
                        <w:t xml:space="preserve"> to build the product.</w:t>
                      </w:r>
                    </w:p>
                  </w:txbxContent>
                </v:textbox>
                <w10:wrap type="topAndBottom"/>
              </v:rect>
            </w:pict>
          </mc:Fallback>
        </mc:AlternateContent>
      </w:r>
    </w:p>
    <w:p w14:paraId="71CF2C1E" w14:textId="77777777" w:rsidR="004E1EB7" w:rsidRDefault="00000000">
      <w:pPr>
        <w:pBdr>
          <w:top w:val="nil"/>
          <w:left w:val="nil"/>
          <w:bottom w:val="nil"/>
          <w:right w:val="nil"/>
          <w:between w:val="nil"/>
        </w:pBdr>
        <w:spacing w:before="13" w:line="340" w:lineRule="auto"/>
        <w:ind w:left="404" w:right="401"/>
        <w:jc w:val="both"/>
        <w:rPr>
          <w:color w:val="000000"/>
        </w:rPr>
        <w:sectPr w:rsidR="004E1EB7">
          <w:pgSz w:w="11910" w:h="16840"/>
          <w:pgMar w:top="1460" w:right="1133" w:bottom="940" w:left="1133" w:header="0" w:footer="745" w:gutter="0"/>
          <w:cols w:space="720"/>
        </w:sectPr>
      </w:pPr>
      <w:r>
        <w:rPr>
          <w:color w:val="1C1C2D"/>
        </w:rPr>
        <w:t>This structural feature — corporate copyright ownership combined with community participation — is what made the eventual fork both possible and, in retrospect, arguably inevitable. When a project's governance depends entirely on the goodwill and priorities of a</w:t>
      </w:r>
    </w:p>
    <w:p w14:paraId="33DC6932" w14:textId="77777777" w:rsidR="004E1EB7" w:rsidRDefault="00000000">
      <w:pPr>
        <w:pBdr>
          <w:top w:val="nil"/>
          <w:left w:val="nil"/>
          <w:bottom w:val="nil"/>
          <w:right w:val="nil"/>
          <w:between w:val="nil"/>
        </w:pBdr>
        <w:spacing w:before="73" w:line="340" w:lineRule="auto"/>
        <w:ind w:left="404" w:right="401"/>
        <w:jc w:val="both"/>
        <w:rPr>
          <w:color w:val="000000"/>
        </w:rPr>
      </w:pPr>
      <w:r>
        <w:rPr>
          <w:color w:val="1C1C2D"/>
        </w:rPr>
        <w:lastRenderedPageBreak/>
        <w:t>single corporate owner, the health of the community is permanently hostage to decisions made in boardrooms rather than by the people who build the software.</w:t>
      </w:r>
    </w:p>
    <w:p w14:paraId="29BC6507" w14:textId="77777777" w:rsidR="004E1EB7" w:rsidRDefault="00000000">
      <w:pPr>
        <w:pBdr>
          <w:top w:val="nil"/>
          <w:left w:val="nil"/>
          <w:bottom w:val="nil"/>
          <w:right w:val="nil"/>
          <w:between w:val="nil"/>
        </w:pBdr>
        <w:spacing w:before="161" w:line="340" w:lineRule="auto"/>
        <w:ind w:left="404" w:right="401"/>
        <w:jc w:val="both"/>
        <w:rPr>
          <w:color w:val="000000"/>
        </w:rPr>
      </w:pPr>
      <w:r>
        <w:rPr>
          <w:color w:val="1C1C2D"/>
        </w:rPr>
        <w:t xml:space="preserve">It is worth noting what a genuinely community-governed project looks like by contrast. In projects like the Linux kernel, copyright is retained by individual contributors rather than transferred to any single entity. The Linux Foundation holds assets and provides infrastructure, but no company can unilaterally </w:t>
      </w:r>
      <w:proofErr w:type="spellStart"/>
      <w:r>
        <w:rPr>
          <w:color w:val="1C1C2D"/>
        </w:rPr>
        <w:t>relicence</w:t>
      </w:r>
      <w:proofErr w:type="spellEnd"/>
      <w:r>
        <w:rPr>
          <w:color w:val="1C1C2D"/>
        </w:rPr>
        <w:t xml:space="preserve"> the kernel or redirect its development. Decision-making authority is distributed among maintainers who earn their role through demonstrated contribution and community trust. OpenOffice.org had none of these features.</w:t>
      </w:r>
    </w:p>
    <w:p w14:paraId="3B7C8A6C" w14:textId="77777777" w:rsidR="004E1EB7" w:rsidRDefault="004E1EB7">
      <w:pPr>
        <w:pBdr>
          <w:top w:val="nil"/>
          <w:left w:val="nil"/>
          <w:bottom w:val="nil"/>
          <w:right w:val="nil"/>
          <w:between w:val="nil"/>
        </w:pBdr>
        <w:spacing w:before="35"/>
        <w:rPr>
          <w:color w:val="000000"/>
        </w:rPr>
      </w:pPr>
    </w:p>
    <w:p w14:paraId="33D712A6" w14:textId="77777777" w:rsidR="004E1EB7" w:rsidRDefault="00000000">
      <w:pPr>
        <w:pStyle w:val="Heading2"/>
        <w:numPr>
          <w:ilvl w:val="1"/>
          <w:numId w:val="5"/>
        </w:numPr>
        <w:tabs>
          <w:tab w:val="left" w:pos="837"/>
        </w:tabs>
        <w:ind w:left="837" w:hanging="433"/>
      </w:pPr>
      <w:bookmarkStart w:id="3" w:name="_dvhntoc0s0hq" w:colFirst="0" w:colLast="0"/>
      <w:bookmarkEnd w:id="3"/>
      <w:r>
        <w:rPr>
          <w:color w:val="2B498C"/>
        </w:rPr>
        <w:t>Why Oracle Was the Trigger, Not Sun</w:t>
      </w:r>
    </w:p>
    <w:p w14:paraId="5CF333BC" w14:textId="77777777" w:rsidR="004E1EB7" w:rsidRDefault="00000000">
      <w:pPr>
        <w:pBdr>
          <w:top w:val="nil"/>
          <w:left w:val="nil"/>
          <w:bottom w:val="nil"/>
          <w:right w:val="nil"/>
          <w:between w:val="nil"/>
        </w:pBdr>
        <w:spacing w:before="139" w:line="340" w:lineRule="auto"/>
        <w:ind w:left="404" w:right="401"/>
        <w:jc w:val="both"/>
        <w:rPr>
          <w:color w:val="000000"/>
        </w:rPr>
      </w:pPr>
      <w:r>
        <w:rPr>
          <w:color w:val="1C1C2D"/>
        </w:rPr>
        <w:t>A reasonable question arises: if the copyright assignment problem had existed since 1999, why did it take a decade for the community to act? Why did thousands of contributors tolerate a governance structure they found uncomfortable for so long?</w:t>
      </w:r>
    </w:p>
    <w:p w14:paraId="79148D6F" w14:textId="77777777" w:rsidR="004E1EB7" w:rsidRDefault="00000000">
      <w:pPr>
        <w:pBdr>
          <w:top w:val="nil"/>
          <w:left w:val="nil"/>
          <w:bottom w:val="nil"/>
          <w:right w:val="nil"/>
          <w:between w:val="nil"/>
        </w:pBdr>
        <w:spacing w:before="162" w:line="340" w:lineRule="auto"/>
        <w:ind w:left="404" w:right="401"/>
        <w:jc w:val="both"/>
        <w:rPr>
          <w:color w:val="000000"/>
        </w:rPr>
      </w:pPr>
      <w:r>
        <w:rPr>
          <w:color w:val="1C1C2D"/>
        </w:rPr>
        <w:t>The answer lies in the concept of tolerable versus intolerable risk. Under Sun, the copyright assignment clause was uncomfortable, but the risk it posed felt abstract. Sun had genuine ideological sympathy with open source — it had founded OpenOffice.org as a strategic move to undermine Microsoft's platform dominance, but it also employed developers who cared deeply about the project and maintained productive relationships with the community. Sun was, in the language of political philosophy, a relatively benevolent sovereign: it held power it should not have held, but it exercised that power with reasonable restraint.</w:t>
      </w:r>
    </w:p>
    <w:p w14:paraId="2482C8DF" w14:textId="77777777" w:rsidR="004E1EB7" w:rsidRDefault="00000000">
      <w:pPr>
        <w:pBdr>
          <w:top w:val="nil"/>
          <w:left w:val="nil"/>
          <w:bottom w:val="nil"/>
          <w:right w:val="nil"/>
          <w:between w:val="nil"/>
        </w:pBdr>
        <w:spacing w:before="166" w:line="340" w:lineRule="auto"/>
        <w:ind w:left="404" w:right="401"/>
        <w:jc w:val="both"/>
        <w:rPr>
          <w:color w:val="000000"/>
        </w:rPr>
      </w:pPr>
      <w:r>
        <w:rPr>
          <w:color w:val="1C1C2D"/>
        </w:rPr>
        <w:t xml:space="preserve">Oracle's acquisition of Sun in January 2010 transformed abstract risk into concrete danger. Oracle was not Sun. It had no particular ideological affinity with </w:t>
      </w:r>
      <w:proofErr w:type="gramStart"/>
      <w:r>
        <w:rPr>
          <w:color w:val="1C1C2D"/>
        </w:rPr>
        <w:t>open source</w:t>
      </w:r>
      <w:proofErr w:type="gramEnd"/>
      <w:r>
        <w:rPr>
          <w:color w:val="1C1C2D"/>
        </w:rPr>
        <w:t xml:space="preserve"> software. Its business model was built on proprietary enterprise software and the aggressive protection of intellectual property. The signals that emerged in the months after the acquisition were alarming:</w:t>
      </w:r>
    </w:p>
    <w:p w14:paraId="4860DC11" w14:textId="77777777" w:rsidR="004E1EB7" w:rsidRDefault="00000000">
      <w:pPr>
        <w:numPr>
          <w:ilvl w:val="2"/>
          <w:numId w:val="5"/>
        </w:numPr>
        <w:pBdr>
          <w:top w:val="nil"/>
          <w:left w:val="nil"/>
          <w:bottom w:val="nil"/>
          <w:right w:val="nil"/>
          <w:between w:val="nil"/>
        </w:pBdr>
        <w:tabs>
          <w:tab w:val="left" w:pos="949"/>
        </w:tabs>
        <w:spacing w:before="164" w:line="321" w:lineRule="auto"/>
        <w:ind w:right="401" w:firstLine="0"/>
        <w:jc w:val="both"/>
      </w:pPr>
      <w:r>
        <w:rPr>
          <w:color w:val="1C1C2D"/>
        </w:rPr>
        <w:t>Oracle retained the copyright assignment requirement — meaning contributors' code now legally belonged to a company with a far more aggressive IP posture than Sun.</w:t>
      </w:r>
    </w:p>
    <w:p w14:paraId="46E755D6" w14:textId="77777777" w:rsidR="004E1EB7" w:rsidRDefault="00000000">
      <w:pPr>
        <w:numPr>
          <w:ilvl w:val="2"/>
          <w:numId w:val="5"/>
        </w:numPr>
        <w:pBdr>
          <w:top w:val="nil"/>
          <w:left w:val="nil"/>
          <w:bottom w:val="nil"/>
          <w:right w:val="nil"/>
          <w:between w:val="nil"/>
        </w:pBdr>
        <w:tabs>
          <w:tab w:val="left" w:pos="950"/>
        </w:tabs>
        <w:spacing w:before="102" w:line="321" w:lineRule="auto"/>
        <w:ind w:right="401" w:firstLine="0"/>
        <w:jc w:val="both"/>
      </w:pPr>
      <w:r>
        <w:rPr>
          <w:color w:val="1C1C2D"/>
        </w:rPr>
        <w:t xml:space="preserve">Oracle launched Oracle Open Office, a commercial product built on the community's voluntary </w:t>
      </w:r>
      <w:proofErr w:type="spellStart"/>
      <w:r>
        <w:rPr>
          <w:color w:val="1C1C2D"/>
        </w:rPr>
        <w:t>labour</w:t>
      </w:r>
      <w:proofErr w:type="spellEnd"/>
      <w:r>
        <w:rPr>
          <w:color w:val="1C1C2D"/>
        </w:rPr>
        <w:t>, without offering the community meaningful governance in return.</w:t>
      </w:r>
    </w:p>
    <w:p w14:paraId="33D4CE88" w14:textId="77777777" w:rsidR="004E1EB7" w:rsidRDefault="00000000">
      <w:pPr>
        <w:numPr>
          <w:ilvl w:val="2"/>
          <w:numId w:val="5"/>
        </w:numPr>
        <w:pBdr>
          <w:top w:val="nil"/>
          <w:left w:val="nil"/>
          <w:bottom w:val="nil"/>
          <w:right w:val="nil"/>
          <w:between w:val="nil"/>
        </w:pBdr>
        <w:tabs>
          <w:tab w:val="left" w:pos="991"/>
        </w:tabs>
        <w:spacing w:before="102" w:line="321" w:lineRule="auto"/>
        <w:ind w:right="401" w:firstLine="0"/>
        <w:jc w:val="both"/>
      </w:pPr>
      <w:r>
        <w:rPr>
          <w:color w:val="1C1C2D"/>
        </w:rPr>
        <w:t>Communication between Oracle and the OpenOffice.org community deteriorated. Decisions were made internally without consultation or transparency.</w:t>
      </w:r>
    </w:p>
    <w:p w14:paraId="0603FE71" w14:textId="77777777" w:rsidR="004E1EB7" w:rsidRDefault="00000000">
      <w:pPr>
        <w:numPr>
          <w:ilvl w:val="2"/>
          <w:numId w:val="5"/>
        </w:numPr>
        <w:pBdr>
          <w:top w:val="nil"/>
          <w:left w:val="nil"/>
          <w:bottom w:val="nil"/>
          <w:right w:val="nil"/>
          <w:between w:val="nil"/>
        </w:pBdr>
        <w:tabs>
          <w:tab w:val="left" w:pos="966"/>
        </w:tabs>
        <w:spacing w:before="102" w:line="321" w:lineRule="auto"/>
        <w:ind w:right="401" w:firstLine="0"/>
        <w:jc w:val="both"/>
        <w:sectPr w:rsidR="004E1EB7">
          <w:pgSz w:w="11910" w:h="16840"/>
          <w:pgMar w:top="1460" w:right="1133" w:bottom="940" w:left="1133" w:header="0" w:footer="745" w:gutter="0"/>
          <w:cols w:space="720"/>
        </w:sectPr>
      </w:pPr>
      <w:r>
        <w:rPr>
          <w:color w:val="1C1C2D"/>
        </w:rPr>
        <w:t xml:space="preserve">Oracle sued Google over the use of Java in Android — a lawsuit that sent a clear signal: this was a company willing to </w:t>
      </w:r>
      <w:proofErr w:type="spellStart"/>
      <w:r>
        <w:rPr>
          <w:color w:val="1C1C2D"/>
        </w:rPr>
        <w:t>weaponise</w:t>
      </w:r>
      <w:proofErr w:type="spellEnd"/>
      <w:r>
        <w:rPr>
          <w:color w:val="1C1C2D"/>
        </w:rPr>
        <w:t xml:space="preserve"> the intellectual property rights it had acquired, regardless of community norms.</w:t>
      </w:r>
    </w:p>
    <w:p w14:paraId="6244F005" w14:textId="77777777" w:rsidR="004E1EB7" w:rsidRDefault="00000000">
      <w:pPr>
        <w:pBdr>
          <w:top w:val="nil"/>
          <w:left w:val="nil"/>
          <w:bottom w:val="nil"/>
          <w:right w:val="nil"/>
          <w:between w:val="nil"/>
        </w:pBdr>
        <w:spacing w:before="63" w:line="340" w:lineRule="auto"/>
        <w:ind w:left="404" w:right="401"/>
        <w:jc w:val="both"/>
        <w:rPr>
          <w:color w:val="000000"/>
        </w:rPr>
      </w:pPr>
      <w:r>
        <w:rPr>
          <w:color w:val="1C1C2D"/>
        </w:rPr>
        <w:lastRenderedPageBreak/>
        <w:t xml:space="preserve">The Java lawsuit deserves particular attention in this analysis. The contributors who had signed the JCA with Sun had, in effect, given joint copyright over their work to a company they trusted. Those rights had now been inherited by Oracle. The Java lawsuit demonstrated that Oracle was prepared to use acquired IP rights to attack developers building on open platforms — precisely the kind of </w:t>
      </w:r>
      <w:proofErr w:type="spellStart"/>
      <w:r>
        <w:rPr>
          <w:color w:val="1C1C2D"/>
        </w:rPr>
        <w:t>behaviour</w:t>
      </w:r>
      <w:proofErr w:type="spellEnd"/>
      <w:r>
        <w:rPr>
          <w:color w:val="1C1C2D"/>
        </w:rPr>
        <w:t xml:space="preserve"> the community feared could be applied to OpenOffice.org contributors.</w:t>
      </w:r>
    </w:p>
    <w:p w14:paraId="09B8C7C9" w14:textId="77777777" w:rsidR="004E1EB7" w:rsidRDefault="00000000">
      <w:pPr>
        <w:pBdr>
          <w:top w:val="nil"/>
          <w:left w:val="nil"/>
          <w:bottom w:val="nil"/>
          <w:right w:val="nil"/>
          <w:between w:val="nil"/>
        </w:pBdr>
        <w:spacing w:before="165" w:line="340" w:lineRule="auto"/>
        <w:ind w:left="404" w:right="401"/>
        <w:jc w:val="both"/>
        <w:rPr>
          <w:color w:val="000000"/>
        </w:rPr>
      </w:pPr>
      <w:r>
        <w:rPr>
          <w:color w:val="1C1C2D"/>
        </w:rPr>
        <w:t xml:space="preserve">The trigger, therefore, was not the copyright assignment clause itself — it was the </w:t>
      </w:r>
      <w:proofErr w:type="spellStart"/>
      <w:r>
        <w:rPr>
          <w:color w:val="1C1C2D"/>
        </w:rPr>
        <w:t>realisation</w:t>
      </w:r>
      <w:proofErr w:type="spellEnd"/>
      <w:r>
        <w:rPr>
          <w:color w:val="1C1C2D"/>
        </w:rPr>
        <w:t xml:space="preserve"> that the clause, combined with Oracle's known </w:t>
      </w:r>
      <w:proofErr w:type="spellStart"/>
      <w:r>
        <w:rPr>
          <w:color w:val="1C1C2D"/>
        </w:rPr>
        <w:t>behaviour</w:t>
      </w:r>
      <w:proofErr w:type="spellEnd"/>
      <w:r>
        <w:rPr>
          <w:color w:val="1C1C2D"/>
        </w:rPr>
        <w:t xml:space="preserve">, created a fundamentally different risk profile. Contributors who had signed away rights to Sun had not consented to giving those rights to Oracle. The acquisition had changed the terms of a bargain they could no longer </w:t>
      </w:r>
      <w:proofErr w:type="spellStart"/>
      <w:r>
        <w:rPr>
          <w:color w:val="1C1C2D"/>
        </w:rPr>
        <w:t>exit</w:t>
      </w:r>
      <w:proofErr w:type="spellEnd"/>
      <w:r>
        <w:rPr>
          <w:color w:val="1C1C2D"/>
        </w:rPr>
        <w:t xml:space="preserve"> without leaving the project.</w:t>
      </w:r>
    </w:p>
    <w:p w14:paraId="10D526F0" w14:textId="77777777" w:rsidR="004E1EB7" w:rsidRDefault="00000000">
      <w:pPr>
        <w:pBdr>
          <w:top w:val="nil"/>
          <w:left w:val="nil"/>
          <w:bottom w:val="nil"/>
          <w:right w:val="nil"/>
          <w:between w:val="nil"/>
        </w:pBdr>
        <w:spacing w:before="163" w:line="340" w:lineRule="auto"/>
        <w:ind w:left="404" w:right="401"/>
        <w:jc w:val="both"/>
        <w:rPr>
          <w:color w:val="000000"/>
        </w:rPr>
      </w:pPr>
      <w:r>
        <w:rPr>
          <w:color w:val="1C1C2D"/>
        </w:rPr>
        <w:t xml:space="preserve">This reveals something important about how trust functions in </w:t>
      </w:r>
      <w:proofErr w:type="gramStart"/>
      <w:r>
        <w:rPr>
          <w:color w:val="1C1C2D"/>
        </w:rPr>
        <w:t>open source</w:t>
      </w:r>
      <w:proofErr w:type="gramEnd"/>
      <w:r>
        <w:rPr>
          <w:color w:val="1C1C2D"/>
        </w:rPr>
        <w:t xml:space="preserve"> communities. Trust is not primarily a legal category — it is a relational one. Sun had earned a degree of community trust through years of engagement, even if imperfect. Oracle had not. When trust breaks, it does not matter how many legal assurances a company offers. The community's willingness to participate collapses regardless.</w:t>
      </w:r>
    </w:p>
    <w:p w14:paraId="5C439283" w14:textId="77777777" w:rsidR="004E1EB7" w:rsidRDefault="004E1EB7">
      <w:pPr>
        <w:pBdr>
          <w:top w:val="nil"/>
          <w:left w:val="nil"/>
          <w:bottom w:val="nil"/>
          <w:right w:val="nil"/>
          <w:between w:val="nil"/>
        </w:pBdr>
        <w:spacing w:before="34"/>
        <w:rPr>
          <w:color w:val="000000"/>
        </w:rPr>
      </w:pPr>
    </w:p>
    <w:p w14:paraId="275896D0" w14:textId="77777777" w:rsidR="004E1EB7" w:rsidRDefault="00000000">
      <w:pPr>
        <w:pStyle w:val="Heading2"/>
        <w:numPr>
          <w:ilvl w:val="1"/>
          <w:numId w:val="5"/>
        </w:numPr>
        <w:tabs>
          <w:tab w:val="left" w:pos="837"/>
        </w:tabs>
        <w:ind w:left="837" w:hanging="433"/>
      </w:pPr>
      <w:bookmarkStart w:id="4" w:name="_239oth6j6j3j" w:colFirst="0" w:colLast="0"/>
      <w:bookmarkEnd w:id="4"/>
      <w:r>
        <w:rPr>
          <w:color w:val="2B498C"/>
        </w:rPr>
        <w:t>Legal Openness vs. Practical Openness</w:t>
      </w:r>
    </w:p>
    <w:p w14:paraId="0C9E80A2" w14:textId="77777777" w:rsidR="004E1EB7" w:rsidRDefault="00000000">
      <w:pPr>
        <w:pBdr>
          <w:top w:val="nil"/>
          <w:left w:val="nil"/>
          <w:bottom w:val="nil"/>
          <w:right w:val="nil"/>
          <w:between w:val="nil"/>
        </w:pBdr>
        <w:spacing w:before="138" w:line="340" w:lineRule="auto"/>
        <w:ind w:left="404" w:right="401"/>
        <w:jc w:val="both"/>
        <w:rPr>
          <w:color w:val="000000"/>
        </w:rPr>
      </w:pPr>
      <w:r>
        <w:rPr>
          <w:color w:val="1C1C2D"/>
        </w:rPr>
        <w:t xml:space="preserve">The LibreOffice case is, among other things, a case study in the gap between what a </w:t>
      </w:r>
      <w:proofErr w:type="spellStart"/>
      <w:r>
        <w:rPr>
          <w:color w:val="1C1C2D"/>
        </w:rPr>
        <w:t>licence</w:t>
      </w:r>
      <w:proofErr w:type="spellEnd"/>
      <w:r>
        <w:rPr>
          <w:color w:val="1C1C2D"/>
        </w:rPr>
        <w:t xml:space="preserve"> promises and what a contributor can actually do. This distinction — between legal openness and practical openness — is one of the most important and least-discussed concepts in the </w:t>
      </w:r>
      <w:proofErr w:type="gramStart"/>
      <w:r>
        <w:rPr>
          <w:color w:val="1C1C2D"/>
        </w:rPr>
        <w:t>open source</w:t>
      </w:r>
      <w:proofErr w:type="gramEnd"/>
      <w:r>
        <w:rPr>
          <w:color w:val="1C1C2D"/>
        </w:rPr>
        <w:t xml:space="preserve"> world.</w:t>
      </w:r>
    </w:p>
    <w:p w14:paraId="37B97CE0" w14:textId="77777777" w:rsidR="004E1EB7" w:rsidRDefault="00000000">
      <w:pPr>
        <w:pBdr>
          <w:top w:val="nil"/>
          <w:left w:val="nil"/>
          <w:bottom w:val="nil"/>
          <w:right w:val="nil"/>
          <w:between w:val="nil"/>
        </w:pBdr>
        <w:spacing w:before="163" w:line="340" w:lineRule="auto"/>
        <w:ind w:left="404" w:right="401"/>
        <w:jc w:val="both"/>
        <w:rPr>
          <w:color w:val="000000"/>
        </w:rPr>
      </w:pPr>
      <w:r>
        <w:rPr>
          <w:color w:val="1C1C2D"/>
        </w:rPr>
        <w:t xml:space="preserve">OpenOffice.org was genuinely open source in the legal sense. Its code was released under the GNU Lesser General Public </w:t>
      </w:r>
      <w:proofErr w:type="spellStart"/>
      <w:r>
        <w:rPr>
          <w:color w:val="1C1C2D"/>
        </w:rPr>
        <w:t>Licence</w:t>
      </w:r>
      <w:proofErr w:type="spellEnd"/>
      <w:r>
        <w:rPr>
          <w:color w:val="1C1C2D"/>
        </w:rPr>
        <w:t xml:space="preserve"> (LGPL), one of the oldest and most respected </w:t>
      </w:r>
      <w:proofErr w:type="gramStart"/>
      <w:r>
        <w:rPr>
          <w:color w:val="1C1C2D"/>
        </w:rPr>
        <w:t>open source</w:t>
      </w:r>
      <w:proofErr w:type="gramEnd"/>
      <w:r>
        <w:rPr>
          <w:color w:val="1C1C2D"/>
        </w:rPr>
        <w:t xml:space="preserve"> </w:t>
      </w:r>
      <w:proofErr w:type="spellStart"/>
      <w:r>
        <w:rPr>
          <w:color w:val="1C1C2D"/>
        </w:rPr>
        <w:t>licences</w:t>
      </w:r>
      <w:proofErr w:type="spellEnd"/>
      <w:r>
        <w:rPr>
          <w:color w:val="1C1C2D"/>
        </w:rPr>
        <w:t>. Anyone could download the code, study it, modify it, and redistribute it. The four freedoms that Richard Stallman defined as the core of free software — use, study, modify, distribute — were all technically available to every OpenOffice.org contributor.</w:t>
      </w:r>
    </w:p>
    <w:p w14:paraId="61F875CA" w14:textId="77777777" w:rsidR="004E1EB7" w:rsidRDefault="00000000">
      <w:pPr>
        <w:pBdr>
          <w:top w:val="nil"/>
          <w:left w:val="nil"/>
          <w:bottom w:val="nil"/>
          <w:right w:val="nil"/>
          <w:between w:val="nil"/>
        </w:pBdr>
        <w:spacing w:before="165" w:line="340" w:lineRule="auto"/>
        <w:ind w:left="404" w:right="401"/>
        <w:jc w:val="both"/>
        <w:rPr>
          <w:color w:val="000000"/>
        </w:rPr>
      </w:pPr>
      <w:r>
        <w:rPr>
          <w:color w:val="1C1C2D"/>
        </w:rPr>
        <w:t>And yet, as the events of 2010 demonstrated, legal openness was not the same as practical freedom. Consider what the community actually faced when it became clear that Oracle could not be trusted:</w:t>
      </w:r>
    </w:p>
    <w:p w14:paraId="13CBAD1D" w14:textId="77777777" w:rsidR="004E1EB7" w:rsidRDefault="004E1EB7">
      <w:pPr>
        <w:pBdr>
          <w:top w:val="nil"/>
          <w:left w:val="nil"/>
          <w:bottom w:val="nil"/>
          <w:right w:val="nil"/>
          <w:between w:val="nil"/>
        </w:pBdr>
        <w:rPr>
          <w:color w:val="000000"/>
          <w:sz w:val="12"/>
          <w:szCs w:val="12"/>
        </w:rPr>
      </w:pPr>
    </w:p>
    <w:tbl>
      <w:tblPr>
        <w:tblStyle w:val="a"/>
        <w:tblW w:w="8504" w:type="dxa"/>
        <w:tblInd w:w="579" w:type="dxa"/>
        <w:tblBorders>
          <w:top w:val="single" w:sz="8" w:space="0" w:color="2B498C"/>
          <w:left w:val="single" w:sz="8" w:space="0" w:color="2B498C"/>
          <w:bottom w:val="single" w:sz="8" w:space="0" w:color="2B498C"/>
          <w:right w:val="single" w:sz="8" w:space="0" w:color="2B498C"/>
          <w:insideH w:val="single" w:sz="8" w:space="0" w:color="2B498C"/>
          <w:insideV w:val="single" w:sz="8" w:space="0" w:color="2B498C"/>
        </w:tblBorders>
        <w:tblLayout w:type="fixed"/>
        <w:tblLook w:val="0000" w:firstRow="0" w:lastRow="0" w:firstColumn="0" w:lastColumn="0" w:noHBand="0" w:noVBand="0"/>
      </w:tblPr>
      <w:tblGrid>
        <w:gridCol w:w="4252"/>
        <w:gridCol w:w="4252"/>
      </w:tblGrid>
      <w:tr w:rsidR="004E1EB7" w14:paraId="4094C797" w14:textId="77777777">
        <w:trPr>
          <w:trHeight w:val="603"/>
        </w:trPr>
        <w:tc>
          <w:tcPr>
            <w:tcW w:w="4252" w:type="dxa"/>
            <w:tcBorders>
              <w:top w:val="nil"/>
              <w:bottom w:val="single" w:sz="4" w:space="0" w:color="CCCCDD"/>
              <w:right w:val="single" w:sz="4" w:space="0" w:color="CCCCDD"/>
            </w:tcBorders>
            <w:shd w:val="clear" w:color="auto" w:fill="2B498C"/>
          </w:tcPr>
          <w:p w14:paraId="07BCE623" w14:textId="77777777" w:rsidR="004E1EB7" w:rsidRDefault="00000000">
            <w:pPr>
              <w:pBdr>
                <w:top w:val="nil"/>
                <w:left w:val="nil"/>
                <w:bottom w:val="nil"/>
                <w:right w:val="nil"/>
                <w:between w:val="nil"/>
              </w:pBdr>
              <w:spacing w:before="180"/>
              <w:ind w:left="768"/>
              <w:rPr>
                <w:b/>
                <w:bCs/>
                <w:color w:val="000000"/>
                <w:sz w:val="20"/>
                <w:szCs w:val="20"/>
              </w:rPr>
            </w:pPr>
            <w:r>
              <w:rPr>
                <w:b/>
                <w:bCs/>
                <w:color w:val="FFFFFF"/>
                <w:sz w:val="20"/>
                <w:szCs w:val="20"/>
              </w:rPr>
              <w:t xml:space="preserve">What the </w:t>
            </w:r>
            <w:proofErr w:type="spellStart"/>
            <w:r>
              <w:rPr>
                <w:b/>
                <w:bCs/>
                <w:color w:val="FFFFFF"/>
                <w:sz w:val="20"/>
                <w:szCs w:val="20"/>
              </w:rPr>
              <w:t>licence</w:t>
            </w:r>
            <w:proofErr w:type="spellEnd"/>
            <w:r>
              <w:rPr>
                <w:b/>
                <w:bCs/>
                <w:color w:val="FFFFFF"/>
                <w:sz w:val="20"/>
                <w:szCs w:val="20"/>
              </w:rPr>
              <w:t xml:space="preserve"> guaranteed</w:t>
            </w:r>
          </w:p>
        </w:tc>
        <w:tc>
          <w:tcPr>
            <w:tcW w:w="4252" w:type="dxa"/>
            <w:tcBorders>
              <w:top w:val="nil"/>
              <w:left w:val="single" w:sz="4" w:space="0" w:color="CCCCDD"/>
              <w:bottom w:val="single" w:sz="4" w:space="0" w:color="CCCCDD"/>
            </w:tcBorders>
            <w:shd w:val="clear" w:color="auto" w:fill="2B498C"/>
          </w:tcPr>
          <w:p w14:paraId="74D593D2" w14:textId="77777777" w:rsidR="004E1EB7" w:rsidRDefault="00000000">
            <w:pPr>
              <w:pBdr>
                <w:top w:val="nil"/>
                <w:left w:val="nil"/>
                <w:bottom w:val="nil"/>
                <w:right w:val="nil"/>
                <w:between w:val="nil"/>
              </w:pBdr>
              <w:spacing w:before="180"/>
              <w:ind w:left="945"/>
              <w:rPr>
                <w:b/>
                <w:bCs/>
                <w:color w:val="000000"/>
                <w:sz w:val="20"/>
                <w:szCs w:val="20"/>
              </w:rPr>
            </w:pPr>
            <w:r>
              <w:rPr>
                <w:b/>
                <w:bCs/>
                <w:color w:val="FFFFFF"/>
                <w:sz w:val="20"/>
                <w:szCs w:val="20"/>
              </w:rPr>
              <w:t>What the reality imposed</w:t>
            </w:r>
          </w:p>
        </w:tc>
      </w:tr>
      <w:tr w:rsidR="004E1EB7" w14:paraId="68721860" w14:textId="77777777">
        <w:trPr>
          <w:trHeight w:val="870"/>
        </w:trPr>
        <w:tc>
          <w:tcPr>
            <w:tcW w:w="4252" w:type="dxa"/>
            <w:tcBorders>
              <w:top w:val="single" w:sz="4" w:space="0" w:color="CCCCDD"/>
              <w:bottom w:val="single" w:sz="4" w:space="0" w:color="CCCCDD"/>
              <w:right w:val="single" w:sz="4" w:space="0" w:color="CCCCDD"/>
            </w:tcBorders>
          </w:tcPr>
          <w:p w14:paraId="26B9BFB4" w14:textId="77777777" w:rsidR="004E1EB7" w:rsidRDefault="00000000">
            <w:pPr>
              <w:pBdr>
                <w:top w:val="nil"/>
                <w:left w:val="nil"/>
                <w:bottom w:val="nil"/>
                <w:right w:val="nil"/>
                <w:between w:val="nil"/>
              </w:pBdr>
              <w:spacing w:before="167"/>
              <w:ind w:left="198"/>
              <w:rPr>
                <w:color w:val="000000"/>
                <w:sz w:val="20"/>
                <w:szCs w:val="20"/>
              </w:rPr>
            </w:pPr>
            <w:r>
              <w:rPr>
                <w:color w:val="1C1C2D"/>
                <w:sz w:val="20"/>
                <w:szCs w:val="20"/>
              </w:rPr>
              <w:t>Freedom to copy and redistribute</w:t>
            </w:r>
          </w:p>
        </w:tc>
        <w:tc>
          <w:tcPr>
            <w:tcW w:w="4252" w:type="dxa"/>
            <w:tcBorders>
              <w:top w:val="single" w:sz="4" w:space="0" w:color="CCCCDD"/>
              <w:left w:val="single" w:sz="4" w:space="0" w:color="CCCCDD"/>
              <w:bottom w:val="single" w:sz="4" w:space="0" w:color="CCCCDD"/>
            </w:tcBorders>
          </w:tcPr>
          <w:p w14:paraId="3EFC19AF" w14:textId="77777777" w:rsidR="004E1EB7" w:rsidRDefault="00000000">
            <w:pPr>
              <w:pBdr>
                <w:top w:val="nil"/>
                <w:left w:val="nil"/>
                <w:bottom w:val="nil"/>
                <w:right w:val="nil"/>
                <w:between w:val="nil"/>
              </w:pBdr>
              <w:spacing w:before="167" w:line="291" w:lineRule="auto"/>
              <w:ind w:left="202" w:right="622"/>
              <w:rPr>
                <w:color w:val="000000"/>
                <w:sz w:val="20"/>
                <w:szCs w:val="20"/>
              </w:rPr>
            </w:pPr>
            <w:r>
              <w:rPr>
                <w:color w:val="1C1C2D"/>
                <w:sz w:val="20"/>
                <w:szCs w:val="20"/>
              </w:rPr>
              <w:t>Copying meant building from scratch, losing brand recognition and user trust</w:t>
            </w:r>
          </w:p>
        </w:tc>
      </w:tr>
    </w:tbl>
    <w:p w14:paraId="7C1E17DA" w14:textId="77777777" w:rsidR="004E1EB7" w:rsidRDefault="004E1EB7">
      <w:pPr>
        <w:pBdr>
          <w:top w:val="nil"/>
          <w:left w:val="nil"/>
          <w:bottom w:val="nil"/>
          <w:right w:val="nil"/>
          <w:between w:val="nil"/>
        </w:pBdr>
        <w:spacing w:before="167" w:line="291" w:lineRule="auto"/>
        <w:ind w:left="163"/>
        <w:rPr>
          <w:color w:val="000000"/>
          <w:sz w:val="20"/>
          <w:szCs w:val="20"/>
        </w:rPr>
        <w:sectPr w:rsidR="004E1EB7">
          <w:pgSz w:w="11910" w:h="16840"/>
          <w:pgMar w:top="1640" w:right="1133" w:bottom="940" w:left="1133" w:header="0" w:footer="745" w:gutter="0"/>
          <w:cols w:space="720"/>
        </w:sectPr>
      </w:pPr>
    </w:p>
    <w:p w14:paraId="29860580" w14:textId="77777777" w:rsidR="004E1EB7" w:rsidRDefault="004E1EB7">
      <w:pPr>
        <w:pBdr>
          <w:top w:val="nil"/>
          <w:left w:val="nil"/>
          <w:bottom w:val="nil"/>
          <w:right w:val="nil"/>
          <w:between w:val="nil"/>
        </w:pBdr>
        <w:spacing w:line="276" w:lineRule="auto"/>
        <w:rPr>
          <w:color w:val="000000"/>
          <w:sz w:val="20"/>
          <w:szCs w:val="20"/>
        </w:rPr>
      </w:pPr>
    </w:p>
    <w:tbl>
      <w:tblPr>
        <w:tblStyle w:val="a0"/>
        <w:tblW w:w="8504" w:type="dxa"/>
        <w:tblInd w:w="579" w:type="dxa"/>
        <w:tblBorders>
          <w:top w:val="single" w:sz="4" w:space="0" w:color="CCCCDD"/>
          <w:left w:val="single" w:sz="4" w:space="0" w:color="CCCCDD"/>
          <w:bottom w:val="single" w:sz="4" w:space="0" w:color="CCCCDD"/>
          <w:right w:val="single" w:sz="4" w:space="0" w:color="CCCCDD"/>
          <w:insideH w:val="single" w:sz="4" w:space="0" w:color="CCCCDD"/>
          <w:insideV w:val="single" w:sz="4" w:space="0" w:color="CCCCDD"/>
        </w:tblBorders>
        <w:tblLayout w:type="fixed"/>
        <w:tblLook w:val="0000" w:firstRow="0" w:lastRow="0" w:firstColumn="0" w:lastColumn="0" w:noHBand="0" w:noVBand="0"/>
      </w:tblPr>
      <w:tblGrid>
        <w:gridCol w:w="4252"/>
        <w:gridCol w:w="4252"/>
      </w:tblGrid>
      <w:tr w:rsidR="004E1EB7" w14:paraId="2F8FB30D" w14:textId="77777777">
        <w:trPr>
          <w:trHeight w:val="1150"/>
        </w:trPr>
        <w:tc>
          <w:tcPr>
            <w:tcW w:w="4252" w:type="dxa"/>
            <w:tcBorders>
              <w:left w:val="single" w:sz="8" w:space="0" w:color="2B498C"/>
            </w:tcBorders>
          </w:tcPr>
          <w:p w14:paraId="158DCA5B" w14:textId="77777777" w:rsidR="004E1EB7" w:rsidRDefault="00000000">
            <w:pPr>
              <w:pBdr>
                <w:top w:val="nil"/>
                <w:left w:val="nil"/>
                <w:bottom w:val="nil"/>
                <w:right w:val="nil"/>
                <w:between w:val="nil"/>
              </w:pBdr>
              <w:spacing w:before="167"/>
              <w:ind w:left="198"/>
              <w:rPr>
                <w:color w:val="000000"/>
                <w:sz w:val="20"/>
                <w:szCs w:val="20"/>
              </w:rPr>
            </w:pPr>
            <w:r>
              <w:rPr>
                <w:color w:val="1C1C2D"/>
                <w:sz w:val="20"/>
                <w:szCs w:val="20"/>
              </w:rPr>
              <w:lastRenderedPageBreak/>
              <w:t>Freedom to modify the code</w:t>
            </w:r>
          </w:p>
        </w:tc>
        <w:tc>
          <w:tcPr>
            <w:tcW w:w="4252" w:type="dxa"/>
            <w:tcBorders>
              <w:right w:val="single" w:sz="8" w:space="0" w:color="2B498C"/>
            </w:tcBorders>
          </w:tcPr>
          <w:p w14:paraId="7B98CA24" w14:textId="77777777" w:rsidR="004E1EB7" w:rsidRDefault="00000000">
            <w:pPr>
              <w:pBdr>
                <w:top w:val="nil"/>
                <w:left w:val="nil"/>
                <w:bottom w:val="nil"/>
                <w:right w:val="nil"/>
                <w:between w:val="nil"/>
              </w:pBdr>
              <w:spacing w:before="167" w:line="291" w:lineRule="auto"/>
              <w:ind w:left="202"/>
              <w:rPr>
                <w:color w:val="000000"/>
                <w:sz w:val="20"/>
                <w:szCs w:val="20"/>
              </w:rPr>
            </w:pPr>
            <w:r>
              <w:rPr>
                <w:color w:val="1C1C2D"/>
                <w:sz w:val="20"/>
                <w:szCs w:val="20"/>
              </w:rPr>
              <w:t>Modifying without Oracle's infrastructure meant rebuilding CI, release pipelines, translation infrastructure</w:t>
            </w:r>
          </w:p>
        </w:tc>
      </w:tr>
      <w:tr w:rsidR="004E1EB7" w14:paraId="2BCE3327" w14:textId="77777777">
        <w:trPr>
          <w:trHeight w:val="1150"/>
        </w:trPr>
        <w:tc>
          <w:tcPr>
            <w:tcW w:w="4252" w:type="dxa"/>
            <w:tcBorders>
              <w:left w:val="single" w:sz="8" w:space="0" w:color="2B498C"/>
            </w:tcBorders>
            <w:shd w:val="clear" w:color="auto" w:fill="F4F6FB"/>
          </w:tcPr>
          <w:p w14:paraId="36D4C9D2" w14:textId="77777777" w:rsidR="004E1EB7" w:rsidRDefault="00000000">
            <w:pPr>
              <w:pBdr>
                <w:top w:val="nil"/>
                <w:left w:val="nil"/>
                <w:bottom w:val="nil"/>
                <w:right w:val="nil"/>
                <w:between w:val="nil"/>
              </w:pBdr>
              <w:spacing w:before="167"/>
              <w:ind w:left="198"/>
              <w:rPr>
                <w:color w:val="000000"/>
                <w:sz w:val="20"/>
                <w:szCs w:val="20"/>
              </w:rPr>
            </w:pPr>
            <w:r>
              <w:rPr>
                <w:color w:val="1C1C2D"/>
                <w:sz w:val="20"/>
                <w:szCs w:val="20"/>
              </w:rPr>
              <w:t>Freedom to fork</w:t>
            </w:r>
          </w:p>
        </w:tc>
        <w:tc>
          <w:tcPr>
            <w:tcW w:w="4252" w:type="dxa"/>
            <w:tcBorders>
              <w:right w:val="single" w:sz="8" w:space="0" w:color="2B498C"/>
            </w:tcBorders>
            <w:shd w:val="clear" w:color="auto" w:fill="F4F6FB"/>
          </w:tcPr>
          <w:p w14:paraId="1C4F5DCD" w14:textId="77777777" w:rsidR="004E1EB7" w:rsidRDefault="00000000">
            <w:pPr>
              <w:pBdr>
                <w:top w:val="nil"/>
                <w:left w:val="nil"/>
                <w:bottom w:val="nil"/>
                <w:right w:val="nil"/>
                <w:between w:val="nil"/>
              </w:pBdr>
              <w:spacing w:before="167" w:line="291" w:lineRule="auto"/>
              <w:ind w:left="202" w:right="186"/>
              <w:rPr>
                <w:color w:val="000000"/>
                <w:sz w:val="20"/>
                <w:szCs w:val="20"/>
              </w:rPr>
            </w:pPr>
            <w:r>
              <w:rPr>
                <w:color w:val="1C1C2D"/>
                <w:sz w:val="20"/>
                <w:szCs w:val="20"/>
              </w:rPr>
              <w:t>Forking meant fragmenting the community, confusing millions of users, and years of lost momentum</w:t>
            </w:r>
          </w:p>
        </w:tc>
      </w:tr>
      <w:tr w:rsidR="004E1EB7" w14:paraId="03B3977C" w14:textId="77777777">
        <w:trPr>
          <w:trHeight w:val="1145"/>
        </w:trPr>
        <w:tc>
          <w:tcPr>
            <w:tcW w:w="4252" w:type="dxa"/>
            <w:tcBorders>
              <w:left w:val="single" w:sz="8" w:space="0" w:color="2B498C"/>
              <w:bottom w:val="single" w:sz="8" w:space="0" w:color="2B498C"/>
            </w:tcBorders>
          </w:tcPr>
          <w:p w14:paraId="208D230E" w14:textId="77777777" w:rsidR="004E1EB7" w:rsidRDefault="00000000">
            <w:pPr>
              <w:pBdr>
                <w:top w:val="nil"/>
                <w:left w:val="nil"/>
                <w:bottom w:val="nil"/>
                <w:right w:val="nil"/>
                <w:between w:val="nil"/>
              </w:pBdr>
              <w:spacing w:before="167"/>
              <w:ind w:left="198"/>
              <w:rPr>
                <w:color w:val="000000"/>
                <w:sz w:val="20"/>
                <w:szCs w:val="20"/>
              </w:rPr>
            </w:pPr>
            <w:r>
              <w:rPr>
                <w:color w:val="1C1C2D"/>
                <w:sz w:val="20"/>
                <w:szCs w:val="20"/>
              </w:rPr>
              <w:t>Volunteer contributions welcome</w:t>
            </w:r>
          </w:p>
        </w:tc>
        <w:tc>
          <w:tcPr>
            <w:tcW w:w="4252" w:type="dxa"/>
            <w:tcBorders>
              <w:bottom w:val="single" w:sz="8" w:space="0" w:color="2B498C"/>
              <w:right w:val="single" w:sz="8" w:space="0" w:color="2B498C"/>
            </w:tcBorders>
          </w:tcPr>
          <w:p w14:paraId="6186994A" w14:textId="77777777" w:rsidR="004E1EB7" w:rsidRDefault="00000000">
            <w:pPr>
              <w:pBdr>
                <w:top w:val="nil"/>
                <w:left w:val="nil"/>
                <w:bottom w:val="nil"/>
                <w:right w:val="nil"/>
                <w:between w:val="nil"/>
              </w:pBdr>
              <w:spacing w:before="167" w:line="291" w:lineRule="auto"/>
              <w:ind w:left="202"/>
              <w:rPr>
                <w:color w:val="000000"/>
                <w:sz w:val="20"/>
                <w:szCs w:val="20"/>
              </w:rPr>
            </w:pPr>
            <w:r>
              <w:rPr>
                <w:color w:val="1C1C2D"/>
                <w:sz w:val="20"/>
                <w:szCs w:val="20"/>
              </w:rPr>
              <w:t>Contributions required signing copyright to Oracle — which most contributors found unacceptable</w:t>
            </w:r>
          </w:p>
        </w:tc>
      </w:tr>
    </w:tbl>
    <w:p w14:paraId="1BC71D3B" w14:textId="77777777" w:rsidR="004E1EB7" w:rsidRDefault="00000000">
      <w:pPr>
        <w:pBdr>
          <w:top w:val="nil"/>
          <w:left w:val="nil"/>
          <w:bottom w:val="nil"/>
          <w:right w:val="nil"/>
          <w:between w:val="nil"/>
        </w:pBdr>
        <w:spacing w:before="245" w:line="340" w:lineRule="auto"/>
        <w:ind w:left="404" w:right="401"/>
        <w:jc w:val="both"/>
        <w:rPr>
          <w:color w:val="000000"/>
        </w:rPr>
      </w:pPr>
      <w:r>
        <w:rPr>
          <w:color w:val="1C1C2D"/>
        </w:rPr>
        <w:t xml:space="preserve">Eric S. Raymond, in his influential essay 'The Cathedral and the Bazaar', argues that </w:t>
      </w:r>
      <w:proofErr w:type="gramStart"/>
      <w:r>
        <w:rPr>
          <w:color w:val="1C1C2D"/>
        </w:rPr>
        <w:t>open source</w:t>
      </w:r>
      <w:proofErr w:type="gramEnd"/>
      <w:r>
        <w:rPr>
          <w:color w:val="1C1C2D"/>
        </w:rPr>
        <w:t xml:space="preserve"> development works because it harnesses the self-interest and voluntary commitment of a wide contributor base. What he does not fully address is the question of what happens when the governance structure of a project is fundamentally misaligned with the interests of the contributors who sustain it.</w:t>
      </w:r>
    </w:p>
    <w:p w14:paraId="40B92837" w14:textId="77777777" w:rsidR="004E1EB7" w:rsidRDefault="00000000">
      <w:pPr>
        <w:pBdr>
          <w:top w:val="nil"/>
          <w:left w:val="nil"/>
          <w:bottom w:val="nil"/>
          <w:right w:val="nil"/>
          <w:between w:val="nil"/>
        </w:pBdr>
        <w:spacing w:before="163" w:line="340" w:lineRule="auto"/>
        <w:ind w:left="404" w:right="401"/>
        <w:jc w:val="both"/>
        <w:rPr>
          <w:color w:val="000000"/>
        </w:rPr>
      </w:pPr>
      <w:r>
        <w:rPr>
          <w:color w:val="1C1C2D"/>
        </w:rPr>
        <w:t xml:space="preserve">The LibreOffice story provides the answer: contributors leave, and they take the project's vitality with them. Legal openness without governance openness creates what we might call a freedom trap — the community has the right to leave, but leaving costs so much that the right is difficult to exercise. The OpenOffice.org contributors who eventually formed The Document Foundation had to abandon years of accumulated infrastructure, relationships, and brand equity to exercise a freedom that the </w:t>
      </w:r>
      <w:proofErr w:type="spellStart"/>
      <w:r>
        <w:rPr>
          <w:color w:val="1C1C2D"/>
        </w:rPr>
        <w:t>licence</w:t>
      </w:r>
      <w:proofErr w:type="spellEnd"/>
      <w:r>
        <w:rPr>
          <w:color w:val="1C1C2D"/>
        </w:rPr>
        <w:t xml:space="preserve"> had technically guaranteed them all along.</w:t>
      </w:r>
    </w:p>
    <w:p w14:paraId="1A48A046" w14:textId="77777777" w:rsidR="004E1EB7" w:rsidRDefault="00000000">
      <w:pPr>
        <w:pBdr>
          <w:top w:val="nil"/>
          <w:left w:val="nil"/>
          <w:bottom w:val="nil"/>
          <w:right w:val="nil"/>
          <w:between w:val="nil"/>
        </w:pBdr>
        <w:spacing w:before="166" w:line="340" w:lineRule="auto"/>
        <w:ind w:left="404" w:right="401"/>
        <w:jc w:val="both"/>
        <w:rPr>
          <w:color w:val="000000"/>
        </w:rPr>
      </w:pPr>
      <w:r>
        <w:rPr>
          <w:color w:val="1C1C2D"/>
        </w:rPr>
        <w:t xml:space="preserve">This insight has implications far beyond the specific case. Any </w:t>
      </w:r>
      <w:proofErr w:type="gramStart"/>
      <w:r>
        <w:rPr>
          <w:color w:val="1C1C2D"/>
        </w:rPr>
        <w:t>open source</w:t>
      </w:r>
      <w:proofErr w:type="gramEnd"/>
      <w:r>
        <w:rPr>
          <w:color w:val="1C1C2D"/>
        </w:rPr>
        <w:t xml:space="preserve"> project that separates licensing freedom from governance freedom is creating a structure in which contributors are free in theory but constrained in practice. The community can always fork</w:t>
      </w:r>
    </w:p>
    <w:p w14:paraId="6F394C2F" w14:textId="77777777" w:rsidR="004E1EB7" w:rsidRDefault="00000000">
      <w:pPr>
        <w:pBdr>
          <w:top w:val="nil"/>
          <w:left w:val="nil"/>
          <w:bottom w:val="nil"/>
          <w:right w:val="nil"/>
          <w:between w:val="nil"/>
        </w:pBdr>
        <w:spacing w:before="2"/>
        <w:ind w:left="404"/>
        <w:jc w:val="both"/>
        <w:rPr>
          <w:color w:val="000000"/>
        </w:rPr>
        <w:sectPr w:rsidR="004E1EB7">
          <w:type w:val="continuous"/>
          <w:pgSz w:w="11910" w:h="16840"/>
          <w:pgMar w:top="1500" w:right="1133" w:bottom="940" w:left="1133" w:header="0" w:footer="745" w:gutter="0"/>
          <w:cols w:space="720"/>
        </w:sectPr>
      </w:pPr>
      <w:r>
        <w:rPr>
          <w:color w:val="1C1C2D"/>
        </w:rPr>
        <w:t>— but forking is not free.</w:t>
      </w:r>
    </w:p>
    <w:p w14:paraId="042C8E1B" w14:textId="77777777" w:rsidR="004E1EB7" w:rsidRDefault="00000000">
      <w:pPr>
        <w:spacing w:before="70"/>
        <w:ind w:left="404"/>
        <w:rPr>
          <w:b/>
          <w:bCs/>
          <w:sz w:val="18"/>
          <w:szCs w:val="18"/>
        </w:rPr>
      </w:pPr>
      <w:r>
        <w:rPr>
          <w:b/>
          <w:bCs/>
          <w:color w:val="3A6BBF"/>
          <w:sz w:val="18"/>
          <w:szCs w:val="18"/>
        </w:rPr>
        <w:lastRenderedPageBreak/>
        <w:t>SECTION B</w:t>
      </w:r>
    </w:p>
    <w:p w14:paraId="3C544BFE" w14:textId="77777777" w:rsidR="004E1EB7" w:rsidRDefault="004E1EB7">
      <w:pPr>
        <w:pBdr>
          <w:top w:val="nil"/>
          <w:left w:val="nil"/>
          <w:bottom w:val="nil"/>
          <w:right w:val="nil"/>
          <w:between w:val="nil"/>
        </w:pBdr>
        <w:spacing w:before="197"/>
        <w:rPr>
          <w:b/>
          <w:bCs/>
          <w:color w:val="000000"/>
          <w:sz w:val="18"/>
          <w:szCs w:val="18"/>
        </w:rPr>
      </w:pPr>
    </w:p>
    <w:p w14:paraId="08F4333B" w14:textId="77777777" w:rsidR="004E1EB7" w:rsidRDefault="00000000">
      <w:pPr>
        <w:pStyle w:val="Heading1"/>
        <w:ind w:firstLine="404"/>
      </w:pPr>
      <w:bookmarkStart w:id="5" w:name="_eb4gleo4aems" w:colFirst="0" w:colLast="0"/>
      <w:bookmarkEnd w:id="5"/>
      <w:r>
        <w:rPr>
          <w:color w:val="1A233F"/>
        </w:rPr>
        <w:t>The Ethics of Corporate Control</w:t>
      </w:r>
    </w:p>
    <w:p w14:paraId="1B5E1DC0" w14:textId="77777777" w:rsidR="004E1EB7" w:rsidRDefault="00000000">
      <w:pPr>
        <w:pBdr>
          <w:top w:val="nil"/>
          <w:left w:val="nil"/>
          <w:bottom w:val="nil"/>
          <w:right w:val="nil"/>
          <w:between w:val="nil"/>
        </w:pBdr>
        <w:spacing w:before="2"/>
        <w:rPr>
          <w:b/>
          <w:bCs/>
          <w:color w:val="000000"/>
          <w:sz w:val="14"/>
          <w:szCs w:val="14"/>
        </w:rPr>
      </w:pPr>
      <w:r>
        <w:rPr>
          <w:noProof/>
        </w:rPr>
        <mc:AlternateContent>
          <mc:Choice Requires="wpg">
            <w:drawing>
              <wp:anchor distT="0" distB="0" distL="0" distR="0" simplePos="0" relativeHeight="251668480" behindDoc="0" locked="0" layoutInCell="1" hidden="0" allowOverlap="1" wp14:anchorId="345789DF" wp14:editId="1D50F360">
                <wp:simplePos x="0" y="0"/>
                <wp:positionH relativeFrom="column">
                  <wp:posOffset>256745</wp:posOffset>
                </wp:positionH>
                <wp:positionV relativeFrom="paragraph">
                  <wp:posOffset>111511</wp:posOffset>
                </wp:positionV>
                <wp:extent cx="5607685" cy="15225"/>
                <wp:effectExtent l="0" t="0" r="0" b="0"/>
                <wp:wrapTopAndBottom distT="0" distB="0"/>
                <wp:docPr id="19" name="Freeform: Shape 19"/>
                <wp:cNvGraphicFramePr/>
                <a:graphic xmlns:a="http://schemas.openxmlformats.org/drawingml/2006/main">
                  <a:graphicData uri="http://schemas.microsoft.com/office/word/2010/wordprocessingShape">
                    <wps:wsp>
                      <wps:cNvSpPr/>
                      <wps:spPr>
                        <a:xfrm>
                          <a:off x="2542158" y="3779365"/>
                          <a:ext cx="5607685" cy="1270"/>
                        </a:xfrm>
                        <a:custGeom>
                          <a:avLst/>
                          <a:gdLst/>
                          <a:ahLst/>
                          <a:cxnLst/>
                          <a:rect l="l" t="t" r="r" b="b"/>
                          <a:pathLst>
                            <a:path w="5607685" h="120000" extrusionOk="0">
                              <a:moveTo>
                                <a:pt x="0" y="0"/>
                              </a:moveTo>
                              <a:lnTo>
                                <a:pt x="5607599" y="0"/>
                              </a:lnTo>
                            </a:path>
                          </a:pathLst>
                        </a:custGeom>
                        <a:noFill/>
                        <a:ln w="15225" cap="flat" cmpd="sng">
                          <a:solidFill>
                            <a:srgbClr val="2B498C"/>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256745</wp:posOffset>
                </wp:positionH>
                <wp:positionV relativeFrom="paragraph">
                  <wp:posOffset>111511</wp:posOffset>
                </wp:positionV>
                <wp:extent cx="5607685" cy="15225"/>
                <wp:effectExtent b="0" l="0" r="0" t="0"/>
                <wp:wrapTopAndBottom distB="0" distT="0"/>
                <wp:docPr id="19"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5607685" cy="15225"/>
                        </a:xfrm>
                        <a:prstGeom prst="rect"/>
                        <a:ln/>
                      </pic:spPr>
                    </pic:pic>
                  </a:graphicData>
                </a:graphic>
              </wp:anchor>
            </w:drawing>
          </mc:Fallback>
        </mc:AlternateContent>
      </w:r>
    </w:p>
    <w:p w14:paraId="04A814E3" w14:textId="77777777" w:rsidR="004E1EB7" w:rsidRDefault="00000000">
      <w:pPr>
        <w:pBdr>
          <w:top w:val="nil"/>
          <w:left w:val="nil"/>
          <w:bottom w:val="nil"/>
          <w:right w:val="nil"/>
          <w:between w:val="nil"/>
        </w:pBdr>
        <w:spacing w:before="121" w:line="340" w:lineRule="auto"/>
        <w:ind w:left="404" w:right="401"/>
        <w:jc w:val="both"/>
        <w:rPr>
          <w:color w:val="000000"/>
        </w:rPr>
      </w:pPr>
      <w:r>
        <w:rPr>
          <w:color w:val="1C1C2D"/>
        </w:rPr>
        <w:t xml:space="preserve">This section takes up the central ethical question of the case: when a corporation invests in building and maintaining an </w:t>
      </w:r>
      <w:proofErr w:type="gramStart"/>
      <w:r>
        <w:rPr>
          <w:color w:val="1C1C2D"/>
        </w:rPr>
        <w:t>open source</w:t>
      </w:r>
      <w:proofErr w:type="gramEnd"/>
      <w:r>
        <w:rPr>
          <w:color w:val="1C1C2D"/>
        </w:rPr>
        <w:t xml:space="preserve"> project, does it have the right to exercise the kind of control that Sun and later Oracle exercised over OpenOffice.org? I will argue that while corporate investment does generate legitimate interests in a project, those interests do not extend to the governance authority that Sun and Oracle claimed — and that the copyright assignment clause, in particular, was ethically unjustifiable as applied to Oracle.</w:t>
      </w:r>
    </w:p>
    <w:p w14:paraId="3F35FC8A" w14:textId="77777777" w:rsidR="004E1EB7" w:rsidRDefault="004E1EB7">
      <w:pPr>
        <w:pBdr>
          <w:top w:val="nil"/>
          <w:left w:val="nil"/>
          <w:bottom w:val="nil"/>
          <w:right w:val="nil"/>
          <w:between w:val="nil"/>
        </w:pBdr>
        <w:spacing w:before="34"/>
        <w:rPr>
          <w:color w:val="000000"/>
        </w:rPr>
      </w:pPr>
    </w:p>
    <w:p w14:paraId="15261D31" w14:textId="77777777" w:rsidR="004E1EB7" w:rsidRDefault="00000000">
      <w:pPr>
        <w:pStyle w:val="Heading2"/>
        <w:numPr>
          <w:ilvl w:val="1"/>
          <w:numId w:val="4"/>
        </w:numPr>
        <w:tabs>
          <w:tab w:val="left" w:pos="837"/>
        </w:tabs>
        <w:ind w:left="837" w:hanging="433"/>
      </w:pPr>
      <w:bookmarkStart w:id="6" w:name="_pdoqoh7x6myn" w:colFirst="0" w:colLast="0"/>
      <w:bookmarkEnd w:id="6"/>
      <w:r>
        <w:rPr>
          <w:color w:val="2B498C"/>
        </w:rPr>
        <w:t>The Case for Corporate Authority</w:t>
      </w:r>
    </w:p>
    <w:p w14:paraId="723A9938" w14:textId="77777777" w:rsidR="004E1EB7" w:rsidRDefault="00000000">
      <w:pPr>
        <w:pBdr>
          <w:top w:val="nil"/>
          <w:left w:val="nil"/>
          <w:bottom w:val="nil"/>
          <w:right w:val="nil"/>
          <w:between w:val="nil"/>
        </w:pBdr>
        <w:spacing w:before="139" w:line="340" w:lineRule="auto"/>
        <w:ind w:left="404" w:right="401"/>
        <w:jc w:val="both"/>
        <w:rPr>
          <w:color w:val="000000"/>
        </w:rPr>
      </w:pPr>
      <w:r>
        <w:rPr>
          <w:color w:val="1C1C2D"/>
        </w:rPr>
        <w:t xml:space="preserve">Let me begin with the strongest version of the argument in </w:t>
      </w:r>
      <w:proofErr w:type="spellStart"/>
      <w:r>
        <w:rPr>
          <w:color w:val="1C1C2D"/>
        </w:rPr>
        <w:t>favour</w:t>
      </w:r>
      <w:proofErr w:type="spellEnd"/>
      <w:r>
        <w:rPr>
          <w:color w:val="1C1C2D"/>
        </w:rPr>
        <w:t xml:space="preserve"> of corporate control, because it deserves to be taken seriously rather than dismissed.</w:t>
      </w:r>
    </w:p>
    <w:p w14:paraId="4D14F0EE" w14:textId="77777777" w:rsidR="004E1EB7" w:rsidRDefault="00000000">
      <w:pPr>
        <w:pBdr>
          <w:top w:val="nil"/>
          <w:left w:val="nil"/>
          <w:bottom w:val="nil"/>
          <w:right w:val="nil"/>
          <w:between w:val="nil"/>
        </w:pBdr>
        <w:spacing w:before="162" w:line="340" w:lineRule="auto"/>
        <w:ind w:left="404" w:right="401"/>
        <w:jc w:val="both"/>
        <w:rPr>
          <w:color w:val="000000"/>
        </w:rPr>
      </w:pPr>
      <w:r>
        <w:rPr>
          <w:color w:val="1C1C2D"/>
        </w:rPr>
        <w:t xml:space="preserve">When Sun Microsystems open-sourced </w:t>
      </w:r>
      <w:proofErr w:type="spellStart"/>
      <w:r>
        <w:rPr>
          <w:color w:val="1C1C2D"/>
        </w:rPr>
        <w:t>StarOffice</w:t>
      </w:r>
      <w:proofErr w:type="spellEnd"/>
      <w:r>
        <w:rPr>
          <w:color w:val="1C1C2D"/>
        </w:rPr>
        <w:t xml:space="preserve"> in 1999, it did not do so at zero cost. Sun employed a substantial team of full-time developers who worked on OpenOffice.org. It maintained the legal infrastructure required to manage an </w:t>
      </w:r>
      <w:proofErr w:type="gramStart"/>
      <w:r>
        <w:rPr>
          <w:color w:val="1C1C2D"/>
        </w:rPr>
        <w:t>open source</w:t>
      </w:r>
      <w:proofErr w:type="gramEnd"/>
      <w:r>
        <w:rPr>
          <w:color w:val="1C1C2D"/>
        </w:rPr>
        <w:t xml:space="preserve"> project of that scale</w:t>
      </w:r>
    </w:p>
    <w:p w14:paraId="376BB068" w14:textId="77777777" w:rsidR="004E1EB7" w:rsidRDefault="00000000">
      <w:pPr>
        <w:pBdr>
          <w:top w:val="nil"/>
          <w:left w:val="nil"/>
          <w:bottom w:val="nil"/>
          <w:right w:val="nil"/>
          <w:between w:val="nil"/>
        </w:pBdr>
        <w:spacing w:before="2" w:line="340" w:lineRule="auto"/>
        <w:ind w:left="404" w:right="401"/>
        <w:jc w:val="both"/>
        <w:rPr>
          <w:color w:val="000000"/>
        </w:rPr>
      </w:pPr>
      <w:r>
        <w:rPr>
          <w:color w:val="1C1C2D"/>
        </w:rPr>
        <w:t xml:space="preserve">— including the copyright assignment process, which, whatever its disadvantages, did provide a single entity capable of defending the project against intellectual property attacks. It provided servers, build infrastructure, and </w:t>
      </w:r>
      <w:proofErr w:type="spellStart"/>
      <w:r>
        <w:rPr>
          <w:color w:val="1C1C2D"/>
        </w:rPr>
        <w:t>organisational</w:t>
      </w:r>
      <w:proofErr w:type="spellEnd"/>
      <w:r>
        <w:rPr>
          <w:color w:val="1C1C2D"/>
        </w:rPr>
        <w:t xml:space="preserve"> coordination that volunteer communities frequently struggle to sustain independently.</w:t>
      </w:r>
    </w:p>
    <w:p w14:paraId="395B465F" w14:textId="77777777" w:rsidR="004E1EB7" w:rsidRDefault="00000000">
      <w:pPr>
        <w:pBdr>
          <w:top w:val="nil"/>
          <w:left w:val="nil"/>
          <w:bottom w:val="nil"/>
          <w:right w:val="nil"/>
          <w:between w:val="nil"/>
        </w:pBdr>
        <w:spacing w:before="163" w:line="340" w:lineRule="auto"/>
        <w:ind w:left="404" w:right="401"/>
        <w:jc w:val="both"/>
        <w:rPr>
          <w:color w:val="000000"/>
        </w:rPr>
      </w:pPr>
      <w:r>
        <w:rPr>
          <w:color w:val="1C1C2D"/>
        </w:rPr>
        <w:t>The argument from investment runs roughly as follows: a corporation that funds the infrastructure of a project has legitimate interests in how that project is governed. If contributors can override corporate decisions at any moment, the corporation has no reliable way to protect its investment or ensure that the project aligns with its strategic interests. The copyright assignment clause can be understood as a reasonable mechanism for ensuring that the corporation retains the legal authority necessary to protect and manage what it has invested in building.</w:t>
      </w:r>
    </w:p>
    <w:p w14:paraId="7DA77403" w14:textId="77777777" w:rsidR="004E1EB7" w:rsidRDefault="00000000">
      <w:pPr>
        <w:pBdr>
          <w:top w:val="nil"/>
          <w:left w:val="nil"/>
          <w:bottom w:val="nil"/>
          <w:right w:val="nil"/>
          <w:between w:val="nil"/>
        </w:pBdr>
        <w:spacing w:before="165" w:line="340" w:lineRule="auto"/>
        <w:ind w:left="404" w:right="401"/>
        <w:jc w:val="both"/>
        <w:rPr>
          <w:color w:val="000000"/>
        </w:rPr>
        <w:sectPr w:rsidR="004E1EB7">
          <w:pgSz w:w="11910" w:h="16840"/>
          <w:pgMar w:top="1460" w:right="1133" w:bottom="940" w:left="1133" w:header="0" w:footer="745" w:gutter="0"/>
          <w:cols w:space="720"/>
        </w:sectPr>
      </w:pPr>
      <w:r>
        <w:rPr>
          <w:color w:val="1C1C2D"/>
        </w:rPr>
        <w:t xml:space="preserve">This argument has some force. </w:t>
      </w:r>
      <w:proofErr w:type="gramStart"/>
      <w:r>
        <w:rPr>
          <w:color w:val="1C1C2D"/>
        </w:rPr>
        <w:t>Open source</w:t>
      </w:r>
      <w:proofErr w:type="gramEnd"/>
      <w:r>
        <w:rPr>
          <w:color w:val="1C1C2D"/>
        </w:rPr>
        <w:t xml:space="preserve"> projects do require infrastructure. Someone has to pay for servers, legal counsel, and coordination. Companies that provide these things cannot reasonably be expected to do so with no governance rights whatsoever. The alternative — a purely volunteer-governed project with no corporate backing — works for some projects (Linux, Python) but has historically struggled to sustain the kind of large, professional-grade software that competes with commercial products.</w:t>
      </w:r>
    </w:p>
    <w:p w14:paraId="1C1A9E90" w14:textId="77777777" w:rsidR="004E1EB7" w:rsidRDefault="00000000">
      <w:pPr>
        <w:pBdr>
          <w:top w:val="nil"/>
          <w:left w:val="nil"/>
          <w:bottom w:val="nil"/>
          <w:right w:val="nil"/>
          <w:between w:val="nil"/>
        </w:pBdr>
        <w:ind w:left="836"/>
        <w:rPr>
          <w:color w:val="000000"/>
          <w:sz w:val="20"/>
          <w:szCs w:val="20"/>
        </w:rPr>
      </w:pPr>
      <w:r>
        <w:rPr>
          <w:noProof/>
          <w:color w:val="000000"/>
          <w:sz w:val="20"/>
          <w:szCs w:val="20"/>
        </w:rPr>
        <w:lastRenderedPageBreak/>
        <mc:AlternateContent>
          <mc:Choice Requires="wps">
            <w:drawing>
              <wp:inline distT="0" distB="0" distL="0" distR="0" wp14:anchorId="459568AA" wp14:editId="0FDD23D8">
                <wp:extent cx="5059045" cy="1060450"/>
                <wp:effectExtent l="0" t="0" r="0" b="0"/>
                <wp:docPr id="1" name="Rectangle 1"/>
                <wp:cNvGraphicFramePr/>
                <a:graphic xmlns:a="http://schemas.openxmlformats.org/drawingml/2006/main">
                  <a:graphicData uri="http://schemas.microsoft.com/office/word/2010/wordprocessingShape">
                    <wps:wsp>
                      <wps:cNvSpPr/>
                      <wps:spPr>
                        <a:xfrm>
                          <a:off x="2826003" y="3259300"/>
                          <a:ext cx="5039995" cy="1041400"/>
                        </a:xfrm>
                        <a:prstGeom prst="rect">
                          <a:avLst/>
                        </a:prstGeom>
                        <a:solidFill>
                          <a:srgbClr val="DBE8F4"/>
                        </a:solidFill>
                        <a:ln w="19050" cap="flat" cmpd="sng">
                          <a:solidFill>
                            <a:srgbClr val="3A6BBF"/>
                          </a:solidFill>
                          <a:prstDash val="solid"/>
                          <a:round/>
                          <a:headEnd type="none" w="sm" len="sm"/>
                          <a:tailEnd type="none" w="sm" len="sm"/>
                        </a:ln>
                      </wps:spPr>
                      <wps:txbx>
                        <w:txbxContent>
                          <w:p w14:paraId="37D5B777" w14:textId="77777777" w:rsidR="004E1EB7" w:rsidRDefault="004E1EB7">
                            <w:pPr>
                              <w:spacing w:before="3"/>
                              <w:textDirection w:val="btLr"/>
                            </w:pPr>
                          </w:p>
                          <w:p w14:paraId="1CEC20EE" w14:textId="77777777" w:rsidR="004E1EB7" w:rsidRDefault="00000000">
                            <w:pPr>
                              <w:spacing w:before="1" w:line="311" w:lineRule="auto"/>
                              <w:ind w:left="362" w:right="360" w:firstLine="362"/>
                              <w:jc w:val="center"/>
                              <w:textDirection w:val="btLr"/>
                            </w:pPr>
                            <w:r>
                              <w:rPr>
                                <w:b/>
                                <w:i/>
                                <w:color w:val="1A233F"/>
                                <w:sz w:val="24"/>
                              </w:rPr>
                              <w:t>Corporate investment does generate legitimate interests. The question is whether those interests justify the specific form of control that Sun and Oracle claimed.</w:t>
                            </w:r>
                          </w:p>
                        </w:txbxContent>
                      </wps:txbx>
                      <wps:bodyPr spcFirstLastPara="1" wrap="square" lIns="0" tIns="0" rIns="0" bIns="0" anchor="t" anchorCtr="0">
                        <a:noAutofit/>
                      </wps:bodyPr>
                    </wps:wsp>
                  </a:graphicData>
                </a:graphic>
              </wp:inline>
            </w:drawing>
          </mc:Choice>
          <mc:Fallback>
            <w:pict>
              <v:rect w14:anchorId="459568AA" id="Rectangle 1" o:spid="_x0000_s1029" style="width:398.35pt;height: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" fillcolor="#dbe8f4" strokecolor="#3a6bbf" strokeweight="1.5pt">
                <v:stroke startarrowwidth="narrow" startarrowlength="short" endarrowwidth="narrow" endarrowlength="short" joinstyle="round"/>
                <v:textbox inset="0,0,0,0">
                  <w:txbxContent>
                    <w:p w14:paraId="37D5B777" w14:textId="77777777" w:rsidR="004E1EB7" w:rsidRDefault="004E1EB7">
                      <w:pPr>
                        <w:spacing w:before="3"/>
                        <w:textDirection w:val="btLr"/>
                      </w:pPr>
                    </w:p>
                    <w:p w14:paraId="1CEC20EE" w14:textId="77777777" w:rsidR="004E1EB7" w:rsidRDefault="00000000">
                      <w:pPr>
                        <w:spacing w:before="1" w:line="311" w:lineRule="auto"/>
                        <w:ind w:left="362" w:right="360" w:firstLine="362"/>
                        <w:jc w:val="center"/>
                        <w:textDirection w:val="btLr"/>
                      </w:pPr>
                      <w:r>
                        <w:rPr>
                          <w:b/>
                          <w:i/>
                          <w:color w:val="1A233F"/>
                          <w:sz w:val="24"/>
                        </w:rPr>
                        <w:t>Corporate investment does generate legitimate interests. The question is whether those interests justify the specific form of control that Sun and Oracle claimed.</w:t>
                      </w:r>
                    </w:p>
                  </w:txbxContent>
                </v:textbox>
                <w10:anchorlock/>
              </v:rect>
            </w:pict>
          </mc:Fallback>
        </mc:AlternateContent>
      </w:r>
    </w:p>
    <w:p w14:paraId="4441BD60" w14:textId="77777777" w:rsidR="004E1EB7" w:rsidRDefault="00000000">
      <w:pPr>
        <w:pStyle w:val="Heading2"/>
        <w:numPr>
          <w:ilvl w:val="1"/>
          <w:numId w:val="4"/>
        </w:numPr>
        <w:tabs>
          <w:tab w:val="left" w:pos="837"/>
        </w:tabs>
        <w:spacing w:before="240"/>
        <w:ind w:left="837" w:hanging="433"/>
      </w:pPr>
      <w:bookmarkStart w:id="7" w:name="_4ix6rjryyqw6" w:colFirst="0" w:colLast="0"/>
      <w:bookmarkEnd w:id="7"/>
      <w:r>
        <w:rPr>
          <w:color w:val="2B498C"/>
        </w:rPr>
        <w:t>The Case Against: Open Source as Commons</w:t>
      </w:r>
    </w:p>
    <w:p w14:paraId="290AD528" w14:textId="77777777" w:rsidR="004E1EB7" w:rsidRDefault="00000000">
      <w:pPr>
        <w:pBdr>
          <w:top w:val="nil"/>
          <w:left w:val="nil"/>
          <w:bottom w:val="nil"/>
          <w:right w:val="nil"/>
          <w:between w:val="nil"/>
        </w:pBdr>
        <w:spacing w:before="139" w:line="340" w:lineRule="auto"/>
        <w:ind w:left="404" w:right="401"/>
        <w:jc w:val="both"/>
        <w:rPr>
          <w:color w:val="000000"/>
        </w:rPr>
      </w:pPr>
      <w:r>
        <w:rPr>
          <w:color w:val="1C1C2D"/>
        </w:rPr>
        <w:t xml:space="preserve">Despite the force of the investment argument, I believe it fails to justify the degree of control that Sun exercised, and fails completely to justify Oracle's position. The reason is that open source communities are not merely </w:t>
      </w:r>
      <w:proofErr w:type="spellStart"/>
      <w:r>
        <w:rPr>
          <w:color w:val="1C1C2D"/>
        </w:rPr>
        <w:t>labour</w:t>
      </w:r>
      <w:proofErr w:type="spellEnd"/>
      <w:r>
        <w:rPr>
          <w:color w:val="1C1C2D"/>
        </w:rPr>
        <w:t xml:space="preserve"> markets where contributors exchange code for experience. They are, in a meaningful sense, commons — shared resources built by communities for collective benefit.</w:t>
      </w:r>
    </w:p>
    <w:p w14:paraId="1FA02BBC" w14:textId="77777777" w:rsidR="004E1EB7" w:rsidRDefault="00000000">
      <w:pPr>
        <w:pBdr>
          <w:top w:val="nil"/>
          <w:left w:val="nil"/>
          <w:bottom w:val="nil"/>
          <w:right w:val="nil"/>
          <w:between w:val="nil"/>
        </w:pBdr>
        <w:spacing w:before="164" w:line="340" w:lineRule="auto"/>
        <w:ind w:left="404" w:right="401"/>
        <w:jc w:val="both"/>
        <w:rPr>
          <w:color w:val="000000"/>
        </w:rPr>
      </w:pPr>
      <w:r>
        <w:rPr>
          <w:color w:val="1C1C2D"/>
        </w:rPr>
        <w:t xml:space="preserve">The economic concept of the commons, developed by Elinor Ostrom and others, describes resources that are collectively produced and collectively governed. Ostrom's research demonstrated that communities can govern commons sustainably — but only when they have genuine authority over the rules that govern the commons. A </w:t>
      </w:r>
      <w:proofErr w:type="gramStart"/>
      <w:r>
        <w:rPr>
          <w:color w:val="1C1C2D"/>
        </w:rPr>
        <w:t>commons</w:t>
      </w:r>
      <w:proofErr w:type="gramEnd"/>
      <w:r>
        <w:rPr>
          <w:color w:val="1C1C2D"/>
        </w:rPr>
        <w:t xml:space="preserve"> controlled by an external party who did not participate in its creation is not a </w:t>
      </w:r>
      <w:proofErr w:type="gramStart"/>
      <w:r>
        <w:rPr>
          <w:color w:val="1C1C2D"/>
        </w:rPr>
        <w:t>commons</w:t>
      </w:r>
      <w:proofErr w:type="gramEnd"/>
      <w:r>
        <w:rPr>
          <w:color w:val="1C1C2D"/>
        </w:rPr>
        <w:t xml:space="preserve"> at all; it is a form of enclosure.</w:t>
      </w:r>
    </w:p>
    <w:p w14:paraId="5EBA9AB8" w14:textId="77777777" w:rsidR="004E1EB7" w:rsidRDefault="00000000">
      <w:pPr>
        <w:pBdr>
          <w:top w:val="nil"/>
          <w:left w:val="nil"/>
          <w:bottom w:val="nil"/>
          <w:right w:val="nil"/>
          <w:between w:val="nil"/>
        </w:pBdr>
        <w:spacing w:before="164" w:line="340" w:lineRule="auto"/>
        <w:ind w:left="404" w:right="401"/>
        <w:jc w:val="both"/>
        <w:rPr>
          <w:color w:val="000000"/>
        </w:rPr>
      </w:pPr>
      <w:r>
        <w:rPr>
          <w:color w:val="1C1C2D"/>
        </w:rPr>
        <w:t xml:space="preserve">OpenOffice.org was, by the mid-2000s, largely built by volunteers who received no compensation for their work. The copyright assignment clause meant that the fruits of their collective </w:t>
      </w:r>
      <w:proofErr w:type="spellStart"/>
      <w:r>
        <w:rPr>
          <w:color w:val="1C1C2D"/>
        </w:rPr>
        <w:t>labour</w:t>
      </w:r>
      <w:proofErr w:type="spellEnd"/>
      <w:r>
        <w:rPr>
          <w:color w:val="1C1C2D"/>
        </w:rPr>
        <w:t xml:space="preserve"> were legally owned by Sun. Sun could, at any moment, have decided to </w:t>
      </w:r>
      <w:proofErr w:type="spellStart"/>
      <w:r>
        <w:rPr>
          <w:color w:val="1C1C2D"/>
        </w:rPr>
        <w:t>relicence</w:t>
      </w:r>
      <w:proofErr w:type="spellEnd"/>
      <w:r>
        <w:rPr>
          <w:color w:val="1C1C2D"/>
        </w:rPr>
        <w:t xml:space="preserve"> the codebase, to stop distributing it freely, or to use it as leverage in ways the community had never agreed to. The community had built a </w:t>
      </w:r>
      <w:proofErr w:type="gramStart"/>
      <w:r>
        <w:rPr>
          <w:color w:val="1C1C2D"/>
        </w:rPr>
        <w:t>commons</w:t>
      </w:r>
      <w:proofErr w:type="gramEnd"/>
      <w:r>
        <w:rPr>
          <w:color w:val="1C1C2D"/>
        </w:rPr>
        <w:t>; Sun had enclosed it.</w:t>
      </w:r>
    </w:p>
    <w:p w14:paraId="37CE735D" w14:textId="77777777" w:rsidR="004E1EB7" w:rsidRDefault="00000000">
      <w:pPr>
        <w:pBdr>
          <w:top w:val="nil"/>
          <w:left w:val="nil"/>
          <w:bottom w:val="nil"/>
          <w:right w:val="nil"/>
          <w:between w:val="nil"/>
        </w:pBdr>
        <w:spacing w:before="165" w:line="340" w:lineRule="auto"/>
        <w:ind w:left="404" w:right="401"/>
        <w:jc w:val="both"/>
        <w:rPr>
          <w:color w:val="000000"/>
        </w:rPr>
      </w:pPr>
      <w:r>
        <w:rPr>
          <w:color w:val="1C1C2D"/>
        </w:rPr>
        <w:t xml:space="preserve">This analysis suggests a principled distinction: corporations that contribute to </w:t>
      </w:r>
      <w:proofErr w:type="gramStart"/>
      <w:r>
        <w:rPr>
          <w:color w:val="1C1C2D"/>
        </w:rPr>
        <w:t>open source</w:t>
      </w:r>
      <w:proofErr w:type="gramEnd"/>
      <w:r>
        <w:rPr>
          <w:color w:val="1C1C2D"/>
        </w:rPr>
        <w:t xml:space="preserve"> projects have legitimate interests proportional to their actual contribution. They do not have a legitimate claim to governance authority over contributions they did not make. Sun employed developers who wrote code; those developers' contributions belong to Sun. Volunteer developers wrote code on their own time; those contributions belong to those developers. The copyright assignment clause collapsed this distinction by transferring all contributions — including those made by unpaid volunteers — to the corporation.</w:t>
      </w:r>
    </w:p>
    <w:p w14:paraId="062C8D8E" w14:textId="77777777" w:rsidR="004E1EB7" w:rsidRDefault="004E1EB7">
      <w:pPr>
        <w:pBdr>
          <w:top w:val="nil"/>
          <w:left w:val="nil"/>
          <w:bottom w:val="nil"/>
          <w:right w:val="nil"/>
          <w:between w:val="nil"/>
        </w:pBdr>
        <w:spacing w:before="35"/>
        <w:rPr>
          <w:color w:val="000000"/>
        </w:rPr>
      </w:pPr>
    </w:p>
    <w:p w14:paraId="763F4119" w14:textId="77777777" w:rsidR="004E1EB7" w:rsidRDefault="00000000">
      <w:pPr>
        <w:pStyle w:val="Heading2"/>
        <w:numPr>
          <w:ilvl w:val="1"/>
          <w:numId w:val="4"/>
        </w:numPr>
        <w:tabs>
          <w:tab w:val="left" w:pos="837"/>
        </w:tabs>
        <w:ind w:left="837" w:hanging="433"/>
      </w:pPr>
      <w:r>
        <w:rPr>
          <w:color w:val="2B498C"/>
        </w:rPr>
        <w:t>The Copyright Assignment Clause — Sun vs. Oracle</w:t>
      </w:r>
    </w:p>
    <w:p w14:paraId="73B144FB" w14:textId="77777777" w:rsidR="004E1EB7" w:rsidRDefault="00000000">
      <w:pPr>
        <w:pBdr>
          <w:top w:val="nil"/>
          <w:left w:val="nil"/>
          <w:bottom w:val="nil"/>
          <w:right w:val="nil"/>
          <w:between w:val="nil"/>
        </w:pBdr>
        <w:spacing w:before="138" w:line="340" w:lineRule="auto"/>
        <w:ind w:left="404" w:right="401"/>
        <w:jc w:val="both"/>
        <w:rPr>
          <w:color w:val="000000"/>
        </w:rPr>
        <w:sectPr w:rsidR="004E1EB7">
          <w:pgSz w:w="11910" w:h="16840"/>
          <w:pgMar w:top="1520" w:right="1133" w:bottom="940" w:left="1133" w:header="0" w:footer="745" w:gutter="0"/>
          <w:cols w:space="720"/>
        </w:sectPr>
      </w:pPr>
      <w:r>
        <w:rPr>
          <w:color w:val="1C1C2D"/>
        </w:rPr>
        <w:t>Was it ethical for Sun to require the copyright assignment clause? I will argue that it was problematic but defensible under Sun — and becomes clearly indefensible when applied to Oracle. The distinction hinges on the concept of informed consent and the legitimate expectations of contributors.</w:t>
      </w:r>
    </w:p>
    <w:p w14:paraId="72B03669" w14:textId="77777777" w:rsidR="004E1EB7" w:rsidRDefault="00000000">
      <w:pPr>
        <w:pBdr>
          <w:top w:val="nil"/>
          <w:left w:val="nil"/>
          <w:bottom w:val="nil"/>
          <w:right w:val="nil"/>
          <w:between w:val="nil"/>
        </w:pBdr>
        <w:spacing w:before="73" w:line="340" w:lineRule="auto"/>
        <w:ind w:left="404" w:right="401"/>
        <w:jc w:val="both"/>
        <w:rPr>
          <w:color w:val="000000"/>
        </w:rPr>
      </w:pPr>
      <w:r>
        <w:rPr>
          <w:color w:val="1C1C2D"/>
        </w:rPr>
        <w:lastRenderedPageBreak/>
        <w:t>Under Sun, contributors knew what they were agreeing to. Sun was the founding entity of OpenOffice.org, had initiated and funded the project, and had made its intentions reasonably transparent. Contributors who signed the JCA were doing so with a reasonable understanding of how Sun would use the rights transferred. Sun's track record — whatever its limitations — was one of relatively benevolent stewardship. The copyright assignment was uncomfortable, but it was at least a deal struck with a known counterparty.</w:t>
      </w:r>
    </w:p>
    <w:p w14:paraId="6D244344" w14:textId="77777777" w:rsidR="004E1EB7" w:rsidRDefault="00000000">
      <w:pPr>
        <w:pBdr>
          <w:top w:val="nil"/>
          <w:left w:val="nil"/>
          <w:bottom w:val="nil"/>
          <w:right w:val="nil"/>
          <w:between w:val="nil"/>
        </w:pBdr>
        <w:spacing w:before="164"/>
        <w:ind w:left="404"/>
        <w:jc w:val="both"/>
        <w:rPr>
          <w:color w:val="000000"/>
        </w:rPr>
      </w:pPr>
      <w:r>
        <w:rPr>
          <w:color w:val="1C1C2D"/>
        </w:rPr>
        <w:t>The Oracle situation is fundamentally different for three reasons:</w:t>
      </w:r>
    </w:p>
    <w:p w14:paraId="233581EA" w14:textId="77777777" w:rsidR="004E1EB7" w:rsidRDefault="004E1EB7">
      <w:pPr>
        <w:pBdr>
          <w:top w:val="nil"/>
          <w:left w:val="nil"/>
          <w:bottom w:val="nil"/>
          <w:right w:val="nil"/>
          <w:between w:val="nil"/>
        </w:pBdr>
        <w:spacing w:before="14"/>
        <w:rPr>
          <w:color w:val="000000"/>
        </w:rPr>
      </w:pPr>
    </w:p>
    <w:p w14:paraId="56C5AB5F" w14:textId="77777777" w:rsidR="004E1EB7" w:rsidRDefault="00000000">
      <w:pPr>
        <w:pBdr>
          <w:top w:val="nil"/>
          <w:left w:val="nil"/>
          <w:bottom w:val="nil"/>
          <w:right w:val="nil"/>
          <w:between w:val="nil"/>
        </w:pBdr>
        <w:spacing w:before="1" w:line="340" w:lineRule="auto"/>
        <w:ind w:left="404" w:right="401"/>
        <w:jc w:val="both"/>
        <w:rPr>
          <w:color w:val="000000"/>
        </w:rPr>
      </w:pPr>
      <w:r>
        <w:rPr>
          <w:b/>
          <w:bCs/>
          <w:color w:val="1C1C2D"/>
        </w:rPr>
        <w:t xml:space="preserve">Involuntary transfer of rights. </w:t>
      </w:r>
      <w:r>
        <w:rPr>
          <w:color w:val="1C1C2D"/>
        </w:rPr>
        <w:t>Contributors who signed the JCA with Sun did not consent to their rights being transferred to Oracle. Corporate acquisitions transfer assets, but the consent that underlies a legal agreement cannot be so easily transferred. A contributor who trusted Sun enough to sign over copyright had not thereby consented to giving that copyright to any company that might acquire Sun in the future. The JCA had become, in effect, a blank cheque to whoever owned Sun.</w:t>
      </w:r>
    </w:p>
    <w:p w14:paraId="784C52A5" w14:textId="77777777" w:rsidR="004E1EB7" w:rsidRDefault="00000000">
      <w:pPr>
        <w:pBdr>
          <w:top w:val="nil"/>
          <w:left w:val="nil"/>
          <w:bottom w:val="nil"/>
          <w:right w:val="nil"/>
          <w:between w:val="nil"/>
        </w:pBdr>
        <w:spacing w:before="221" w:line="340" w:lineRule="auto"/>
        <w:ind w:left="404" w:right="401"/>
        <w:jc w:val="both"/>
        <w:rPr>
          <w:color w:val="000000"/>
        </w:rPr>
      </w:pPr>
      <w:r>
        <w:rPr>
          <w:b/>
          <w:bCs/>
          <w:color w:val="1C1C2D"/>
        </w:rPr>
        <w:t xml:space="preserve">Changed risk profile. </w:t>
      </w:r>
      <w:r>
        <w:rPr>
          <w:color w:val="1C1C2D"/>
        </w:rPr>
        <w:t xml:space="preserve">Oracle's known </w:t>
      </w:r>
      <w:proofErr w:type="spellStart"/>
      <w:r>
        <w:rPr>
          <w:color w:val="1C1C2D"/>
        </w:rPr>
        <w:t>behaviour</w:t>
      </w:r>
      <w:proofErr w:type="spellEnd"/>
      <w:r>
        <w:rPr>
          <w:color w:val="1C1C2D"/>
        </w:rPr>
        <w:t xml:space="preserve"> — particularly the Java lawsuit against Google — demonstrated that it was willing to use acquired intellectual property aggressively. The risk profile of holding a JCA with Oracle was categorically different from the risk of holding one with Sun. Contributors had agreed to terms with a specific counterparty under a specific risk environment. Both had changed without their consent.</w:t>
      </w:r>
    </w:p>
    <w:p w14:paraId="230B7CCE" w14:textId="77777777" w:rsidR="004E1EB7" w:rsidRDefault="00000000">
      <w:pPr>
        <w:pBdr>
          <w:top w:val="nil"/>
          <w:left w:val="nil"/>
          <w:bottom w:val="nil"/>
          <w:right w:val="nil"/>
          <w:between w:val="nil"/>
        </w:pBdr>
        <w:spacing w:before="220" w:line="340" w:lineRule="auto"/>
        <w:ind w:left="404" w:right="401"/>
        <w:jc w:val="both"/>
        <w:rPr>
          <w:color w:val="000000"/>
        </w:rPr>
      </w:pPr>
      <w:r>
        <w:rPr>
          <w:b/>
          <w:bCs/>
          <w:color w:val="1C1C2D"/>
        </w:rPr>
        <w:t xml:space="preserve">Commercial exploitation without governance. </w:t>
      </w:r>
      <w:r>
        <w:rPr>
          <w:color w:val="1C1C2D"/>
        </w:rPr>
        <w:t xml:space="preserve">Oracle's launch of Oracle Open Office — a commercial product built on community contributions — without offering any governance rights to the community represents a form of appropriation. The community contributed; Oracle profited. This is not inherently wrong — companies are entitled to build commercial products on </w:t>
      </w:r>
      <w:proofErr w:type="gramStart"/>
      <w:r>
        <w:rPr>
          <w:color w:val="1C1C2D"/>
        </w:rPr>
        <w:t>open source</w:t>
      </w:r>
      <w:proofErr w:type="gramEnd"/>
      <w:r>
        <w:rPr>
          <w:color w:val="1C1C2D"/>
        </w:rPr>
        <w:t xml:space="preserve"> software. But the combination of commercial exploitation with governance exclusion, in a context where contributors had been required to transfer copyright, crosses an ethical line.</w:t>
      </w:r>
    </w:p>
    <w:p w14:paraId="0ABF9DDE" w14:textId="77777777" w:rsidR="004E1EB7" w:rsidRDefault="00000000">
      <w:pPr>
        <w:pBdr>
          <w:top w:val="nil"/>
          <w:left w:val="nil"/>
          <w:bottom w:val="nil"/>
          <w:right w:val="nil"/>
          <w:between w:val="nil"/>
        </w:pBdr>
        <w:spacing w:before="222" w:line="340" w:lineRule="auto"/>
        <w:ind w:left="404" w:right="401"/>
        <w:jc w:val="both"/>
        <w:rPr>
          <w:color w:val="000000"/>
        </w:rPr>
      </w:pPr>
      <w:r>
        <w:rPr>
          <w:color w:val="1C1C2D"/>
        </w:rPr>
        <w:t xml:space="preserve">My conclusion is that the copyright assignment clause was ethically questionable even under Sun, but remained within a defensible range given Sun's genuine investment and relatively transparent stewardship. Under Oracle, the same clause became clearly indefensible because contributors had not consented to the transfer of their rights to that specific entity, and Oracle's </w:t>
      </w:r>
      <w:proofErr w:type="spellStart"/>
      <w:r>
        <w:rPr>
          <w:color w:val="1C1C2D"/>
        </w:rPr>
        <w:t>behaviour</w:t>
      </w:r>
      <w:proofErr w:type="spellEnd"/>
      <w:r>
        <w:rPr>
          <w:color w:val="1C1C2D"/>
        </w:rPr>
        <w:t xml:space="preserve"> gave them no reasonable basis for trust.</w:t>
      </w:r>
    </w:p>
    <w:p w14:paraId="7417F582" w14:textId="77777777" w:rsidR="004E1EB7" w:rsidRDefault="004E1EB7">
      <w:pPr>
        <w:pBdr>
          <w:top w:val="nil"/>
          <w:left w:val="nil"/>
          <w:bottom w:val="nil"/>
          <w:right w:val="nil"/>
          <w:between w:val="nil"/>
        </w:pBdr>
        <w:spacing w:before="34"/>
        <w:rPr>
          <w:color w:val="000000"/>
        </w:rPr>
      </w:pPr>
    </w:p>
    <w:p w14:paraId="56326E57" w14:textId="77777777" w:rsidR="004E1EB7" w:rsidRDefault="00000000">
      <w:pPr>
        <w:pStyle w:val="Heading2"/>
        <w:numPr>
          <w:ilvl w:val="1"/>
          <w:numId w:val="4"/>
        </w:numPr>
        <w:tabs>
          <w:tab w:val="left" w:pos="837"/>
        </w:tabs>
        <w:ind w:left="837" w:hanging="433"/>
      </w:pPr>
      <w:r>
        <w:rPr>
          <w:color w:val="2B498C"/>
        </w:rPr>
        <w:t>Stewardship vs. Ownership: Is There a Meaningful Distinction?</w:t>
      </w:r>
    </w:p>
    <w:p w14:paraId="67BFF205" w14:textId="77777777" w:rsidR="004E1EB7" w:rsidRDefault="00000000">
      <w:pPr>
        <w:pBdr>
          <w:top w:val="nil"/>
          <w:left w:val="nil"/>
          <w:bottom w:val="nil"/>
          <w:right w:val="nil"/>
          <w:between w:val="nil"/>
        </w:pBdr>
        <w:spacing w:before="138" w:line="340" w:lineRule="auto"/>
        <w:ind w:left="404" w:right="401"/>
        <w:jc w:val="both"/>
        <w:rPr>
          <w:color w:val="000000"/>
        </w:rPr>
        <w:sectPr w:rsidR="004E1EB7">
          <w:pgSz w:w="11910" w:h="16840"/>
          <w:pgMar w:top="1460" w:right="1133" w:bottom="940" w:left="1133" w:header="0" w:footer="745" w:gutter="0"/>
          <w:cols w:space="720"/>
        </w:sectPr>
      </w:pPr>
      <w:r>
        <w:rPr>
          <w:color w:val="1C1C2D"/>
        </w:rPr>
        <w:t xml:space="preserve">The LibreOffice story forces us to ask whether there is a meaningful and sustainable distinction between a corporation that stewards an </w:t>
      </w:r>
      <w:proofErr w:type="gramStart"/>
      <w:r>
        <w:rPr>
          <w:color w:val="1C1C2D"/>
        </w:rPr>
        <w:t>open source</w:t>
      </w:r>
      <w:proofErr w:type="gramEnd"/>
      <w:r>
        <w:rPr>
          <w:color w:val="1C1C2D"/>
        </w:rPr>
        <w:t xml:space="preserve"> project and one that owns it. I believe there is — but it requires active, structural commitment, not merely good</w:t>
      </w:r>
    </w:p>
    <w:p w14:paraId="49B491AB" w14:textId="77777777" w:rsidR="004E1EB7" w:rsidRDefault="00000000">
      <w:pPr>
        <w:pBdr>
          <w:top w:val="nil"/>
          <w:left w:val="nil"/>
          <w:bottom w:val="nil"/>
          <w:right w:val="nil"/>
          <w:between w:val="nil"/>
        </w:pBdr>
        <w:spacing w:before="73"/>
        <w:ind w:left="404"/>
        <w:rPr>
          <w:color w:val="000000"/>
        </w:rPr>
      </w:pPr>
      <w:r>
        <w:rPr>
          <w:color w:val="1C1C2D"/>
        </w:rPr>
        <w:lastRenderedPageBreak/>
        <w:t>intentions.</w:t>
      </w:r>
    </w:p>
    <w:p w14:paraId="2F451D85" w14:textId="77777777" w:rsidR="004E1EB7" w:rsidRDefault="004E1EB7">
      <w:pPr>
        <w:pBdr>
          <w:top w:val="nil"/>
          <w:left w:val="nil"/>
          <w:bottom w:val="nil"/>
          <w:right w:val="nil"/>
          <w:between w:val="nil"/>
        </w:pBdr>
        <w:spacing w:before="14"/>
        <w:rPr>
          <w:color w:val="000000"/>
        </w:rPr>
      </w:pPr>
    </w:p>
    <w:p w14:paraId="098A4D56" w14:textId="77777777" w:rsidR="004E1EB7" w:rsidRDefault="00000000">
      <w:pPr>
        <w:pBdr>
          <w:top w:val="nil"/>
          <w:left w:val="nil"/>
          <w:bottom w:val="nil"/>
          <w:right w:val="nil"/>
          <w:between w:val="nil"/>
        </w:pBdr>
        <w:spacing w:line="340" w:lineRule="auto"/>
        <w:ind w:left="404" w:right="401"/>
        <w:jc w:val="both"/>
        <w:rPr>
          <w:color w:val="000000"/>
        </w:rPr>
      </w:pPr>
      <w:r>
        <w:rPr>
          <w:color w:val="1C1C2D"/>
        </w:rPr>
        <w:t xml:space="preserve">Stewardship, in the context of open source, implies holding authority in trust for the community rather than exercising it in the interests of the corporation alone. A genuine steward would consult the community before making major decisions. It would limit its own governance rights contractually — for example, by capping the number of board seats it can hold, as The Document Foundation's charter does. It would ensure that contributors retain copyright, preventing any future acquirer from inheriting community </w:t>
      </w:r>
      <w:proofErr w:type="spellStart"/>
      <w:r>
        <w:rPr>
          <w:color w:val="1C1C2D"/>
        </w:rPr>
        <w:t>labour</w:t>
      </w:r>
      <w:proofErr w:type="spellEnd"/>
      <w:r>
        <w:rPr>
          <w:color w:val="1C1C2D"/>
        </w:rPr>
        <w:t xml:space="preserve"> as a corporate asset.</w:t>
      </w:r>
    </w:p>
    <w:p w14:paraId="19C5A3CD" w14:textId="77777777" w:rsidR="004E1EB7" w:rsidRDefault="00000000">
      <w:pPr>
        <w:pBdr>
          <w:top w:val="nil"/>
          <w:left w:val="nil"/>
          <w:bottom w:val="nil"/>
          <w:right w:val="nil"/>
          <w:between w:val="nil"/>
        </w:pBdr>
        <w:spacing w:before="165" w:line="340" w:lineRule="auto"/>
        <w:ind w:left="404" w:right="401"/>
        <w:jc w:val="both"/>
        <w:rPr>
          <w:color w:val="000000"/>
        </w:rPr>
      </w:pPr>
      <w:r>
        <w:rPr>
          <w:color w:val="1C1C2D"/>
        </w:rPr>
        <w:t xml:space="preserve">Sun never committed to these constraints. It behaved like an owner — which, legally, it was. Oracle behaved the same way, with less diplomatic skill and more aggressive commercial intent. The distinction between stewardship and ownership is not merely semantic; it is a matter of structural commitments that constrain future </w:t>
      </w:r>
      <w:proofErr w:type="spellStart"/>
      <w:r>
        <w:rPr>
          <w:color w:val="1C1C2D"/>
        </w:rPr>
        <w:t>behaviour</w:t>
      </w:r>
      <w:proofErr w:type="spellEnd"/>
      <w:r>
        <w:rPr>
          <w:color w:val="1C1C2D"/>
        </w:rPr>
        <w:t xml:space="preserve"> regardless of who sits in the boardroom. Without those structural constraints, the community has no protection against a change in corporate personnel, strategy, or ownership.</w:t>
      </w:r>
    </w:p>
    <w:p w14:paraId="4E29B4DB" w14:textId="77777777" w:rsidR="004E1EB7" w:rsidRDefault="00000000">
      <w:pPr>
        <w:pBdr>
          <w:top w:val="nil"/>
          <w:left w:val="nil"/>
          <w:bottom w:val="nil"/>
          <w:right w:val="nil"/>
          <w:between w:val="nil"/>
        </w:pBdr>
        <w:spacing w:before="166" w:line="340" w:lineRule="auto"/>
        <w:ind w:left="404" w:right="401"/>
        <w:jc w:val="both"/>
        <w:rPr>
          <w:color w:val="000000"/>
        </w:rPr>
        <w:sectPr w:rsidR="004E1EB7">
          <w:pgSz w:w="11910" w:h="16840"/>
          <w:pgMar w:top="1460" w:right="1133" w:bottom="940" w:left="1133" w:header="0" w:footer="745" w:gutter="0"/>
          <w:cols w:space="720"/>
        </w:sectPr>
      </w:pPr>
      <w:r>
        <w:rPr>
          <w:color w:val="1C1C2D"/>
        </w:rPr>
        <w:t>The Document Foundation represents the alternative model. Its charter does not merely express good intentions — it legally prevents any single company from controlling more than one-third of its governing board. This structural constraint transforms stewardship from a promise into a guaranteed arrangement. No corporate acquisition, no change in management, no commercial pivot can override those structural rules without the community's consent.</w:t>
      </w:r>
    </w:p>
    <w:p w14:paraId="310C170B" w14:textId="77777777" w:rsidR="004E1EB7" w:rsidRDefault="00000000">
      <w:pPr>
        <w:spacing w:before="70"/>
        <w:ind w:left="404"/>
        <w:rPr>
          <w:b/>
          <w:bCs/>
          <w:sz w:val="18"/>
          <w:szCs w:val="18"/>
        </w:rPr>
      </w:pPr>
      <w:r>
        <w:rPr>
          <w:b/>
          <w:bCs/>
          <w:color w:val="3A6BBF"/>
          <w:sz w:val="18"/>
          <w:szCs w:val="18"/>
        </w:rPr>
        <w:lastRenderedPageBreak/>
        <w:t>SECTION C</w:t>
      </w:r>
    </w:p>
    <w:p w14:paraId="37DCC089" w14:textId="77777777" w:rsidR="004E1EB7" w:rsidRDefault="004E1EB7">
      <w:pPr>
        <w:pBdr>
          <w:top w:val="nil"/>
          <w:left w:val="nil"/>
          <w:bottom w:val="nil"/>
          <w:right w:val="nil"/>
          <w:between w:val="nil"/>
        </w:pBdr>
        <w:spacing w:before="197"/>
        <w:rPr>
          <w:b/>
          <w:bCs/>
          <w:color w:val="000000"/>
          <w:sz w:val="18"/>
          <w:szCs w:val="18"/>
        </w:rPr>
      </w:pPr>
    </w:p>
    <w:p w14:paraId="2AD322CF" w14:textId="77777777" w:rsidR="004E1EB7" w:rsidRDefault="00000000">
      <w:pPr>
        <w:pStyle w:val="Heading1"/>
        <w:ind w:firstLine="404"/>
      </w:pPr>
      <w:r>
        <w:rPr>
          <w:color w:val="1A233F"/>
        </w:rPr>
        <w:t>The Forking Question</w:t>
      </w:r>
    </w:p>
    <w:p w14:paraId="00EB2D47" w14:textId="77777777" w:rsidR="004E1EB7" w:rsidRDefault="00000000">
      <w:pPr>
        <w:pBdr>
          <w:top w:val="nil"/>
          <w:left w:val="nil"/>
          <w:bottom w:val="nil"/>
          <w:right w:val="nil"/>
          <w:between w:val="nil"/>
        </w:pBdr>
        <w:spacing w:before="2"/>
        <w:rPr>
          <w:b/>
          <w:bCs/>
          <w:color w:val="000000"/>
          <w:sz w:val="14"/>
          <w:szCs w:val="14"/>
        </w:rPr>
      </w:pPr>
      <w:r>
        <w:rPr>
          <w:noProof/>
        </w:rPr>
        <mc:AlternateContent>
          <mc:Choice Requires="wpg">
            <w:drawing>
              <wp:anchor distT="0" distB="0" distL="0" distR="0" simplePos="0" relativeHeight="251669504" behindDoc="0" locked="0" layoutInCell="1" hidden="0" allowOverlap="1" wp14:anchorId="31B4C007" wp14:editId="7E37ACF9">
                <wp:simplePos x="0" y="0"/>
                <wp:positionH relativeFrom="column">
                  <wp:posOffset>256745</wp:posOffset>
                </wp:positionH>
                <wp:positionV relativeFrom="paragraph">
                  <wp:posOffset>111511</wp:posOffset>
                </wp:positionV>
                <wp:extent cx="5607685" cy="15225"/>
                <wp:effectExtent l="0" t="0" r="0" b="0"/>
                <wp:wrapTopAndBottom distT="0" distB="0"/>
                <wp:docPr id="8" name="Freeform: Shape 8"/>
                <wp:cNvGraphicFramePr/>
                <a:graphic xmlns:a="http://schemas.openxmlformats.org/drawingml/2006/main">
                  <a:graphicData uri="http://schemas.microsoft.com/office/word/2010/wordprocessingShape">
                    <wps:wsp>
                      <wps:cNvSpPr/>
                      <wps:spPr>
                        <a:xfrm>
                          <a:off x="2542158" y="3779365"/>
                          <a:ext cx="5607685" cy="1270"/>
                        </a:xfrm>
                        <a:custGeom>
                          <a:avLst/>
                          <a:gdLst/>
                          <a:ahLst/>
                          <a:cxnLst/>
                          <a:rect l="l" t="t" r="r" b="b"/>
                          <a:pathLst>
                            <a:path w="5607685" h="120000" extrusionOk="0">
                              <a:moveTo>
                                <a:pt x="0" y="0"/>
                              </a:moveTo>
                              <a:lnTo>
                                <a:pt x="5607599" y="0"/>
                              </a:lnTo>
                            </a:path>
                          </a:pathLst>
                        </a:custGeom>
                        <a:noFill/>
                        <a:ln w="15225" cap="flat" cmpd="sng">
                          <a:solidFill>
                            <a:srgbClr val="2B498C"/>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256745</wp:posOffset>
                </wp:positionH>
                <wp:positionV relativeFrom="paragraph">
                  <wp:posOffset>111511</wp:posOffset>
                </wp:positionV>
                <wp:extent cx="5607685" cy="15225"/>
                <wp:effectExtent b="0" l="0" r="0" t="0"/>
                <wp:wrapTopAndBottom distB="0" distT="0"/>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607685" cy="15225"/>
                        </a:xfrm>
                        <a:prstGeom prst="rect"/>
                        <a:ln/>
                      </pic:spPr>
                    </pic:pic>
                  </a:graphicData>
                </a:graphic>
              </wp:anchor>
            </w:drawing>
          </mc:Fallback>
        </mc:AlternateContent>
      </w:r>
    </w:p>
    <w:p w14:paraId="5934BA9C" w14:textId="77777777" w:rsidR="004E1EB7" w:rsidRDefault="00000000">
      <w:pPr>
        <w:pStyle w:val="Heading2"/>
        <w:numPr>
          <w:ilvl w:val="1"/>
          <w:numId w:val="3"/>
        </w:numPr>
        <w:tabs>
          <w:tab w:val="left" w:pos="837"/>
        </w:tabs>
        <w:spacing w:before="284"/>
        <w:ind w:left="837" w:hanging="433"/>
      </w:pPr>
      <w:r>
        <w:rPr>
          <w:color w:val="2B498C"/>
        </w:rPr>
        <w:t>Was Forking the Right Response?</w:t>
      </w:r>
    </w:p>
    <w:p w14:paraId="56E7C6E4" w14:textId="77777777" w:rsidR="004E1EB7" w:rsidRDefault="00000000">
      <w:pPr>
        <w:pBdr>
          <w:top w:val="nil"/>
          <w:left w:val="nil"/>
          <w:bottom w:val="nil"/>
          <w:right w:val="nil"/>
          <w:between w:val="nil"/>
        </w:pBdr>
        <w:spacing w:before="138" w:line="340" w:lineRule="auto"/>
        <w:ind w:left="404" w:right="401"/>
        <w:jc w:val="both"/>
        <w:rPr>
          <w:color w:val="000000"/>
        </w:rPr>
      </w:pPr>
      <w:r>
        <w:rPr>
          <w:color w:val="1C1C2D"/>
        </w:rPr>
        <w:t>The decision to fork OpenOffice.org and create LibreOffice under The Document Foundation was, in my analysis, the correct decision — but it was not obviously correct at the time, and the case for it is more nuanced than it might appear in hindsight.</w:t>
      </w:r>
    </w:p>
    <w:p w14:paraId="14C6046E" w14:textId="77777777" w:rsidR="004E1EB7" w:rsidRDefault="00000000">
      <w:pPr>
        <w:pBdr>
          <w:top w:val="nil"/>
          <w:left w:val="nil"/>
          <w:bottom w:val="nil"/>
          <w:right w:val="nil"/>
          <w:between w:val="nil"/>
        </w:pBdr>
        <w:spacing w:before="163" w:line="340" w:lineRule="auto"/>
        <w:ind w:left="404" w:right="401"/>
        <w:jc w:val="both"/>
        <w:rPr>
          <w:color w:val="000000"/>
        </w:rPr>
      </w:pPr>
      <w:r>
        <w:rPr>
          <w:color w:val="1C1C2D"/>
        </w:rPr>
        <w:t>The community did not move immediately to a fork. In the months following Oracle's acquisition of Sun, contributors attempted to work within the existing structure. They raised concerns through official channels, sought dialogue with Oracle management, and advocated for governance reforms that would give the community more autonomy. Oracle's response was, at best, indifferent. The community was told, in effect, that Oracle's decisions about the project's direction were not subject to community input.</w:t>
      </w:r>
    </w:p>
    <w:p w14:paraId="0BA49D25" w14:textId="77777777" w:rsidR="004E1EB7" w:rsidRDefault="00000000">
      <w:pPr>
        <w:pBdr>
          <w:top w:val="nil"/>
          <w:left w:val="nil"/>
          <w:bottom w:val="nil"/>
          <w:right w:val="nil"/>
          <w:between w:val="nil"/>
        </w:pBdr>
        <w:spacing w:before="164" w:line="340" w:lineRule="auto"/>
        <w:ind w:left="404" w:right="401"/>
        <w:jc w:val="both"/>
        <w:rPr>
          <w:color w:val="000000"/>
        </w:rPr>
      </w:pPr>
      <w:r>
        <w:rPr>
          <w:color w:val="1C1C2D"/>
        </w:rPr>
        <w:t>This pattern — attempt negotiation, receive dismissal, then act — is the correct sequence for a community facing an untrustworthy corporate steward. Forking without attempting negotiation first would have been precipitate and would have denied Oracle the opportunity to do the right thing. By attempting engagement first, the community demonstrated that its concerns were genuine and that it had exhausted the available alternatives before taking the more disruptive path.</w:t>
      </w:r>
    </w:p>
    <w:p w14:paraId="452D5C39" w14:textId="77777777" w:rsidR="004E1EB7" w:rsidRDefault="00000000">
      <w:pPr>
        <w:pBdr>
          <w:top w:val="nil"/>
          <w:left w:val="nil"/>
          <w:bottom w:val="nil"/>
          <w:right w:val="nil"/>
          <w:between w:val="nil"/>
        </w:pBdr>
        <w:spacing w:before="165" w:line="340" w:lineRule="auto"/>
        <w:ind w:left="404" w:right="401"/>
        <w:jc w:val="both"/>
        <w:rPr>
          <w:color w:val="000000"/>
        </w:rPr>
      </w:pPr>
      <w:r>
        <w:rPr>
          <w:color w:val="1C1C2D"/>
        </w:rPr>
        <w:t xml:space="preserve">The Document Foundation's founding manifesto explicitly invited Oracle to donate the OpenOffice.org brand and codebase to the new foundation — a generous offer that would have allowed Oracle to exit the situation gracefully while preserving its reputation in the </w:t>
      </w:r>
      <w:proofErr w:type="gramStart"/>
      <w:r>
        <w:rPr>
          <w:color w:val="1C1C2D"/>
        </w:rPr>
        <w:t>open source</w:t>
      </w:r>
      <w:proofErr w:type="gramEnd"/>
      <w:r>
        <w:rPr>
          <w:color w:val="1C1C2D"/>
        </w:rPr>
        <w:t xml:space="preserve"> community. Oracle's refusal of this offer was, in retrospect, one of the most consequential mistakes in the history of corporate </w:t>
      </w:r>
      <w:proofErr w:type="gramStart"/>
      <w:r>
        <w:rPr>
          <w:color w:val="1C1C2D"/>
        </w:rPr>
        <w:t>open source</w:t>
      </w:r>
      <w:proofErr w:type="gramEnd"/>
      <w:r>
        <w:rPr>
          <w:color w:val="1C1C2D"/>
        </w:rPr>
        <w:t xml:space="preserve"> strategy.</w:t>
      </w:r>
    </w:p>
    <w:p w14:paraId="7837D0FE" w14:textId="77777777" w:rsidR="004E1EB7" w:rsidRDefault="004E1EB7">
      <w:pPr>
        <w:pBdr>
          <w:top w:val="nil"/>
          <w:left w:val="nil"/>
          <w:bottom w:val="nil"/>
          <w:right w:val="nil"/>
          <w:between w:val="nil"/>
        </w:pBdr>
        <w:spacing w:before="33"/>
        <w:rPr>
          <w:color w:val="000000"/>
        </w:rPr>
      </w:pPr>
    </w:p>
    <w:p w14:paraId="10599BC2" w14:textId="77777777" w:rsidR="004E1EB7" w:rsidRDefault="00000000">
      <w:pPr>
        <w:pStyle w:val="Heading2"/>
        <w:numPr>
          <w:ilvl w:val="1"/>
          <w:numId w:val="3"/>
        </w:numPr>
        <w:tabs>
          <w:tab w:val="left" w:pos="837"/>
        </w:tabs>
        <w:ind w:left="837" w:hanging="433"/>
      </w:pPr>
      <w:r>
        <w:rPr>
          <w:color w:val="2B498C"/>
        </w:rPr>
        <w:t xml:space="preserve">Oracle's Decision </w:t>
      </w:r>
      <w:proofErr w:type="spellStart"/>
      <w:r>
        <w:rPr>
          <w:color w:val="2B498C"/>
        </w:rPr>
        <w:t>Analysed</w:t>
      </w:r>
      <w:proofErr w:type="spellEnd"/>
      <w:r>
        <w:rPr>
          <w:color w:val="2B498C"/>
        </w:rPr>
        <w:t>: Business vs. Ethics</w:t>
      </w:r>
    </w:p>
    <w:p w14:paraId="58B92223" w14:textId="77777777" w:rsidR="004E1EB7" w:rsidRDefault="00000000">
      <w:pPr>
        <w:pBdr>
          <w:top w:val="nil"/>
          <w:left w:val="nil"/>
          <w:bottom w:val="nil"/>
          <w:right w:val="nil"/>
          <w:between w:val="nil"/>
        </w:pBdr>
        <w:spacing w:before="139" w:line="340" w:lineRule="auto"/>
        <w:ind w:left="404" w:right="401"/>
        <w:jc w:val="both"/>
        <w:rPr>
          <w:color w:val="000000"/>
        </w:rPr>
      </w:pPr>
      <w:r>
        <w:rPr>
          <w:color w:val="1C1C2D"/>
        </w:rPr>
        <w:t>Was Oracle's refusal to donate OpenOffice.org to The Document Foundation the right decision from a business perspective? Was it the right decision ethically? I will argue that these two questions produce different answers — and that the divergence between them is itself instructive.</w:t>
      </w:r>
    </w:p>
    <w:p w14:paraId="515F8F8D" w14:textId="77777777" w:rsidR="004E1EB7" w:rsidRDefault="00000000">
      <w:pPr>
        <w:pBdr>
          <w:top w:val="nil"/>
          <w:left w:val="nil"/>
          <w:bottom w:val="nil"/>
          <w:right w:val="nil"/>
          <w:between w:val="nil"/>
        </w:pBdr>
        <w:spacing w:before="163" w:line="340" w:lineRule="auto"/>
        <w:ind w:left="404" w:right="401"/>
        <w:jc w:val="both"/>
        <w:rPr>
          <w:color w:val="000000"/>
        </w:rPr>
        <w:sectPr w:rsidR="004E1EB7">
          <w:pgSz w:w="11910" w:h="16840"/>
          <w:pgMar w:top="1460" w:right="1133" w:bottom="940" w:left="1133" w:header="0" w:footer="745" w:gutter="0"/>
          <w:cols w:space="720"/>
        </w:sectPr>
      </w:pPr>
      <w:r>
        <w:rPr>
          <w:color w:val="1C1C2D"/>
        </w:rPr>
        <w:t>From a narrow, short-term business perspective, Oracle's decision to retain OpenOffice.org had some internal logic. The project represented a commercial asset: Oracle Open Office was a product that could generate service contract revenue. Donating the brand to a foundation would mean ceding control of that commercial asset and potentially strengthening a competitor. Oracle's legal team likely also counselled against</w:t>
      </w:r>
    </w:p>
    <w:p w14:paraId="5A12F135" w14:textId="77777777" w:rsidR="004E1EB7" w:rsidRDefault="00000000">
      <w:pPr>
        <w:pBdr>
          <w:top w:val="nil"/>
          <w:left w:val="nil"/>
          <w:bottom w:val="nil"/>
          <w:right w:val="nil"/>
          <w:between w:val="nil"/>
        </w:pBdr>
        <w:spacing w:before="73"/>
        <w:ind w:left="404"/>
        <w:jc w:val="both"/>
        <w:rPr>
          <w:color w:val="000000"/>
        </w:rPr>
      </w:pPr>
      <w:r>
        <w:rPr>
          <w:color w:val="1C1C2D"/>
        </w:rPr>
        <w:lastRenderedPageBreak/>
        <w:t>making any gestures that could be interpreted as weakening Oracle's IP position.</w:t>
      </w:r>
    </w:p>
    <w:p w14:paraId="23BC680E" w14:textId="77777777" w:rsidR="004E1EB7" w:rsidRDefault="004E1EB7">
      <w:pPr>
        <w:pBdr>
          <w:top w:val="nil"/>
          <w:left w:val="nil"/>
          <w:bottom w:val="nil"/>
          <w:right w:val="nil"/>
          <w:between w:val="nil"/>
        </w:pBdr>
        <w:spacing w:before="14"/>
        <w:rPr>
          <w:color w:val="000000"/>
        </w:rPr>
      </w:pPr>
    </w:p>
    <w:p w14:paraId="0DF0A6D9" w14:textId="77777777" w:rsidR="004E1EB7" w:rsidRDefault="00000000">
      <w:pPr>
        <w:pBdr>
          <w:top w:val="nil"/>
          <w:left w:val="nil"/>
          <w:bottom w:val="nil"/>
          <w:right w:val="nil"/>
          <w:between w:val="nil"/>
        </w:pBdr>
        <w:spacing w:line="340" w:lineRule="auto"/>
        <w:ind w:left="404" w:right="401"/>
        <w:jc w:val="both"/>
        <w:rPr>
          <w:color w:val="000000"/>
        </w:rPr>
      </w:pPr>
      <w:r>
        <w:rPr>
          <w:color w:val="1C1C2D"/>
        </w:rPr>
        <w:t xml:space="preserve">From a medium and long-term business perspective, however, Oracle's decision was a catastrophic error. Within eighteen months of the acquisition, Oracle had lost the majority of </w:t>
      </w:r>
      <w:proofErr w:type="spellStart"/>
      <w:r>
        <w:rPr>
          <w:color w:val="1C1C2D"/>
        </w:rPr>
        <w:t>OpenOffice.org's</w:t>
      </w:r>
      <w:proofErr w:type="spellEnd"/>
      <w:r>
        <w:rPr>
          <w:color w:val="1C1C2D"/>
        </w:rPr>
        <w:t xml:space="preserve"> active developers, its adoption in Linux distributions, and its standing in the </w:t>
      </w:r>
      <w:proofErr w:type="gramStart"/>
      <w:r>
        <w:rPr>
          <w:color w:val="1C1C2D"/>
        </w:rPr>
        <w:t>open source</w:t>
      </w:r>
      <w:proofErr w:type="gramEnd"/>
      <w:r>
        <w:rPr>
          <w:color w:val="1C1C2D"/>
        </w:rPr>
        <w:t xml:space="preserve"> community. The project it retained was a hollowed-out shell that it eventually donated to the Apache Software Foundation anyway — but too late to prevent LibreOffice from becoming the dominant successor. Oracle achieved none of the commercial benefits it had presumably sought and paid significant reputational costs in the </w:t>
      </w:r>
      <w:proofErr w:type="gramStart"/>
      <w:r>
        <w:rPr>
          <w:color w:val="1C1C2D"/>
        </w:rPr>
        <w:t>open source</w:t>
      </w:r>
      <w:proofErr w:type="gramEnd"/>
      <w:r>
        <w:rPr>
          <w:color w:val="1C1C2D"/>
        </w:rPr>
        <w:t xml:space="preserve"> ecosystem.</w:t>
      </w:r>
    </w:p>
    <w:p w14:paraId="643D8A6D" w14:textId="77777777" w:rsidR="004E1EB7" w:rsidRDefault="00000000">
      <w:pPr>
        <w:pBdr>
          <w:top w:val="nil"/>
          <w:left w:val="nil"/>
          <w:bottom w:val="nil"/>
          <w:right w:val="nil"/>
          <w:between w:val="nil"/>
        </w:pBdr>
        <w:spacing w:before="10"/>
        <w:rPr>
          <w:color w:val="000000"/>
          <w:sz w:val="9"/>
          <w:szCs w:val="9"/>
        </w:rPr>
      </w:pPr>
      <w:r>
        <w:rPr>
          <w:noProof/>
        </w:rPr>
        <mc:AlternateContent>
          <mc:Choice Requires="wps">
            <w:drawing>
              <wp:anchor distT="0" distB="0" distL="0" distR="0" simplePos="0" relativeHeight="251670528" behindDoc="0" locked="0" layoutInCell="1" hidden="0" allowOverlap="1" wp14:anchorId="38F3C3E5" wp14:editId="7AAEF058">
                <wp:simplePos x="0" y="0"/>
                <wp:positionH relativeFrom="column">
                  <wp:posOffset>531020</wp:posOffset>
                </wp:positionH>
                <wp:positionV relativeFrom="paragraph">
                  <wp:posOffset>87460</wp:posOffset>
                </wp:positionV>
                <wp:extent cx="5059045" cy="1289050"/>
                <wp:effectExtent l="0" t="0" r="0" b="0"/>
                <wp:wrapTopAndBottom distT="0" distB="0"/>
                <wp:docPr id="14" name="Rectangle 14"/>
                <wp:cNvGraphicFramePr/>
                <a:graphic xmlns:a="http://schemas.openxmlformats.org/drawingml/2006/main">
                  <a:graphicData uri="http://schemas.microsoft.com/office/word/2010/wordprocessingShape">
                    <wps:wsp>
                      <wps:cNvSpPr/>
                      <wps:spPr>
                        <a:xfrm>
                          <a:off x="2826003" y="3145000"/>
                          <a:ext cx="5039995" cy="1270000"/>
                        </a:xfrm>
                        <a:prstGeom prst="rect">
                          <a:avLst/>
                        </a:prstGeom>
                        <a:solidFill>
                          <a:srgbClr val="DBE8F4"/>
                        </a:solidFill>
                        <a:ln w="19050" cap="flat" cmpd="sng">
                          <a:solidFill>
                            <a:srgbClr val="3A6BBF"/>
                          </a:solidFill>
                          <a:prstDash val="solid"/>
                          <a:round/>
                          <a:headEnd type="none" w="sm" len="sm"/>
                          <a:tailEnd type="none" w="sm" len="sm"/>
                        </a:ln>
                      </wps:spPr>
                      <wps:txbx>
                        <w:txbxContent>
                          <w:p w14:paraId="16306859" w14:textId="77777777" w:rsidR="004E1EB7" w:rsidRDefault="004E1EB7">
                            <w:pPr>
                              <w:spacing w:before="3"/>
                              <w:textDirection w:val="btLr"/>
                            </w:pPr>
                          </w:p>
                          <w:p w14:paraId="5A1FE537" w14:textId="77777777" w:rsidR="004E1EB7" w:rsidRDefault="00000000">
                            <w:pPr>
                              <w:spacing w:before="1" w:line="311" w:lineRule="auto"/>
                              <w:ind w:left="372" w:right="370" w:firstLine="370"/>
                              <w:jc w:val="center"/>
                              <w:textDirection w:val="btLr"/>
                            </w:pPr>
                            <w:r>
                              <w:rPr>
                                <w:b/>
                                <w:i/>
                                <w:color w:val="1A233F"/>
                                <w:sz w:val="24"/>
                              </w:rPr>
                              <w:t xml:space="preserve">Oracle's handling of OpenOffice.org demonstrates a recurring failure mode in corporate </w:t>
                            </w:r>
                            <w:proofErr w:type="gramStart"/>
                            <w:r>
                              <w:rPr>
                                <w:b/>
                                <w:i/>
                                <w:color w:val="1A233F"/>
                                <w:sz w:val="24"/>
                              </w:rPr>
                              <w:t>open source</w:t>
                            </w:r>
                            <w:proofErr w:type="gramEnd"/>
                            <w:r>
                              <w:rPr>
                                <w:b/>
                                <w:i/>
                                <w:color w:val="1A233F"/>
                                <w:sz w:val="24"/>
                              </w:rPr>
                              <w:t xml:space="preserve"> strategy: treating community trust as an asset that can be consumed rather than one that must be cultivated.</w:t>
                            </w:r>
                          </w:p>
                        </w:txbxContent>
                      </wps:txbx>
                      <wps:bodyPr spcFirstLastPara="1" wrap="square" lIns="0" tIns="0" rIns="0" bIns="0" anchor="t" anchorCtr="0">
                        <a:noAutofit/>
                      </wps:bodyPr>
                    </wps:wsp>
                  </a:graphicData>
                </a:graphic>
              </wp:anchor>
            </w:drawing>
          </mc:Choice>
          <mc:Fallback>
            <w:pict>
              <v:rect w14:anchorId="38F3C3E5" id="Rectangle 14" o:spid="_x0000_s1030" style="position:absolute;margin-left:41.8pt;margin-top:6.9pt;width:398.35pt;height:101.5pt;z-index:2516705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" fillcolor="#dbe8f4" strokecolor="#3a6bbf" strokeweight="1.5pt">
                <v:stroke startarrowwidth="narrow" startarrowlength="short" endarrowwidth="narrow" endarrowlength="short" joinstyle="round"/>
                <v:textbox inset="0,0,0,0">
                  <w:txbxContent>
                    <w:p w14:paraId="16306859" w14:textId="77777777" w:rsidR="004E1EB7" w:rsidRDefault="004E1EB7">
                      <w:pPr>
                        <w:spacing w:before="3"/>
                        <w:textDirection w:val="btLr"/>
                      </w:pPr>
                    </w:p>
                    <w:p w14:paraId="5A1FE537" w14:textId="77777777" w:rsidR="004E1EB7" w:rsidRDefault="00000000">
                      <w:pPr>
                        <w:spacing w:before="1" w:line="311" w:lineRule="auto"/>
                        <w:ind w:left="372" w:right="370" w:firstLine="370"/>
                        <w:jc w:val="center"/>
                        <w:textDirection w:val="btLr"/>
                      </w:pPr>
                      <w:r>
                        <w:rPr>
                          <w:b/>
                          <w:i/>
                          <w:color w:val="1A233F"/>
                          <w:sz w:val="24"/>
                        </w:rPr>
                        <w:t xml:space="preserve">Oracle's handling of OpenOffice.org demonstrates a recurring failure mode in corporate </w:t>
                      </w:r>
                      <w:proofErr w:type="gramStart"/>
                      <w:r>
                        <w:rPr>
                          <w:b/>
                          <w:i/>
                          <w:color w:val="1A233F"/>
                          <w:sz w:val="24"/>
                        </w:rPr>
                        <w:t>open source</w:t>
                      </w:r>
                      <w:proofErr w:type="gramEnd"/>
                      <w:r>
                        <w:rPr>
                          <w:b/>
                          <w:i/>
                          <w:color w:val="1A233F"/>
                          <w:sz w:val="24"/>
                        </w:rPr>
                        <w:t xml:space="preserve"> strategy: treating community trust as an asset that can be consumed rather than one that must be cultivated.</w:t>
                      </w:r>
                    </w:p>
                  </w:txbxContent>
                </v:textbox>
                <w10:wrap type="topAndBottom"/>
              </v:rect>
            </w:pict>
          </mc:Fallback>
        </mc:AlternateContent>
      </w:r>
    </w:p>
    <w:p w14:paraId="27F46F43" w14:textId="77777777" w:rsidR="004E1EB7" w:rsidRDefault="00000000">
      <w:pPr>
        <w:pBdr>
          <w:top w:val="nil"/>
          <w:left w:val="nil"/>
          <w:bottom w:val="nil"/>
          <w:right w:val="nil"/>
          <w:between w:val="nil"/>
        </w:pBdr>
        <w:spacing w:before="13" w:line="340" w:lineRule="auto"/>
        <w:ind w:left="404" w:right="401"/>
        <w:jc w:val="both"/>
        <w:rPr>
          <w:color w:val="000000"/>
        </w:rPr>
      </w:pPr>
      <w:r>
        <w:rPr>
          <w:color w:val="1C1C2D"/>
        </w:rPr>
        <w:t xml:space="preserve">From an ethical perspective, Oracle's refusal is even harder to defend. The community had built OpenOffice.org. Its members had contributed years of voluntary </w:t>
      </w:r>
      <w:proofErr w:type="spellStart"/>
      <w:r>
        <w:rPr>
          <w:color w:val="1C1C2D"/>
        </w:rPr>
        <w:t>labour</w:t>
      </w:r>
      <w:proofErr w:type="spellEnd"/>
      <w:r>
        <w:rPr>
          <w:color w:val="1C1C2D"/>
        </w:rPr>
        <w:t>. They were asking, in essence, for the opportunity to govern what they had built. Oracle's refusal to even consider this request — combined with its demand that Document Foundation members resign from the OpenOffice.org council — was a statement that corporate property rights took absolute precedence over community interests, regardless of who had created the value in question.</w:t>
      </w:r>
    </w:p>
    <w:p w14:paraId="675D13E3" w14:textId="77777777" w:rsidR="004E1EB7" w:rsidRDefault="00000000">
      <w:pPr>
        <w:pBdr>
          <w:top w:val="nil"/>
          <w:left w:val="nil"/>
          <w:bottom w:val="nil"/>
          <w:right w:val="nil"/>
          <w:between w:val="nil"/>
        </w:pBdr>
        <w:spacing w:before="166" w:line="340" w:lineRule="auto"/>
        <w:ind w:left="404" w:right="401"/>
        <w:jc w:val="both"/>
        <w:rPr>
          <w:color w:val="000000"/>
        </w:rPr>
      </w:pPr>
      <w:r>
        <w:rPr>
          <w:color w:val="1C1C2D"/>
        </w:rPr>
        <w:t xml:space="preserve">The business and ethical perspectives do not produce the same answer here. Ethically, the case for donation to The Document Foundation is strong. Commercially, a more sophisticated analysis would have </w:t>
      </w:r>
      <w:proofErr w:type="spellStart"/>
      <w:r>
        <w:rPr>
          <w:color w:val="1C1C2D"/>
        </w:rPr>
        <w:t>recognised</w:t>
      </w:r>
      <w:proofErr w:type="spellEnd"/>
      <w:r>
        <w:rPr>
          <w:color w:val="1C1C2D"/>
        </w:rPr>
        <w:t xml:space="preserve"> the same conclusion — but Oracle's decision-making appears to have been driven by short-term asset protection rather than strategic assessment of community dynamics.</w:t>
      </w:r>
    </w:p>
    <w:p w14:paraId="78D0CE4B" w14:textId="77777777" w:rsidR="004E1EB7" w:rsidRDefault="004E1EB7">
      <w:pPr>
        <w:pBdr>
          <w:top w:val="nil"/>
          <w:left w:val="nil"/>
          <w:bottom w:val="nil"/>
          <w:right w:val="nil"/>
          <w:between w:val="nil"/>
        </w:pBdr>
        <w:spacing w:before="33"/>
        <w:rPr>
          <w:color w:val="000000"/>
        </w:rPr>
      </w:pPr>
    </w:p>
    <w:p w14:paraId="7D87037C" w14:textId="77777777" w:rsidR="004E1EB7" w:rsidRDefault="00000000">
      <w:pPr>
        <w:pStyle w:val="Heading2"/>
        <w:numPr>
          <w:ilvl w:val="1"/>
          <w:numId w:val="3"/>
        </w:numPr>
        <w:tabs>
          <w:tab w:val="left" w:pos="837"/>
        </w:tabs>
        <w:ind w:left="837" w:hanging="433"/>
      </w:pPr>
      <w:r>
        <w:rPr>
          <w:color w:val="2B498C"/>
        </w:rPr>
        <w:t>Was the Fork Worth Its Cost?</w:t>
      </w:r>
    </w:p>
    <w:p w14:paraId="3F9DB025" w14:textId="77777777" w:rsidR="004E1EB7" w:rsidRDefault="00000000">
      <w:pPr>
        <w:pBdr>
          <w:top w:val="nil"/>
          <w:left w:val="nil"/>
          <w:bottom w:val="nil"/>
          <w:right w:val="nil"/>
          <w:between w:val="nil"/>
        </w:pBdr>
        <w:spacing w:before="139" w:line="340" w:lineRule="auto"/>
        <w:ind w:left="404" w:right="401"/>
        <w:jc w:val="both"/>
        <w:rPr>
          <w:color w:val="000000"/>
        </w:rPr>
        <w:sectPr w:rsidR="004E1EB7">
          <w:pgSz w:w="11910" w:h="16840"/>
          <w:pgMar w:top="1460" w:right="1133" w:bottom="940" w:left="1133" w:header="0" w:footer="745" w:gutter="0"/>
          <w:cols w:space="720"/>
        </w:sectPr>
      </w:pPr>
      <w:r>
        <w:rPr>
          <w:color w:val="1C1C2D"/>
        </w:rPr>
        <w:t xml:space="preserve">The fork had real and significant costs. For several years after 2010, users and </w:t>
      </w:r>
      <w:proofErr w:type="spellStart"/>
      <w:r>
        <w:rPr>
          <w:color w:val="1C1C2D"/>
        </w:rPr>
        <w:t>organisations</w:t>
      </w:r>
      <w:proofErr w:type="spellEnd"/>
      <w:r>
        <w:rPr>
          <w:color w:val="1C1C2D"/>
        </w:rPr>
        <w:t xml:space="preserve"> faced genuine confusion about which project to adopt. Major Linux distributions transitioned to LibreOffice relatively quickly, but enterprises and institutions that had built workflows around OpenOffice.org faced real uncertainty. The development community was split, at least temporarily, with some contributors remaining with OpenOffice.org and some joining LibreOffice.</w:t>
      </w:r>
    </w:p>
    <w:p w14:paraId="1F7B5E46" w14:textId="77777777" w:rsidR="004E1EB7" w:rsidRDefault="00000000">
      <w:pPr>
        <w:pBdr>
          <w:top w:val="nil"/>
          <w:left w:val="nil"/>
          <w:bottom w:val="nil"/>
          <w:right w:val="nil"/>
          <w:between w:val="nil"/>
        </w:pBdr>
        <w:spacing w:before="73" w:line="340" w:lineRule="auto"/>
        <w:ind w:left="404" w:right="401"/>
        <w:jc w:val="both"/>
        <w:rPr>
          <w:color w:val="000000"/>
        </w:rPr>
      </w:pPr>
      <w:r>
        <w:rPr>
          <w:color w:val="1C1C2D"/>
        </w:rPr>
        <w:lastRenderedPageBreak/>
        <w:t>Development resources were duplicated: both projects needed to fix the same bugs, implement the same file format changes, and maintain the same infrastructure. The volunteer hours spent on this duplication could, in a counterfactual world without the fork, have been directed toward advancing a single, unified project.</w:t>
      </w:r>
    </w:p>
    <w:p w14:paraId="5ADC6D4F" w14:textId="77777777" w:rsidR="004E1EB7" w:rsidRDefault="00000000">
      <w:pPr>
        <w:pBdr>
          <w:top w:val="nil"/>
          <w:left w:val="nil"/>
          <w:bottom w:val="nil"/>
          <w:right w:val="nil"/>
          <w:between w:val="nil"/>
        </w:pBdr>
        <w:spacing w:before="163" w:line="340" w:lineRule="auto"/>
        <w:ind w:left="404" w:right="401"/>
        <w:jc w:val="both"/>
        <w:rPr>
          <w:color w:val="000000"/>
        </w:rPr>
      </w:pPr>
      <w:r>
        <w:rPr>
          <w:color w:val="1C1C2D"/>
        </w:rPr>
        <w:t>These costs are real, but they must be weighed against the alternative. What would OpenOffice.org have looked like in 2015, 2020, or 2025 under Oracle's stewardship? The evidence suggests it would look like Apache OpenOffice: a project with minimal active development, no major version releases, and a fraction of LibreOffice's contributor base and user adoption. The question is not whether the fork cost something — it did — but whether staying would have cost more.</w:t>
      </w:r>
    </w:p>
    <w:p w14:paraId="555A4D49" w14:textId="77777777" w:rsidR="004E1EB7" w:rsidRDefault="00000000">
      <w:pPr>
        <w:pBdr>
          <w:top w:val="nil"/>
          <w:left w:val="nil"/>
          <w:bottom w:val="nil"/>
          <w:right w:val="nil"/>
          <w:between w:val="nil"/>
        </w:pBdr>
        <w:spacing w:before="165" w:line="340" w:lineRule="auto"/>
        <w:ind w:left="404" w:right="401"/>
        <w:jc w:val="both"/>
        <w:rPr>
          <w:color w:val="000000"/>
        </w:rPr>
      </w:pPr>
      <w:r>
        <w:rPr>
          <w:color w:val="1C1C2D"/>
        </w:rPr>
        <w:t>The numbers suggest the fork was overwhelmingly worth it. By the early 2020s, LibreOffice had over 200 million active users, contributions from developers in dozens of countries, and adoption by major governments including Germany, Italy, and several Indian states. Apache OpenOffice, the successor to the project that stayed under corporate control, had a fraction of this activity. The community that left built something substantially better than what they left behind.</w:t>
      </w:r>
    </w:p>
    <w:p w14:paraId="0453BE58" w14:textId="77777777" w:rsidR="004E1EB7" w:rsidRDefault="004E1EB7">
      <w:pPr>
        <w:pBdr>
          <w:top w:val="nil"/>
          <w:left w:val="nil"/>
          <w:bottom w:val="nil"/>
          <w:right w:val="nil"/>
          <w:between w:val="nil"/>
        </w:pBdr>
        <w:spacing w:before="34"/>
        <w:rPr>
          <w:color w:val="000000"/>
        </w:rPr>
      </w:pPr>
    </w:p>
    <w:p w14:paraId="1BB9DAC3" w14:textId="77777777" w:rsidR="004E1EB7" w:rsidRDefault="00000000">
      <w:pPr>
        <w:pStyle w:val="Heading2"/>
        <w:numPr>
          <w:ilvl w:val="1"/>
          <w:numId w:val="3"/>
        </w:numPr>
        <w:tabs>
          <w:tab w:val="left" w:pos="837"/>
        </w:tabs>
        <w:ind w:left="837" w:hanging="433"/>
      </w:pPr>
      <w:r>
        <w:rPr>
          <w:color w:val="2B498C"/>
        </w:rPr>
        <w:t>The Strongest Case Against Forking</w:t>
      </w:r>
    </w:p>
    <w:p w14:paraId="440A256F" w14:textId="77777777" w:rsidR="004E1EB7" w:rsidRDefault="00000000">
      <w:pPr>
        <w:pBdr>
          <w:top w:val="nil"/>
          <w:left w:val="nil"/>
          <w:bottom w:val="nil"/>
          <w:right w:val="nil"/>
          <w:between w:val="nil"/>
        </w:pBdr>
        <w:spacing w:before="138" w:line="340" w:lineRule="auto"/>
        <w:ind w:left="404" w:right="401"/>
        <w:jc w:val="both"/>
        <w:rPr>
          <w:color w:val="000000"/>
        </w:rPr>
      </w:pPr>
      <w:r>
        <w:rPr>
          <w:color w:val="1C1C2D"/>
        </w:rPr>
        <w:t>Intellectual honesty requires engaging with the strongest version of the case against forking — not to defeat a straw man, but to genuinely test the conclusion.</w:t>
      </w:r>
    </w:p>
    <w:p w14:paraId="544AEED0" w14:textId="77777777" w:rsidR="004E1EB7" w:rsidRDefault="00000000">
      <w:pPr>
        <w:pBdr>
          <w:top w:val="nil"/>
          <w:left w:val="nil"/>
          <w:bottom w:val="nil"/>
          <w:right w:val="nil"/>
          <w:between w:val="nil"/>
        </w:pBdr>
        <w:spacing w:before="162" w:line="340" w:lineRule="auto"/>
        <w:ind w:left="404" w:right="401"/>
        <w:jc w:val="both"/>
        <w:rPr>
          <w:color w:val="000000"/>
        </w:rPr>
      </w:pPr>
      <w:r>
        <w:rPr>
          <w:color w:val="1C1C2D"/>
        </w:rPr>
        <w:t>The strongest anti-fork argument runs as follows. In 2010, OpenOffice.org had tens of millions of users and a decade of accumulated momentum. Forking meant abandoning that brand equity entirely — LibreOffice had to rebuild user recognition from zero. It meant convincing Linux distributions, governments, and enterprises to switch to a new, unproven project. It meant rebuilding infrastructure, translation ecosystems, and documentation that had taken years to develop. The probability of failure was real: most forks fail, either dying from lack of contributors or never achieving the critical mass needed to replace the original.</w:t>
      </w:r>
    </w:p>
    <w:p w14:paraId="59B87315" w14:textId="77777777" w:rsidR="004E1EB7" w:rsidRDefault="00000000">
      <w:pPr>
        <w:pBdr>
          <w:top w:val="nil"/>
          <w:left w:val="nil"/>
          <w:bottom w:val="nil"/>
          <w:right w:val="nil"/>
          <w:between w:val="nil"/>
        </w:pBdr>
        <w:spacing w:before="165" w:line="340" w:lineRule="auto"/>
        <w:ind w:left="404" w:right="401"/>
        <w:jc w:val="both"/>
        <w:rPr>
          <w:color w:val="000000"/>
        </w:rPr>
      </w:pPr>
      <w:r>
        <w:rPr>
          <w:color w:val="1C1C2D"/>
        </w:rPr>
        <w:t xml:space="preserve">The argument continues: the community could have achieved more by staying inside Oracle's governance structure and working to change it from within. Oracle was not actively destroying OpenOffice.org — it was neglecting it. Neglect can be addressed through sustained advocacy. A community with tens of millions of users, </w:t>
      </w:r>
      <w:proofErr w:type="spellStart"/>
      <w:r>
        <w:rPr>
          <w:color w:val="1C1C2D"/>
        </w:rPr>
        <w:t>channelled</w:t>
      </w:r>
      <w:proofErr w:type="spellEnd"/>
      <w:r>
        <w:rPr>
          <w:color w:val="1C1C2D"/>
        </w:rPr>
        <w:t xml:space="preserve"> through effective lobbying, might have been able to extract governance concessions from Oracle that preserved the project's continuity without the costs of fragmentation.</w:t>
      </w:r>
    </w:p>
    <w:p w14:paraId="1423DE73" w14:textId="77777777" w:rsidR="004E1EB7" w:rsidRDefault="00000000">
      <w:pPr>
        <w:pBdr>
          <w:top w:val="nil"/>
          <w:left w:val="nil"/>
          <w:bottom w:val="nil"/>
          <w:right w:val="nil"/>
          <w:between w:val="nil"/>
        </w:pBdr>
        <w:spacing w:before="165" w:line="340" w:lineRule="auto"/>
        <w:ind w:left="404" w:right="401"/>
        <w:jc w:val="both"/>
        <w:rPr>
          <w:color w:val="000000"/>
        </w:rPr>
        <w:sectPr w:rsidR="004E1EB7">
          <w:pgSz w:w="11910" w:h="16840"/>
          <w:pgMar w:top="1460" w:right="1133" w:bottom="940" w:left="1133" w:header="0" w:footer="745" w:gutter="0"/>
          <w:cols w:space="720"/>
        </w:sectPr>
      </w:pPr>
      <w:r>
        <w:rPr>
          <w:color w:val="1C1C2D"/>
        </w:rPr>
        <w:t>This argument deserves to be taken seriously. History does contain examples of communities successfully reforming corporate governance through sustained pressure. The 'stay and fight' strategy is not inherently naive.</w:t>
      </w:r>
    </w:p>
    <w:p w14:paraId="3F1991E2" w14:textId="77777777" w:rsidR="004E1EB7" w:rsidRDefault="00000000">
      <w:pPr>
        <w:pBdr>
          <w:top w:val="nil"/>
          <w:left w:val="nil"/>
          <w:bottom w:val="nil"/>
          <w:right w:val="nil"/>
          <w:between w:val="nil"/>
        </w:pBdr>
        <w:spacing w:before="73" w:line="340" w:lineRule="auto"/>
        <w:ind w:left="404" w:right="401"/>
        <w:jc w:val="both"/>
        <w:rPr>
          <w:color w:val="000000"/>
        </w:rPr>
        <w:sectPr w:rsidR="004E1EB7">
          <w:pgSz w:w="11910" w:h="16840"/>
          <w:pgMar w:top="1460" w:right="1133" w:bottom="940" w:left="1133" w:header="0" w:footer="745" w:gutter="0"/>
          <w:cols w:space="720"/>
        </w:sectPr>
      </w:pPr>
      <w:r>
        <w:rPr>
          <w:color w:val="1C1C2D"/>
        </w:rPr>
        <w:lastRenderedPageBreak/>
        <w:t xml:space="preserve">I find the argument ultimately unpersuasive, however, for two reasons. First, Oracle's response to the formation of The Document Foundation — demanding that members resign from the OpenOffice.org council — demonstrated that it was unwilling to engage in the kind of power-sharing that reform would have required. A company that responds to community </w:t>
      </w:r>
      <w:proofErr w:type="spellStart"/>
      <w:r>
        <w:rPr>
          <w:color w:val="1C1C2D"/>
        </w:rPr>
        <w:t>organisation</w:t>
      </w:r>
      <w:proofErr w:type="spellEnd"/>
      <w:r>
        <w:rPr>
          <w:color w:val="1C1C2D"/>
        </w:rPr>
        <w:t xml:space="preserve"> by demanding loyalty oaths is not a company that will respond to sustained advocacy. Second, the copyright assignment clause meant that every additional contribution made by staying would further entrench Oracle's legal control. Staying was not a neutral choice — it was a choice to keep paying into a system that the community had identified as unjust.</w:t>
      </w:r>
    </w:p>
    <w:p w14:paraId="52FE561B" w14:textId="77777777" w:rsidR="004E1EB7" w:rsidRDefault="00000000">
      <w:pPr>
        <w:spacing w:before="70"/>
        <w:ind w:left="404"/>
        <w:rPr>
          <w:b/>
          <w:bCs/>
          <w:sz w:val="18"/>
          <w:szCs w:val="18"/>
        </w:rPr>
      </w:pPr>
      <w:r>
        <w:rPr>
          <w:b/>
          <w:bCs/>
          <w:color w:val="3A6BBF"/>
          <w:sz w:val="18"/>
          <w:szCs w:val="18"/>
        </w:rPr>
        <w:lastRenderedPageBreak/>
        <w:t>SECTION D</w:t>
      </w:r>
    </w:p>
    <w:p w14:paraId="023A1CD5" w14:textId="77777777" w:rsidR="004E1EB7" w:rsidRDefault="004E1EB7">
      <w:pPr>
        <w:pBdr>
          <w:top w:val="nil"/>
          <w:left w:val="nil"/>
          <w:bottom w:val="nil"/>
          <w:right w:val="nil"/>
          <w:between w:val="nil"/>
        </w:pBdr>
        <w:spacing w:before="197"/>
        <w:rPr>
          <w:b/>
          <w:bCs/>
          <w:color w:val="000000"/>
          <w:sz w:val="18"/>
          <w:szCs w:val="18"/>
        </w:rPr>
      </w:pPr>
    </w:p>
    <w:p w14:paraId="0A70D4C0" w14:textId="77777777" w:rsidR="004E1EB7" w:rsidRDefault="00000000">
      <w:pPr>
        <w:pStyle w:val="Heading1"/>
        <w:ind w:firstLine="404"/>
      </w:pPr>
      <w:r>
        <w:rPr>
          <w:color w:val="1A233F"/>
        </w:rPr>
        <w:t xml:space="preserve">Lessons and </w:t>
      </w:r>
      <w:proofErr w:type="spellStart"/>
      <w:r>
        <w:rPr>
          <w:color w:val="1A233F"/>
        </w:rPr>
        <w:t>Generalisation</w:t>
      </w:r>
      <w:proofErr w:type="spellEnd"/>
    </w:p>
    <w:p w14:paraId="259E742A" w14:textId="77777777" w:rsidR="004E1EB7" w:rsidRDefault="00000000">
      <w:pPr>
        <w:pBdr>
          <w:top w:val="nil"/>
          <w:left w:val="nil"/>
          <w:bottom w:val="nil"/>
          <w:right w:val="nil"/>
          <w:between w:val="nil"/>
        </w:pBdr>
        <w:spacing w:before="2"/>
        <w:rPr>
          <w:b/>
          <w:bCs/>
          <w:color w:val="000000"/>
          <w:sz w:val="14"/>
          <w:szCs w:val="14"/>
        </w:rPr>
      </w:pPr>
      <w:r>
        <w:rPr>
          <w:noProof/>
        </w:rPr>
        <mc:AlternateContent>
          <mc:Choice Requires="wpg">
            <w:drawing>
              <wp:anchor distT="0" distB="0" distL="0" distR="0" simplePos="0" relativeHeight="251671552" behindDoc="0" locked="0" layoutInCell="1" hidden="0" allowOverlap="1" wp14:anchorId="24475D1A" wp14:editId="60CB6F1B">
                <wp:simplePos x="0" y="0"/>
                <wp:positionH relativeFrom="column">
                  <wp:posOffset>256745</wp:posOffset>
                </wp:positionH>
                <wp:positionV relativeFrom="paragraph">
                  <wp:posOffset>111511</wp:posOffset>
                </wp:positionV>
                <wp:extent cx="5607685" cy="15225"/>
                <wp:effectExtent l="0" t="0" r="0" b="0"/>
                <wp:wrapTopAndBottom distT="0" distB="0"/>
                <wp:docPr id="21" name="Freeform: Shape 21"/>
                <wp:cNvGraphicFramePr/>
                <a:graphic xmlns:a="http://schemas.openxmlformats.org/drawingml/2006/main">
                  <a:graphicData uri="http://schemas.microsoft.com/office/word/2010/wordprocessingShape">
                    <wps:wsp>
                      <wps:cNvSpPr/>
                      <wps:spPr>
                        <a:xfrm>
                          <a:off x="2542158" y="3779365"/>
                          <a:ext cx="5607685" cy="1270"/>
                        </a:xfrm>
                        <a:custGeom>
                          <a:avLst/>
                          <a:gdLst/>
                          <a:ahLst/>
                          <a:cxnLst/>
                          <a:rect l="l" t="t" r="r" b="b"/>
                          <a:pathLst>
                            <a:path w="5607685" h="120000" extrusionOk="0">
                              <a:moveTo>
                                <a:pt x="0" y="0"/>
                              </a:moveTo>
                              <a:lnTo>
                                <a:pt x="5607599" y="0"/>
                              </a:lnTo>
                            </a:path>
                          </a:pathLst>
                        </a:custGeom>
                        <a:noFill/>
                        <a:ln w="15225" cap="flat" cmpd="sng">
                          <a:solidFill>
                            <a:srgbClr val="2B498C"/>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256745</wp:posOffset>
                </wp:positionH>
                <wp:positionV relativeFrom="paragraph">
                  <wp:posOffset>111511</wp:posOffset>
                </wp:positionV>
                <wp:extent cx="5607685" cy="15225"/>
                <wp:effectExtent b="0" l="0" r="0" t="0"/>
                <wp:wrapTopAndBottom distB="0" distT="0"/>
                <wp:docPr id="21"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5607685" cy="15225"/>
                        </a:xfrm>
                        <a:prstGeom prst="rect"/>
                        <a:ln/>
                      </pic:spPr>
                    </pic:pic>
                  </a:graphicData>
                </a:graphic>
              </wp:anchor>
            </w:drawing>
          </mc:Fallback>
        </mc:AlternateContent>
      </w:r>
    </w:p>
    <w:p w14:paraId="4ADB3262" w14:textId="77777777" w:rsidR="004E1EB7" w:rsidRDefault="00000000">
      <w:pPr>
        <w:pStyle w:val="Heading2"/>
        <w:numPr>
          <w:ilvl w:val="1"/>
          <w:numId w:val="2"/>
        </w:numPr>
        <w:tabs>
          <w:tab w:val="left" w:pos="837"/>
        </w:tabs>
        <w:spacing w:before="284"/>
        <w:ind w:left="837" w:hanging="433"/>
      </w:pPr>
      <w:r>
        <w:rPr>
          <w:color w:val="2B498C"/>
        </w:rPr>
        <w:t>The Double Fork: LibreOffice and MariaDB</w:t>
      </w:r>
    </w:p>
    <w:p w14:paraId="5628C0F7" w14:textId="77777777" w:rsidR="004E1EB7" w:rsidRDefault="00000000">
      <w:pPr>
        <w:pBdr>
          <w:top w:val="nil"/>
          <w:left w:val="nil"/>
          <w:bottom w:val="nil"/>
          <w:right w:val="nil"/>
          <w:between w:val="nil"/>
        </w:pBdr>
        <w:spacing w:before="138" w:line="340" w:lineRule="auto"/>
        <w:ind w:left="404" w:right="401"/>
        <w:jc w:val="both"/>
        <w:rPr>
          <w:color w:val="000000"/>
        </w:rPr>
      </w:pPr>
      <w:r>
        <w:rPr>
          <w:color w:val="1C1C2D"/>
        </w:rPr>
        <w:t xml:space="preserve">The fact that two major </w:t>
      </w:r>
      <w:proofErr w:type="gramStart"/>
      <w:r>
        <w:rPr>
          <w:color w:val="1C1C2D"/>
        </w:rPr>
        <w:t>open source</w:t>
      </w:r>
      <w:proofErr w:type="gramEnd"/>
      <w:r>
        <w:rPr>
          <w:color w:val="1C1C2D"/>
        </w:rPr>
        <w:t xml:space="preserve"> projects — OpenOffice.org and MySQL — forked from the same corporate acquisition within approximately the same time period is not a coincidence. It is a data point. And data points, when they repeat, become patterns worth understanding.</w:t>
      </w:r>
    </w:p>
    <w:p w14:paraId="747FA057" w14:textId="77777777" w:rsidR="004E1EB7" w:rsidRDefault="00000000">
      <w:pPr>
        <w:pBdr>
          <w:top w:val="nil"/>
          <w:left w:val="nil"/>
          <w:bottom w:val="nil"/>
          <w:right w:val="nil"/>
          <w:between w:val="nil"/>
        </w:pBdr>
        <w:spacing w:before="163" w:line="340" w:lineRule="auto"/>
        <w:ind w:left="404" w:right="401"/>
        <w:jc w:val="both"/>
        <w:rPr>
          <w:color w:val="000000"/>
        </w:rPr>
      </w:pPr>
      <w:r>
        <w:rPr>
          <w:color w:val="1C1C2D"/>
        </w:rPr>
        <w:t xml:space="preserve">MySQL's story closely parallels LibreOffice's. MySQL AB, the company that originally developed MySQL, had sold itself to Sun Microsystems in 2008. When Oracle acquired Sun in 2010, MySQL's founder Michael Widenius — who had already sold the company but remained deeply invested in the project's </w:t>
      </w:r>
      <w:proofErr w:type="gramStart"/>
      <w:r>
        <w:rPr>
          <w:color w:val="1C1C2D"/>
        </w:rPr>
        <w:t>open source</w:t>
      </w:r>
      <w:proofErr w:type="gramEnd"/>
      <w:r>
        <w:rPr>
          <w:color w:val="1C1C2D"/>
        </w:rPr>
        <w:t xml:space="preserve"> mission — made the same calculation as the LibreOffice founders. Oracle's ownership of MySQL posed an unacceptable risk to the project's long-term openness. His response was MariaDB, a fully compatible fork designed from the outset to remain community-controlled.</w:t>
      </w:r>
    </w:p>
    <w:p w14:paraId="5F3716ED" w14:textId="77777777" w:rsidR="004E1EB7" w:rsidRDefault="00000000">
      <w:pPr>
        <w:pBdr>
          <w:top w:val="nil"/>
          <w:left w:val="nil"/>
          <w:bottom w:val="nil"/>
          <w:right w:val="nil"/>
          <w:between w:val="nil"/>
        </w:pBdr>
        <w:spacing w:before="166" w:line="340" w:lineRule="auto"/>
        <w:ind w:left="404" w:right="401"/>
        <w:jc w:val="both"/>
        <w:rPr>
          <w:color w:val="000000"/>
        </w:rPr>
      </w:pPr>
      <w:r>
        <w:rPr>
          <w:color w:val="1C1C2D"/>
        </w:rPr>
        <w:t xml:space="preserve">MariaDB has become the default MySQL-compatible database on most major Linux distributions. Many developers use it without </w:t>
      </w:r>
      <w:proofErr w:type="spellStart"/>
      <w:r>
        <w:rPr>
          <w:color w:val="1C1C2D"/>
        </w:rPr>
        <w:t>realising</w:t>
      </w:r>
      <w:proofErr w:type="spellEnd"/>
      <w:r>
        <w:rPr>
          <w:color w:val="1C1C2D"/>
        </w:rPr>
        <w:t xml:space="preserve"> that the 'MySQL' in their LAMP stack was quietly replaced years ago. The parallel with LibreOffice is almost exact: fork, governance reform, community migration, eventual dominance over the original corporate-controlled project.</w:t>
      </w:r>
    </w:p>
    <w:p w14:paraId="5F775C89" w14:textId="77777777" w:rsidR="004E1EB7" w:rsidRDefault="00000000">
      <w:pPr>
        <w:pBdr>
          <w:top w:val="nil"/>
          <w:left w:val="nil"/>
          <w:bottom w:val="nil"/>
          <w:right w:val="nil"/>
          <w:between w:val="nil"/>
        </w:pBdr>
        <w:spacing w:before="164" w:line="340" w:lineRule="auto"/>
        <w:ind w:left="404" w:right="401"/>
        <w:jc w:val="both"/>
        <w:rPr>
          <w:color w:val="000000"/>
        </w:rPr>
      </w:pPr>
      <w:r>
        <w:rPr>
          <w:color w:val="1C1C2D"/>
        </w:rPr>
        <w:t xml:space="preserve">What does this pattern tell us? At minimum, it tells us that Oracle's handling of its Sun acquisitions represented a systematic failure to understand the conditions under which </w:t>
      </w:r>
      <w:proofErr w:type="gramStart"/>
      <w:r>
        <w:rPr>
          <w:color w:val="1C1C2D"/>
        </w:rPr>
        <w:t>open source</w:t>
      </w:r>
      <w:proofErr w:type="gramEnd"/>
      <w:r>
        <w:rPr>
          <w:color w:val="1C1C2D"/>
        </w:rPr>
        <w:t xml:space="preserve"> communities produce value. Oracle appears to have evaluated OpenOffice.org and MySQL primarily as IP assets — as sources of copyright, brand value, and commercial leverage. It does not appear to have understood that the value of these projects was not in their codebases but in their communities.</w:t>
      </w:r>
    </w:p>
    <w:p w14:paraId="0125D6D4" w14:textId="77777777" w:rsidR="004E1EB7" w:rsidRDefault="00000000">
      <w:pPr>
        <w:pBdr>
          <w:top w:val="nil"/>
          <w:left w:val="nil"/>
          <w:bottom w:val="nil"/>
          <w:right w:val="nil"/>
          <w:between w:val="nil"/>
        </w:pBdr>
        <w:spacing w:before="164" w:line="340" w:lineRule="auto"/>
        <w:ind w:left="404" w:right="401"/>
        <w:jc w:val="both"/>
        <w:rPr>
          <w:color w:val="000000"/>
        </w:rPr>
        <w:sectPr w:rsidR="004E1EB7">
          <w:pgSz w:w="11910" w:h="16840"/>
          <w:pgMar w:top="1460" w:right="1133" w:bottom="940" w:left="1133" w:header="0" w:footer="745" w:gutter="0"/>
          <w:cols w:space="720"/>
        </w:sectPr>
      </w:pPr>
      <w:r>
        <w:rPr>
          <w:color w:val="1C1C2D"/>
        </w:rPr>
        <w:t xml:space="preserve">The deeper lesson, applicable far beyond Oracle, is this: </w:t>
      </w:r>
      <w:proofErr w:type="gramStart"/>
      <w:r>
        <w:rPr>
          <w:color w:val="1C1C2D"/>
        </w:rPr>
        <w:t>open source</w:t>
      </w:r>
      <w:proofErr w:type="gramEnd"/>
      <w:r>
        <w:rPr>
          <w:color w:val="1C1C2D"/>
        </w:rPr>
        <w:t xml:space="preserve"> communities produce value through voluntary participation. Voluntary participation depends on trust. Trust depends on governance structures that give participants genuine power over what they build. When a corporate owner's incentives are misaligned with community trust, the community will eventually leave — and when it leaves, it takes the project's vitality with it. The codebase remains; the community does not.</w:t>
      </w:r>
    </w:p>
    <w:p w14:paraId="23AF3B70" w14:textId="77777777" w:rsidR="004E1EB7" w:rsidRDefault="00000000">
      <w:pPr>
        <w:pBdr>
          <w:top w:val="nil"/>
          <w:left w:val="nil"/>
          <w:bottom w:val="nil"/>
          <w:right w:val="nil"/>
          <w:between w:val="nil"/>
        </w:pBdr>
        <w:ind w:left="836"/>
        <w:rPr>
          <w:color w:val="000000"/>
          <w:sz w:val="20"/>
          <w:szCs w:val="20"/>
        </w:rPr>
      </w:pPr>
      <w:r>
        <w:rPr>
          <w:noProof/>
          <w:color w:val="000000"/>
          <w:sz w:val="20"/>
          <w:szCs w:val="20"/>
        </w:rPr>
        <w:lastRenderedPageBreak/>
        <mc:AlternateContent>
          <mc:Choice Requires="wps">
            <w:drawing>
              <wp:inline distT="0" distB="0" distL="0" distR="0" wp14:anchorId="777255A4" wp14:editId="784C77ED">
                <wp:extent cx="5059045" cy="831850"/>
                <wp:effectExtent l="0" t="0" r="0" b="0"/>
                <wp:docPr id="13" name="Rectangle 13"/>
                <wp:cNvGraphicFramePr/>
                <a:graphic xmlns:a="http://schemas.openxmlformats.org/drawingml/2006/main">
                  <a:graphicData uri="http://schemas.microsoft.com/office/word/2010/wordprocessingShape">
                    <wps:wsp>
                      <wps:cNvSpPr/>
                      <wps:spPr>
                        <a:xfrm>
                          <a:off x="2826003" y="3373600"/>
                          <a:ext cx="5039995" cy="812800"/>
                        </a:xfrm>
                        <a:prstGeom prst="rect">
                          <a:avLst/>
                        </a:prstGeom>
                        <a:solidFill>
                          <a:srgbClr val="DBE8F4"/>
                        </a:solidFill>
                        <a:ln w="19050" cap="flat" cmpd="sng">
                          <a:solidFill>
                            <a:srgbClr val="3A6BBF"/>
                          </a:solidFill>
                          <a:prstDash val="solid"/>
                          <a:round/>
                          <a:headEnd type="none" w="sm" len="sm"/>
                          <a:tailEnd type="none" w="sm" len="sm"/>
                        </a:ln>
                      </wps:spPr>
                      <wps:txbx>
                        <w:txbxContent>
                          <w:p w14:paraId="3C643D15" w14:textId="77777777" w:rsidR="004E1EB7" w:rsidRDefault="004E1EB7">
                            <w:pPr>
                              <w:spacing w:before="3"/>
                              <w:textDirection w:val="btLr"/>
                            </w:pPr>
                          </w:p>
                          <w:p w14:paraId="6C883128" w14:textId="77777777" w:rsidR="004E1EB7" w:rsidRDefault="00000000">
                            <w:pPr>
                              <w:spacing w:before="1" w:line="311" w:lineRule="auto"/>
                              <w:ind w:left="1125" w:firstLine="585"/>
                              <w:textDirection w:val="btLr"/>
                            </w:pPr>
                            <w:r>
                              <w:rPr>
                                <w:b/>
                                <w:i/>
                                <w:color w:val="1A233F"/>
                                <w:sz w:val="24"/>
                              </w:rPr>
                              <w:t>Code can be owned. Community cannot. This is the central lesson of both the LibreOffice and MariaDB forks.</w:t>
                            </w:r>
                          </w:p>
                        </w:txbxContent>
                      </wps:txbx>
                      <wps:bodyPr spcFirstLastPara="1" wrap="square" lIns="0" tIns="0" rIns="0" bIns="0" anchor="t" anchorCtr="0">
                        <a:noAutofit/>
                      </wps:bodyPr>
                    </wps:wsp>
                  </a:graphicData>
                </a:graphic>
              </wp:inline>
            </w:drawing>
          </mc:Choice>
          <mc:Fallback>
            <w:pict>
              <v:rect w14:anchorId="777255A4" id="Rectangle 13" o:spid="_x0000_s1031" style="width:398.35pt;height:6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" fillcolor="#dbe8f4" strokecolor="#3a6bbf" strokeweight="1.5pt">
                <v:stroke startarrowwidth="narrow" startarrowlength="short" endarrowwidth="narrow" endarrowlength="short" joinstyle="round"/>
                <v:textbox inset="0,0,0,0">
                  <w:txbxContent>
                    <w:p w14:paraId="3C643D15" w14:textId="77777777" w:rsidR="004E1EB7" w:rsidRDefault="004E1EB7">
                      <w:pPr>
                        <w:spacing w:before="3"/>
                        <w:textDirection w:val="btLr"/>
                      </w:pPr>
                    </w:p>
                    <w:p w14:paraId="6C883128" w14:textId="77777777" w:rsidR="004E1EB7" w:rsidRDefault="00000000">
                      <w:pPr>
                        <w:spacing w:before="1" w:line="311" w:lineRule="auto"/>
                        <w:ind w:left="1125" w:firstLine="585"/>
                        <w:textDirection w:val="btLr"/>
                      </w:pPr>
                      <w:r>
                        <w:rPr>
                          <w:b/>
                          <w:i/>
                          <w:color w:val="1A233F"/>
                          <w:sz w:val="24"/>
                        </w:rPr>
                        <w:t>Code can be owned. Community cannot. This is the central lesson of both the LibreOffice and MariaDB forks.</w:t>
                      </w:r>
                    </w:p>
                  </w:txbxContent>
                </v:textbox>
                <w10:anchorlock/>
              </v:rect>
            </w:pict>
          </mc:Fallback>
        </mc:AlternateContent>
      </w:r>
    </w:p>
    <w:p w14:paraId="148808EA" w14:textId="77777777" w:rsidR="004E1EB7" w:rsidRDefault="00000000">
      <w:pPr>
        <w:pStyle w:val="Heading2"/>
        <w:numPr>
          <w:ilvl w:val="1"/>
          <w:numId w:val="2"/>
        </w:numPr>
        <w:tabs>
          <w:tab w:val="left" w:pos="837"/>
        </w:tabs>
        <w:spacing w:before="240"/>
        <w:ind w:left="837" w:hanging="433"/>
      </w:pPr>
      <w:r>
        <w:rPr>
          <w:color w:val="2B498C"/>
        </w:rPr>
        <w:t>The Company X Hypothetical</w:t>
      </w:r>
    </w:p>
    <w:p w14:paraId="41CAB417" w14:textId="77777777" w:rsidR="004E1EB7" w:rsidRDefault="00000000">
      <w:pPr>
        <w:pBdr>
          <w:top w:val="nil"/>
          <w:left w:val="nil"/>
          <w:bottom w:val="nil"/>
          <w:right w:val="nil"/>
          <w:between w:val="nil"/>
        </w:pBdr>
        <w:spacing w:before="139" w:line="340" w:lineRule="auto"/>
        <w:ind w:left="404" w:right="401"/>
        <w:jc w:val="both"/>
        <w:rPr>
          <w:color w:val="000000"/>
        </w:rPr>
      </w:pPr>
      <w:r>
        <w:rPr>
          <w:color w:val="1C1C2D"/>
        </w:rPr>
        <w:t xml:space="preserve">Consider the following hypothetical: Company X contributes the majority of code to a popular </w:t>
      </w:r>
      <w:proofErr w:type="gramStart"/>
      <w:r>
        <w:rPr>
          <w:color w:val="1C1C2D"/>
        </w:rPr>
        <w:t>open source</w:t>
      </w:r>
      <w:proofErr w:type="gramEnd"/>
      <w:r>
        <w:rPr>
          <w:color w:val="1C1C2D"/>
        </w:rPr>
        <w:t xml:space="preserve"> project, controls its governance through board representation and decision-making authority, and uses the project's success to attract customers to its commercial cloud services. Is this situation meaningfully different from the Oracle/OpenOffice.org situation?</w:t>
      </w:r>
    </w:p>
    <w:p w14:paraId="186BA598" w14:textId="77777777" w:rsidR="004E1EB7" w:rsidRDefault="00000000">
      <w:pPr>
        <w:pBdr>
          <w:top w:val="nil"/>
          <w:left w:val="nil"/>
          <w:bottom w:val="nil"/>
          <w:right w:val="nil"/>
          <w:between w:val="nil"/>
        </w:pBdr>
        <w:spacing w:before="164" w:line="340" w:lineRule="auto"/>
        <w:ind w:left="404" w:right="401"/>
        <w:jc w:val="both"/>
        <w:rPr>
          <w:color w:val="000000"/>
        </w:rPr>
      </w:pPr>
      <w:r>
        <w:rPr>
          <w:color w:val="1C1C2D"/>
        </w:rPr>
        <w:t>The honest answer is: it depends — and the criteria that matter are specific and identifiable.</w:t>
      </w:r>
    </w:p>
    <w:p w14:paraId="74BC8218" w14:textId="77777777" w:rsidR="004E1EB7" w:rsidRDefault="00000000">
      <w:pPr>
        <w:pBdr>
          <w:top w:val="nil"/>
          <w:left w:val="nil"/>
          <w:bottom w:val="nil"/>
          <w:right w:val="nil"/>
          <w:between w:val="nil"/>
        </w:pBdr>
        <w:spacing w:before="161" w:line="340" w:lineRule="auto"/>
        <w:ind w:left="404" w:right="401"/>
        <w:jc w:val="both"/>
        <w:rPr>
          <w:color w:val="000000"/>
        </w:rPr>
      </w:pPr>
      <w:r>
        <w:rPr>
          <w:color w:val="1C1C2D"/>
        </w:rPr>
        <w:t>There are important ways in which Company X's situation is more defensible. If Company X is the majority contributor to the project's codebase, its governance authority is more proportionate to its actual contribution. A company that writes 60% of the code has a more legitimate claim to governance influence than Sun did over OpenOffice.org, where volunteer contributions were substantial. Additionally, if Company X is actively investing in the project's development rather than merely exploiting legacy community contributions, its interests and the community's interests are more likely to align.</w:t>
      </w:r>
    </w:p>
    <w:p w14:paraId="7ED7D6AA" w14:textId="77777777" w:rsidR="004E1EB7" w:rsidRDefault="00000000">
      <w:pPr>
        <w:pBdr>
          <w:top w:val="nil"/>
          <w:left w:val="nil"/>
          <w:bottom w:val="nil"/>
          <w:right w:val="nil"/>
          <w:between w:val="nil"/>
        </w:pBdr>
        <w:spacing w:before="166" w:line="340" w:lineRule="auto"/>
        <w:ind w:left="404" w:right="401"/>
        <w:jc w:val="both"/>
        <w:rPr>
          <w:color w:val="000000"/>
        </w:rPr>
      </w:pPr>
      <w:r>
        <w:rPr>
          <w:color w:val="1C1C2D"/>
        </w:rPr>
        <w:t xml:space="preserve">However, there are also ways in which Company X's situation raises the same concerns. If governance control is used to direct the project toward features that serve commercial cloud customers at the expense of the broader user base, the community's interests are subordinated to corporate interests. If the copyright assignment or contributor </w:t>
      </w:r>
      <w:proofErr w:type="spellStart"/>
      <w:r>
        <w:rPr>
          <w:color w:val="1C1C2D"/>
        </w:rPr>
        <w:t>licence</w:t>
      </w:r>
      <w:proofErr w:type="spellEnd"/>
      <w:r>
        <w:rPr>
          <w:color w:val="1C1C2D"/>
        </w:rPr>
        <w:t xml:space="preserve"> agreement gives Company X rights that allow it to </w:t>
      </w:r>
      <w:proofErr w:type="spellStart"/>
      <w:r>
        <w:rPr>
          <w:color w:val="1C1C2D"/>
        </w:rPr>
        <w:t>relicence</w:t>
      </w:r>
      <w:proofErr w:type="spellEnd"/>
      <w:r>
        <w:rPr>
          <w:color w:val="1C1C2D"/>
        </w:rPr>
        <w:t xml:space="preserve"> the project or restrict self-hosting — as has happened with some prominent projects in recent years — the community is once again exposed to the freedom trap.</w:t>
      </w:r>
    </w:p>
    <w:p w14:paraId="39533304" w14:textId="77777777" w:rsidR="004E1EB7" w:rsidRDefault="00000000">
      <w:pPr>
        <w:pBdr>
          <w:top w:val="nil"/>
          <w:left w:val="nil"/>
          <w:bottom w:val="nil"/>
          <w:right w:val="nil"/>
          <w:between w:val="nil"/>
        </w:pBdr>
        <w:spacing w:before="165"/>
        <w:ind w:left="404"/>
        <w:jc w:val="both"/>
        <w:rPr>
          <w:color w:val="000000"/>
        </w:rPr>
      </w:pPr>
      <w:r>
        <w:rPr>
          <w:color w:val="1C1C2D"/>
        </w:rPr>
        <w:t>The criteria I would use to evaluate whether a corporate steward can be trusted are:</w:t>
      </w:r>
    </w:p>
    <w:p w14:paraId="47D8F2A6" w14:textId="77777777" w:rsidR="004E1EB7" w:rsidRDefault="004E1EB7">
      <w:pPr>
        <w:pBdr>
          <w:top w:val="nil"/>
          <w:left w:val="nil"/>
          <w:bottom w:val="nil"/>
          <w:right w:val="nil"/>
          <w:between w:val="nil"/>
        </w:pBdr>
        <w:spacing w:before="15"/>
        <w:rPr>
          <w:color w:val="000000"/>
          <w:sz w:val="20"/>
          <w:szCs w:val="20"/>
        </w:rPr>
      </w:pPr>
    </w:p>
    <w:tbl>
      <w:tblPr>
        <w:tblStyle w:val="a1"/>
        <w:tblW w:w="9353" w:type="dxa"/>
        <w:tblInd w:w="154" w:type="dxa"/>
        <w:tblBorders>
          <w:top w:val="single" w:sz="8" w:space="0" w:color="2B498C"/>
          <w:left w:val="single" w:sz="8" w:space="0" w:color="2B498C"/>
          <w:bottom w:val="single" w:sz="8" w:space="0" w:color="2B498C"/>
          <w:right w:val="single" w:sz="8" w:space="0" w:color="2B498C"/>
          <w:insideH w:val="single" w:sz="8" w:space="0" w:color="2B498C"/>
          <w:insideV w:val="single" w:sz="8" w:space="0" w:color="2B498C"/>
        </w:tblBorders>
        <w:tblLayout w:type="fixed"/>
        <w:tblLook w:val="0000" w:firstRow="0" w:lastRow="0" w:firstColumn="0" w:lastColumn="0" w:noHBand="0" w:noVBand="0"/>
      </w:tblPr>
      <w:tblGrid>
        <w:gridCol w:w="2551"/>
        <w:gridCol w:w="3401"/>
        <w:gridCol w:w="3401"/>
      </w:tblGrid>
      <w:tr w:rsidR="004E1EB7" w14:paraId="67F7034A" w14:textId="77777777">
        <w:trPr>
          <w:trHeight w:val="585"/>
        </w:trPr>
        <w:tc>
          <w:tcPr>
            <w:tcW w:w="2551" w:type="dxa"/>
            <w:tcBorders>
              <w:bottom w:val="single" w:sz="4" w:space="0" w:color="CCCCDD"/>
              <w:right w:val="single" w:sz="4" w:space="0" w:color="CCCCDD"/>
            </w:tcBorders>
            <w:shd w:val="clear" w:color="auto" w:fill="1A233F"/>
          </w:tcPr>
          <w:p w14:paraId="68E1AE1B" w14:textId="77777777" w:rsidR="004E1EB7" w:rsidRDefault="00000000">
            <w:pPr>
              <w:pBdr>
                <w:top w:val="nil"/>
                <w:left w:val="nil"/>
                <w:bottom w:val="nil"/>
                <w:right w:val="nil"/>
                <w:between w:val="nil"/>
              </w:pBdr>
              <w:spacing w:before="162"/>
              <w:ind w:left="11"/>
              <w:jc w:val="center"/>
              <w:rPr>
                <w:b/>
                <w:bCs/>
                <w:color w:val="000000"/>
                <w:sz w:val="20"/>
                <w:szCs w:val="20"/>
              </w:rPr>
            </w:pPr>
            <w:r>
              <w:rPr>
                <w:b/>
                <w:bCs/>
                <w:color w:val="FFFFFF"/>
                <w:sz w:val="20"/>
                <w:szCs w:val="20"/>
              </w:rPr>
              <w:t>Criterion</w:t>
            </w:r>
          </w:p>
        </w:tc>
        <w:tc>
          <w:tcPr>
            <w:tcW w:w="3401" w:type="dxa"/>
            <w:tcBorders>
              <w:left w:val="single" w:sz="4" w:space="0" w:color="CCCCDD"/>
              <w:bottom w:val="single" w:sz="4" w:space="0" w:color="CCCCDD"/>
              <w:right w:val="single" w:sz="4" w:space="0" w:color="CCCCDD"/>
            </w:tcBorders>
            <w:shd w:val="clear" w:color="auto" w:fill="1A233F"/>
          </w:tcPr>
          <w:p w14:paraId="34E13FEA" w14:textId="77777777" w:rsidR="004E1EB7" w:rsidRDefault="00000000">
            <w:pPr>
              <w:pBdr>
                <w:top w:val="nil"/>
                <w:left w:val="nil"/>
                <w:bottom w:val="nil"/>
                <w:right w:val="nil"/>
                <w:between w:val="nil"/>
              </w:pBdr>
              <w:spacing w:before="162"/>
              <w:ind w:left="16"/>
              <w:jc w:val="center"/>
              <w:rPr>
                <w:b/>
                <w:bCs/>
                <w:color w:val="000000"/>
                <w:sz w:val="20"/>
                <w:szCs w:val="20"/>
              </w:rPr>
            </w:pPr>
            <w:r>
              <w:rPr>
                <w:b/>
                <w:bCs/>
                <w:color w:val="FFFFFF"/>
                <w:sz w:val="20"/>
                <w:szCs w:val="20"/>
              </w:rPr>
              <w:t>Green Flag</w:t>
            </w:r>
          </w:p>
        </w:tc>
        <w:tc>
          <w:tcPr>
            <w:tcW w:w="3401" w:type="dxa"/>
            <w:tcBorders>
              <w:left w:val="single" w:sz="4" w:space="0" w:color="CCCCDD"/>
              <w:bottom w:val="single" w:sz="4" w:space="0" w:color="CCCCDD"/>
            </w:tcBorders>
            <w:shd w:val="clear" w:color="auto" w:fill="1A233F"/>
          </w:tcPr>
          <w:p w14:paraId="405DC262" w14:textId="77777777" w:rsidR="004E1EB7" w:rsidRDefault="00000000">
            <w:pPr>
              <w:pBdr>
                <w:top w:val="nil"/>
                <w:left w:val="nil"/>
                <w:bottom w:val="nil"/>
                <w:right w:val="nil"/>
                <w:between w:val="nil"/>
              </w:pBdr>
              <w:spacing w:before="162"/>
              <w:ind w:left="23"/>
              <w:jc w:val="center"/>
              <w:rPr>
                <w:b/>
                <w:bCs/>
                <w:color w:val="000000"/>
                <w:sz w:val="20"/>
                <w:szCs w:val="20"/>
              </w:rPr>
            </w:pPr>
            <w:r>
              <w:rPr>
                <w:b/>
                <w:bCs/>
                <w:color w:val="FFFFFF"/>
                <w:sz w:val="20"/>
                <w:szCs w:val="20"/>
              </w:rPr>
              <w:t>Red Flag</w:t>
            </w:r>
          </w:p>
        </w:tc>
      </w:tr>
      <w:tr w:rsidR="004E1EB7" w14:paraId="14BEE637" w14:textId="77777777">
        <w:trPr>
          <w:trHeight w:val="870"/>
        </w:trPr>
        <w:tc>
          <w:tcPr>
            <w:tcW w:w="2551" w:type="dxa"/>
            <w:tcBorders>
              <w:top w:val="single" w:sz="4" w:space="0" w:color="CCCCDD"/>
              <w:bottom w:val="single" w:sz="4" w:space="0" w:color="CCCCDD"/>
              <w:right w:val="single" w:sz="4" w:space="0" w:color="CCCCDD"/>
            </w:tcBorders>
          </w:tcPr>
          <w:p w14:paraId="0A4617FC" w14:textId="77777777" w:rsidR="004E1EB7" w:rsidRDefault="00000000">
            <w:pPr>
              <w:pBdr>
                <w:top w:val="nil"/>
                <w:left w:val="nil"/>
                <w:bottom w:val="nil"/>
                <w:right w:val="nil"/>
                <w:between w:val="nil"/>
              </w:pBdr>
              <w:spacing w:before="167"/>
              <w:ind w:left="157"/>
              <w:rPr>
                <w:color w:val="000000"/>
                <w:sz w:val="20"/>
                <w:szCs w:val="20"/>
              </w:rPr>
            </w:pPr>
            <w:r>
              <w:rPr>
                <w:color w:val="1C1C2D"/>
                <w:sz w:val="20"/>
                <w:szCs w:val="20"/>
              </w:rPr>
              <w:t>Copyright policy</w:t>
            </w:r>
          </w:p>
        </w:tc>
        <w:tc>
          <w:tcPr>
            <w:tcW w:w="3401" w:type="dxa"/>
            <w:tcBorders>
              <w:top w:val="single" w:sz="4" w:space="0" w:color="CCCCDD"/>
              <w:left w:val="single" w:sz="4" w:space="0" w:color="CCCCDD"/>
              <w:bottom w:val="single" w:sz="4" w:space="0" w:color="CCCCDD"/>
              <w:right w:val="single" w:sz="4" w:space="0" w:color="CCCCDD"/>
            </w:tcBorders>
          </w:tcPr>
          <w:p w14:paraId="3E12D9D1" w14:textId="77777777" w:rsidR="004E1EB7" w:rsidRDefault="00000000">
            <w:pPr>
              <w:pBdr>
                <w:top w:val="nil"/>
                <w:left w:val="nil"/>
                <w:bottom w:val="nil"/>
                <w:right w:val="nil"/>
                <w:between w:val="nil"/>
              </w:pBdr>
              <w:spacing w:before="167" w:line="291" w:lineRule="auto"/>
              <w:ind w:left="163" w:right="218"/>
              <w:rPr>
                <w:color w:val="000000"/>
                <w:sz w:val="20"/>
                <w:szCs w:val="20"/>
              </w:rPr>
            </w:pPr>
            <w:r>
              <w:rPr>
                <w:color w:val="1C1C2D"/>
                <w:sz w:val="20"/>
                <w:szCs w:val="20"/>
              </w:rPr>
              <w:t>Contributors retain copyright or use a DCO</w:t>
            </w:r>
          </w:p>
        </w:tc>
        <w:tc>
          <w:tcPr>
            <w:tcW w:w="3401" w:type="dxa"/>
            <w:tcBorders>
              <w:top w:val="single" w:sz="4" w:space="0" w:color="CCCCDD"/>
              <w:left w:val="single" w:sz="4" w:space="0" w:color="CCCCDD"/>
              <w:bottom w:val="single" w:sz="4" w:space="0" w:color="CCCCDD"/>
            </w:tcBorders>
          </w:tcPr>
          <w:p w14:paraId="743AF466" w14:textId="77777777" w:rsidR="004E1EB7" w:rsidRDefault="00000000">
            <w:pPr>
              <w:pBdr>
                <w:top w:val="nil"/>
                <w:left w:val="nil"/>
                <w:bottom w:val="nil"/>
                <w:right w:val="nil"/>
                <w:between w:val="nil"/>
              </w:pBdr>
              <w:spacing w:before="167" w:line="291" w:lineRule="auto"/>
              <w:ind w:left="163" w:right="213"/>
              <w:rPr>
                <w:color w:val="000000"/>
                <w:sz w:val="20"/>
                <w:szCs w:val="20"/>
              </w:rPr>
            </w:pPr>
            <w:r>
              <w:rPr>
                <w:color w:val="1C1C2D"/>
                <w:sz w:val="20"/>
                <w:szCs w:val="20"/>
              </w:rPr>
              <w:t>Mandatory assignment of copyright to corporation</w:t>
            </w:r>
          </w:p>
        </w:tc>
      </w:tr>
      <w:tr w:rsidR="004E1EB7" w14:paraId="6F26CB18" w14:textId="77777777">
        <w:trPr>
          <w:trHeight w:val="869"/>
        </w:trPr>
        <w:tc>
          <w:tcPr>
            <w:tcW w:w="2551" w:type="dxa"/>
            <w:tcBorders>
              <w:top w:val="single" w:sz="4" w:space="0" w:color="CCCCDD"/>
              <w:bottom w:val="single" w:sz="4" w:space="0" w:color="CCCCDD"/>
              <w:right w:val="single" w:sz="4" w:space="0" w:color="CCCCDD"/>
            </w:tcBorders>
            <w:shd w:val="clear" w:color="auto" w:fill="F4F6FB"/>
          </w:tcPr>
          <w:p w14:paraId="7A929AE0" w14:textId="77777777" w:rsidR="004E1EB7" w:rsidRDefault="00000000">
            <w:pPr>
              <w:pBdr>
                <w:top w:val="nil"/>
                <w:left w:val="nil"/>
                <w:bottom w:val="nil"/>
                <w:right w:val="nil"/>
                <w:between w:val="nil"/>
              </w:pBdr>
              <w:spacing w:before="167"/>
              <w:ind w:left="157"/>
              <w:rPr>
                <w:color w:val="000000"/>
                <w:sz w:val="20"/>
                <w:szCs w:val="20"/>
              </w:rPr>
            </w:pPr>
            <w:r>
              <w:rPr>
                <w:color w:val="1C1C2D"/>
                <w:sz w:val="20"/>
                <w:szCs w:val="20"/>
              </w:rPr>
              <w:t>Governance structure</w:t>
            </w:r>
          </w:p>
        </w:tc>
        <w:tc>
          <w:tcPr>
            <w:tcW w:w="3401" w:type="dxa"/>
            <w:tcBorders>
              <w:top w:val="single" w:sz="4" w:space="0" w:color="CCCCDD"/>
              <w:left w:val="single" w:sz="4" w:space="0" w:color="CCCCDD"/>
              <w:bottom w:val="single" w:sz="4" w:space="0" w:color="CCCCDD"/>
              <w:right w:val="single" w:sz="4" w:space="0" w:color="CCCCDD"/>
            </w:tcBorders>
            <w:shd w:val="clear" w:color="auto" w:fill="F4F6FB"/>
          </w:tcPr>
          <w:p w14:paraId="654C8DD7" w14:textId="77777777" w:rsidR="004E1EB7" w:rsidRDefault="00000000">
            <w:pPr>
              <w:pBdr>
                <w:top w:val="nil"/>
                <w:left w:val="nil"/>
                <w:bottom w:val="nil"/>
                <w:right w:val="nil"/>
                <w:between w:val="nil"/>
              </w:pBdr>
              <w:spacing w:before="167" w:line="291" w:lineRule="auto"/>
              <w:ind w:left="163" w:right="218"/>
              <w:rPr>
                <w:color w:val="000000"/>
                <w:sz w:val="20"/>
                <w:szCs w:val="20"/>
              </w:rPr>
            </w:pPr>
            <w:r>
              <w:rPr>
                <w:color w:val="1C1C2D"/>
                <w:sz w:val="20"/>
                <w:szCs w:val="20"/>
              </w:rPr>
              <w:t>Cap on corporate board seats; elected community representation</w:t>
            </w:r>
          </w:p>
        </w:tc>
        <w:tc>
          <w:tcPr>
            <w:tcW w:w="3401" w:type="dxa"/>
            <w:tcBorders>
              <w:top w:val="single" w:sz="4" w:space="0" w:color="CCCCDD"/>
              <w:left w:val="single" w:sz="4" w:space="0" w:color="CCCCDD"/>
              <w:bottom w:val="single" w:sz="4" w:space="0" w:color="CCCCDD"/>
            </w:tcBorders>
            <w:shd w:val="clear" w:color="auto" w:fill="F4F6FB"/>
          </w:tcPr>
          <w:p w14:paraId="44EA64B8" w14:textId="77777777" w:rsidR="004E1EB7" w:rsidRDefault="00000000">
            <w:pPr>
              <w:pBdr>
                <w:top w:val="nil"/>
                <w:left w:val="nil"/>
                <w:bottom w:val="nil"/>
                <w:right w:val="nil"/>
                <w:between w:val="nil"/>
              </w:pBdr>
              <w:spacing w:before="167" w:line="291" w:lineRule="auto"/>
              <w:ind w:left="163" w:right="213"/>
              <w:rPr>
                <w:color w:val="000000"/>
                <w:sz w:val="20"/>
                <w:szCs w:val="20"/>
              </w:rPr>
            </w:pPr>
            <w:r>
              <w:rPr>
                <w:color w:val="1C1C2D"/>
                <w:sz w:val="20"/>
                <w:szCs w:val="20"/>
              </w:rPr>
              <w:t>Corporate employees hold majority of governance power</w:t>
            </w:r>
          </w:p>
        </w:tc>
      </w:tr>
    </w:tbl>
    <w:p w14:paraId="3E4A5945" w14:textId="77777777" w:rsidR="004E1EB7" w:rsidRDefault="004E1EB7">
      <w:pPr>
        <w:pBdr>
          <w:top w:val="nil"/>
          <w:left w:val="nil"/>
          <w:bottom w:val="nil"/>
          <w:right w:val="nil"/>
          <w:between w:val="nil"/>
        </w:pBdr>
        <w:spacing w:before="167" w:line="291" w:lineRule="auto"/>
        <w:ind w:left="163"/>
        <w:rPr>
          <w:color w:val="000000"/>
          <w:sz w:val="20"/>
          <w:szCs w:val="20"/>
        </w:rPr>
        <w:sectPr w:rsidR="004E1EB7">
          <w:pgSz w:w="11910" w:h="16840"/>
          <w:pgMar w:top="1520" w:right="1133" w:bottom="1799" w:left="1133" w:header="0" w:footer="745" w:gutter="0"/>
          <w:cols w:space="720"/>
        </w:sectPr>
      </w:pPr>
    </w:p>
    <w:p w14:paraId="454F8827" w14:textId="77777777" w:rsidR="004E1EB7" w:rsidRDefault="004E1EB7">
      <w:pPr>
        <w:pBdr>
          <w:top w:val="nil"/>
          <w:left w:val="nil"/>
          <w:bottom w:val="nil"/>
          <w:right w:val="nil"/>
          <w:between w:val="nil"/>
        </w:pBdr>
        <w:spacing w:line="276" w:lineRule="auto"/>
        <w:rPr>
          <w:color w:val="000000"/>
          <w:sz w:val="20"/>
          <w:szCs w:val="20"/>
        </w:rPr>
      </w:pPr>
    </w:p>
    <w:tbl>
      <w:tblPr>
        <w:tblStyle w:val="a2"/>
        <w:tblW w:w="9353" w:type="dxa"/>
        <w:tblInd w:w="154" w:type="dxa"/>
        <w:tblBorders>
          <w:top w:val="single" w:sz="4" w:space="0" w:color="CCCCDD"/>
          <w:left w:val="single" w:sz="4" w:space="0" w:color="CCCCDD"/>
          <w:bottom w:val="single" w:sz="4" w:space="0" w:color="CCCCDD"/>
          <w:right w:val="single" w:sz="4" w:space="0" w:color="CCCCDD"/>
          <w:insideH w:val="single" w:sz="4" w:space="0" w:color="CCCCDD"/>
          <w:insideV w:val="single" w:sz="4" w:space="0" w:color="CCCCDD"/>
        </w:tblBorders>
        <w:tblLayout w:type="fixed"/>
        <w:tblLook w:val="0000" w:firstRow="0" w:lastRow="0" w:firstColumn="0" w:lastColumn="0" w:noHBand="0" w:noVBand="0"/>
      </w:tblPr>
      <w:tblGrid>
        <w:gridCol w:w="2551"/>
        <w:gridCol w:w="3401"/>
        <w:gridCol w:w="3401"/>
      </w:tblGrid>
      <w:tr w:rsidR="004E1EB7" w14:paraId="6CFA362C" w14:textId="77777777">
        <w:trPr>
          <w:trHeight w:val="870"/>
        </w:trPr>
        <w:tc>
          <w:tcPr>
            <w:tcW w:w="2551" w:type="dxa"/>
            <w:tcBorders>
              <w:left w:val="single" w:sz="8" w:space="0" w:color="2B498C"/>
            </w:tcBorders>
          </w:tcPr>
          <w:p w14:paraId="17272313" w14:textId="77777777" w:rsidR="004E1EB7" w:rsidRDefault="00000000">
            <w:pPr>
              <w:pBdr>
                <w:top w:val="nil"/>
                <w:left w:val="nil"/>
                <w:bottom w:val="nil"/>
                <w:right w:val="nil"/>
                <w:between w:val="nil"/>
              </w:pBdr>
              <w:spacing w:before="167"/>
              <w:ind w:left="157"/>
              <w:rPr>
                <w:color w:val="000000"/>
                <w:sz w:val="20"/>
                <w:szCs w:val="20"/>
              </w:rPr>
            </w:pPr>
            <w:r>
              <w:rPr>
                <w:color w:val="1C1C2D"/>
                <w:sz w:val="20"/>
                <w:szCs w:val="20"/>
              </w:rPr>
              <w:lastRenderedPageBreak/>
              <w:t>Decision transparency</w:t>
            </w:r>
          </w:p>
        </w:tc>
        <w:tc>
          <w:tcPr>
            <w:tcW w:w="3401" w:type="dxa"/>
          </w:tcPr>
          <w:p w14:paraId="537960C0" w14:textId="77777777" w:rsidR="004E1EB7" w:rsidRDefault="00000000">
            <w:pPr>
              <w:pBdr>
                <w:top w:val="nil"/>
                <w:left w:val="nil"/>
                <w:bottom w:val="nil"/>
                <w:right w:val="nil"/>
                <w:between w:val="nil"/>
              </w:pBdr>
              <w:spacing w:before="167" w:line="291" w:lineRule="auto"/>
              <w:ind w:left="163" w:right="218"/>
              <w:rPr>
                <w:color w:val="000000"/>
                <w:sz w:val="20"/>
                <w:szCs w:val="20"/>
              </w:rPr>
            </w:pPr>
            <w:r>
              <w:rPr>
                <w:color w:val="1C1C2D"/>
                <w:sz w:val="20"/>
                <w:szCs w:val="20"/>
              </w:rPr>
              <w:t>Public discussion of major decisions before implementation</w:t>
            </w:r>
          </w:p>
        </w:tc>
        <w:tc>
          <w:tcPr>
            <w:tcW w:w="3401" w:type="dxa"/>
            <w:tcBorders>
              <w:right w:val="single" w:sz="8" w:space="0" w:color="2B498C"/>
            </w:tcBorders>
          </w:tcPr>
          <w:p w14:paraId="72817F36" w14:textId="77777777" w:rsidR="004E1EB7" w:rsidRDefault="00000000">
            <w:pPr>
              <w:pBdr>
                <w:top w:val="nil"/>
                <w:left w:val="nil"/>
                <w:bottom w:val="nil"/>
                <w:right w:val="nil"/>
                <w:between w:val="nil"/>
              </w:pBdr>
              <w:spacing w:before="167" w:line="291" w:lineRule="auto"/>
              <w:ind w:left="163" w:right="213"/>
              <w:rPr>
                <w:color w:val="000000"/>
                <w:sz w:val="20"/>
                <w:szCs w:val="20"/>
              </w:rPr>
            </w:pPr>
            <w:r>
              <w:rPr>
                <w:color w:val="1C1C2D"/>
                <w:sz w:val="20"/>
                <w:szCs w:val="20"/>
              </w:rPr>
              <w:t>Decisions made internally and announced, not consulted</w:t>
            </w:r>
          </w:p>
        </w:tc>
      </w:tr>
      <w:tr w:rsidR="004E1EB7" w14:paraId="1027635D" w14:textId="77777777">
        <w:trPr>
          <w:trHeight w:val="870"/>
        </w:trPr>
        <w:tc>
          <w:tcPr>
            <w:tcW w:w="2551" w:type="dxa"/>
            <w:tcBorders>
              <w:left w:val="single" w:sz="8" w:space="0" w:color="2B498C"/>
            </w:tcBorders>
            <w:shd w:val="clear" w:color="auto" w:fill="F4F6FB"/>
          </w:tcPr>
          <w:p w14:paraId="55FD240E" w14:textId="77777777" w:rsidR="004E1EB7" w:rsidRDefault="00000000">
            <w:pPr>
              <w:pBdr>
                <w:top w:val="nil"/>
                <w:left w:val="nil"/>
                <w:bottom w:val="nil"/>
                <w:right w:val="nil"/>
                <w:between w:val="nil"/>
              </w:pBdr>
              <w:spacing w:before="167"/>
              <w:ind w:left="157"/>
              <w:rPr>
                <w:color w:val="000000"/>
                <w:sz w:val="20"/>
                <w:szCs w:val="20"/>
              </w:rPr>
            </w:pPr>
            <w:proofErr w:type="spellStart"/>
            <w:r>
              <w:rPr>
                <w:color w:val="1C1C2D"/>
                <w:sz w:val="20"/>
                <w:szCs w:val="20"/>
              </w:rPr>
              <w:t>Licence</w:t>
            </w:r>
            <w:proofErr w:type="spellEnd"/>
            <w:r>
              <w:rPr>
                <w:color w:val="1C1C2D"/>
                <w:sz w:val="20"/>
                <w:szCs w:val="20"/>
              </w:rPr>
              <w:t xml:space="preserve"> stability</w:t>
            </w:r>
          </w:p>
        </w:tc>
        <w:tc>
          <w:tcPr>
            <w:tcW w:w="3401" w:type="dxa"/>
            <w:shd w:val="clear" w:color="auto" w:fill="F4F6FB"/>
          </w:tcPr>
          <w:p w14:paraId="6B5D007B" w14:textId="77777777" w:rsidR="004E1EB7" w:rsidRDefault="00000000">
            <w:pPr>
              <w:pBdr>
                <w:top w:val="nil"/>
                <w:left w:val="nil"/>
                <w:bottom w:val="nil"/>
                <w:right w:val="nil"/>
                <w:between w:val="nil"/>
              </w:pBdr>
              <w:spacing w:before="167" w:line="291" w:lineRule="auto"/>
              <w:ind w:left="163" w:right="218"/>
              <w:rPr>
                <w:color w:val="000000"/>
                <w:sz w:val="20"/>
                <w:szCs w:val="20"/>
              </w:rPr>
            </w:pPr>
            <w:r>
              <w:rPr>
                <w:color w:val="1C1C2D"/>
                <w:sz w:val="20"/>
                <w:szCs w:val="20"/>
              </w:rPr>
              <w:t xml:space="preserve">Irrevocable </w:t>
            </w:r>
            <w:proofErr w:type="gramStart"/>
            <w:r>
              <w:rPr>
                <w:color w:val="1C1C2D"/>
                <w:sz w:val="20"/>
                <w:szCs w:val="20"/>
              </w:rPr>
              <w:t>open source</w:t>
            </w:r>
            <w:proofErr w:type="gramEnd"/>
            <w:r>
              <w:rPr>
                <w:color w:val="1C1C2D"/>
                <w:sz w:val="20"/>
                <w:szCs w:val="20"/>
              </w:rPr>
              <w:t xml:space="preserve"> </w:t>
            </w:r>
            <w:proofErr w:type="spellStart"/>
            <w:r>
              <w:rPr>
                <w:color w:val="1C1C2D"/>
                <w:sz w:val="20"/>
                <w:szCs w:val="20"/>
              </w:rPr>
              <w:t>licence</w:t>
            </w:r>
            <w:proofErr w:type="spellEnd"/>
            <w:r>
              <w:rPr>
                <w:color w:val="1C1C2D"/>
                <w:sz w:val="20"/>
                <w:szCs w:val="20"/>
              </w:rPr>
              <w:t xml:space="preserve">; no CLA giving </w:t>
            </w:r>
            <w:proofErr w:type="spellStart"/>
            <w:r>
              <w:rPr>
                <w:color w:val="1C1C2D"/>
                <w:sz w:val="20"/>
                <w:szCs w:val="20"/>
              </w:rPr>
              <w:t>relicence</w:t>
            </w:r>
            <w:proofErr w:type="spellEnd"/>
            <w:r>
              <w:rPr>
                <w:color w:val="1C1C2D"/>
                <w:sz w:val="20"/>
                <w:szCs w:val="20"/>
              </w:rPr>
              <w:t xml:space="preserve"> rights</w:t>
            </w:r>
          </w:p>
        </w:tc>
        <w:tc>
          <w:tcPr>
            <w:tcW w:w="3401" w:type="dxa"/>
            <w:tcBorders>
              <w:right w:val="single" w:sz="8" w:space="0" w:color="2B498C"/>
            </w:tcBorders>
            <w:shd w:val="clear" w:color="auto" w:fill="F4F6FB"/>
          </w:tcPr>
          <w:p w14:paraId="69E84EE4" w14:textId="77777777" w:rsidR="004E1EB7" w:rsidRDefault="00000000">
            <w:pPr>
              <w:pBdr>
                <w:top w:val="nil"/>
                <w:left w:val="nil"/>
                <w:bottom w:val="nil"/>
                <w:right w:val="nil"/>
                <w:between w:val="nil"/>
              </w:pBdr>
              <w:spacing w:before="167" w:line="291" w:lineRule="auto"/>
              <w:ind w:left="163" w:right="213"/>
              <w:rPr>
                <w:color w:val="000000"/>
                <w:sz w:val="20"/>
                <w:szCs w:val="20"/>
              </w:rPr>
            </w:pPr>
            <w:r>
              <w:rPr>
                <w:color w:val="1C1C2D"/>
                <w:sz w:val="20"/>
                <w:szCs w:val="20"/>
              </w:rPr>
              <w:t xml:space="preserve">CLA grants corporation right to </w:t>
            </w:r>
            <w:proofErr w:type="spellStart"/>
            <w:r>
              <w:rPr>
                <w:color w:val="1C1C2D"/>
                <w:sz w:val="20"/>
                <w:szCs w:val="20"/>
              </w:rPr>
              <w:t>relicence</w:t>
            </w:r>
            <w:proofErr w:type="spellEnd"/>
            <w:r>
              <w:rPr>
                <w:color w:val="1C1C2D"/>
                <w:sz w:val="20"/>
                <w:szCs w:val="20"/>
              </w:rPr>
              <w:t xml:space="preserve"> commercial versions</w:t>
            </w:r>
          </w:p>
        </w:tc>
      </w:tr>
      <w:tr w:rsidR="004E1EB7" w14:paraId="59B1B81B" w14:textId="77777777">
        <w:trPr>
          <w:trHeight w:val="870"/>
        </w:trPr>
        <w:tc>
          <w:tcPr>
            <w:tcW w:w="2551" w:type="dxa"/>
            <w:tcBorders>
              <w:left w:val="single" w:sz="8" w:space="0" w:color="2B498C"/>
            </w:tcBorders>
          </w:tcPr>
          <w:p w14:paraId="521B94CA" w14:textId="77777777" w:rsidR="004E1EB7" w:rsidRDefault="00000000">
            <w:pPr>
              <w:pBdr>
                <w:top w:val="nil"/>
                <w:left w:val="nil"/>
                <w:bottom w:val="nil"/>
                <w:right w:val="nil"/>
                <w:between w:val="nil"/>
              </w:pBdr>
              <w:spacing w:before="167"/>
              <w:ind w:left="157"/>
              <w:rPr>
                <w:color w:val="000000"/>
                <w:sz w:val="20"/>
                <w:szCs w:val="20"/>
              </w:rPr>
            </w:pPr>
            <w:r>
              <w:rPr>
                <w:color w:val="1C1C2D"/>
                <w:sz w:val="20"/>
                <w:szCs w:val="20"/>
              </w:rPr>
              <w:t>Contributor relationship</w:t>
            </w:r>
          </w:p>
        </w:tc>
        <w:tc>
          <w:tcPr>
            <w:tcW w:w="3401" w:type="dxa"/>
          </w:tcPr>
          <w:p w14:paraId="0727F775" w14:textId="77777777" w:rsidR="004E1EB7" w:rsidRDefault="00000000">
            <w:pPr>
              <w:pBdr>
                <w:top w:val="nil"/>
                <w:left w:val="nil"/>
                <w:bottom w:val="nil"/>
                <w:right w:val="nil"/>
                <w:between w:val="nil"/>
              </w:pBdr>
              <w:spacing w:before="167" w:line="291" w:lineRule="auto"/>
              <w:ind w:left="163"/>
              <w:rPr>
                <w:color w:val="000000"/>
                <w:sz w:val="20"/>
                <w:szCs w:val="20"/>
              </w:rPr>
            </w:pPr>
            <w:r>
              <w:rPr>
                <w:color w:val="1C1C2D"/>
                <w:sz w:val="20"/>
                <w:szCs w:val="20"/>
              </w:rPr>
              <w:t>Community contributors treated as partners</w:t>
            </w:r>
          </w:p>
        </w:tc>
        <w:tc>
          <w:tcPr>
            <w:tcW w:w="3401" w:type="dxa"/>
            <w:tcBorders>
              <w:right w:val="single" w:sz="8" w:space="0" w:color="2B498C"/>
            </w:tcBorders>
          </w:tcPr>
          <w:p w14:paraId="234CF077" w14:textId="77777777" w:rsidR="004E1EB7" w:rsidRDefault="00000000">
            <w:pPr>
              <w:pBdr>
                <w:top w:val="nil"/>
                <w:left w:val="nil"/>
                <w:bottom w:val="nil"/>
                <w:right w:val="nil"/>
                <w:between w:val="nil"/>
              </w:pBdr>
              <w:spacing w:before="167" w:line="291" w:lineRule="auto"/>
              <w:ind w:left="163" w:right="213"/>
              <w:rPr>
                <w:color w:val="000000"/>
                <w:sz w:val="20"/>
                <w:szCs w:val="20"/>
              </w:rPr>
            </w:pPr>
            <w:r>
              <w:rPr>
                <w:color w:val="1C1C2D"/>
                <w:sz w:val="20"/>
                <w:szCs w:val="20"/>
              </w:rPr>
              <w:t xml:space="preserve">Community treated as </w:t>
            </w:r>
            <w:proofErr w:type="spellStart"/>
            <w:r>
              <w:rPr>
                <w:color w:val="1C1C2D"/>
                <w:sz w:val="20"/>
                <w:szCs w:val="20"/>
              </w:rPr>
              <w:t>labour</w:t>
            </w:r>
            <w:proofErr w:type="spellEnd"/>
            <w:r>
              <w:rPr>
                <w:color w:val="1C1C2D"/>
                <w:sz w:val="20"/>
                <w:szCs w:val="20"/>
              </w:rPr>
              <w:t xml:space="preserve"> pool for corporate product</w:t>
            </w:r>
          </w:p>
        </w:tc>
      </w:tr>
      <w:tr w:rsidR="004E1EB7" w14:paraId="0FD63285" w14:textId="77777777">
        <w:trPr>
          <w:trHeight w:val="1145"/>
        </w:trPr>
        <w:tc>
          <w:tcPr>
            <w:tcW w:w="2551" w:type="dxa"/>
            <w:tcBorders>
              <w:left w:val="single" w:sz="8" w:space="0" w:color="2B498C"/>
              <w:bottom w:val="single" w:sz="8" w:space="0" w:color="2B498C"/>
            </w:tcBorders>
            <w:shd w:val="clear" w:color="auto" w:fill="F4F6FB"/>
          </w:tcPr>
          <w:p w14:paraId="11F0CA77" w14:textId="77777777" w:rsidR="004E1EB7" w:rsidRDefault="00000000">
            <w:pPr>
              <w:pBdr>
                <w:top w:val="nil"/>
                <w:left w:val="nil"/>
                <w:bottom w:val="nil"/>
                <w:right w:val="nil"/>
                <w:between w:val="nil"/>
              </w:pBdr>
              <w:spacing w:before="167"/>
              <w:ind w:left="157"/>
              <w:rPr>
                <w:color w:val="000000"/>
                <w:sz w:val="20"/>
                <w:szCs w:val="20"/>
              </w:rPr>
            </w:pPr>
            <w:r>
              <w:rPr>
                <w:color w:val="1C1C2D"/>
                <w:sz w:val="20"/>
                <w:szCs w:val="20"/>
              </w:rPr>
              <w:t>Track record</w:t>
            </w:r>
          </w:p>
        </w:tc>
        <w:tc>
          <w:tcPr>
            <w:tcW w:w="3401" w:type="dxa"/>
            <w:tcBorders>
              <w:bottom w:val="single" w:sz="8" w:space="0" w:color="2B498C"/>
            </w:tcBorders>
            <w:shd w:val="clear" w:color="auto" w:fill="F4F6FB"/>
          </w:tcPr>
          <w:p w14:paraId="5D93E4DC" w14:textId="77777777" w:rsidR="004E1EB7" w:rsidRDefault="00000000">
            <w:pPr>
              <w:pBdr>
                <w:top w:val="nil"/>
                <w:left w:val="nil"/>
                <w:bottom w:val="nil"/>
                <w:right w:val="nil"/>
                <w:between w:val="nil"/>
              </w:pBdr>
              <w:spacing w:before="167" w:line="291" w:lineRule="auto"/>
              <w:ind w:left="163" w:right="218"/>
              <w:rPr>
                <w:color w:val="000000"/>
                <w:sz w:val="20"/>
                <w:szCs w:val="20"/>
              </w:rPr>
            </w:pPr>
            <w:r>
              <w:rPr>
                <w:color w:val="1C1C2D"/>
                <w:sz w:val="20"/>
                <w:szCs w:val="20"/>
              </w:rPr>
              <w:t>Consistent history of community consultation and kept promises</w:t>
            </w:r>
          </w:p>
        </w:tc>
        <w:tc>
          <w:tcPr>
            <w:tcW w:w="3401" w:type="dxa"/>
            <w:tcBorders>
              <w:bottom w:val="single" w:sz="8" w:space="0" w:color="2B498C"/>
              <w:right w:val="single" w:sz="8" w:space="0" w:color="2B498C"/>
            </w:tcBorders>
            <w:shd w:val="clear" w:color="auto" w:fill="F4F6FB"/>
          </w:tcPr>
          <w:p w14:paraId="0DBFBD84" w14:textId="77777777" w:rsidR="004E1EB7" w:rsidRDefault="00000000">
            <w:pPr>
              <w:pBdr>
                <w:top w:val="nil"/>
                <w:left w:val="nil"/>
                <w:bottom w:val="nil"/>
                <w:right w:val="nil"/>
                <w:between w:val="nil"/>
              </w:pBdr>
              <w:spacing w:before="167" w:line="291" w:lineRule="auto"/>
              <w:ind w:left="163" w:right="213"/>
              <w:rPr>
                <w:color w:val="000000"/>
                <w:sz w:val="20"/>
                <w:szCs w:val="20"/>
              </w:rPr>
            </w:pPr>
            <w:r>
              <w:rPr>
                <w:color w:val="1C1C2D"/>
                <w:sz w:val="20"/>
                <w:szCs w:val="20"/>
              </w:rPr>
              <w:t>History of IP litigation, surprise relicensing, or community exclusion</w:t>
            </w:r>
          </w:p>
        </w:tc>
      </w:tr>
    </w:tbl>
    <w:p w14:paraId="275CC952" w14:textId="77777777" w:rsidR="004E1EB7" w:rsidRDefault="00000000">
      <w:pPr>
        <w:pBdr>
          <w:top w:val="nil"/>
          <w:left w:val="nil"/>
          <w:bottom w:val="nil"/>
          <w:right w:val="nil"/>
          <w:between w:val="nil"/>
        </w:pBdr>
        <w:spacing w:before="245" w:line="340" w:lineRule="auto"/>
        <w:ind w:left="404" w:right="401"/>
        <w:jc w:val="both"/>
        <w:rPr>
          <w:color w:val="000000"/>
        </w:rPr>
      </w:pPr>
      <w:r>
        <w:rPr>
          <w:color w:val="1C1C2D"/>
        </w:rPr>
        <w:t xml:space="preserve">Applying these criteria to the current landscape, several prominent cases arise. Kubernetes, governed by the Cloud Native Computing Foundation with a strict cap on any single company's representation, scores well across most criteria. OpenSSL, with no single corporate owner, scores well but faces sustainability challenges that illustrate why some corporate involvement is beneficial. </w:t>
      </w:r>
      <w:proofErr w:type="spellStart"/>
      <w:r>
        <w:rPr>
          <w:color w:val="1C1C2D"/>
        </w:rPr>
        <w:t>HashiCorp's</w:t>
      </w:r>
      <w:proofErr w:type="spellEnd"/>
      <w:r>
        <w:rPr>
          <w:color w:val="1C1C2D"/>
        </w:rPr>
        <w:t xml:space="preserve"> 2023 relicensing of Terraform from MPL to BSL — moving a community project to a commercial </w:t>
      </w:r>
      <w:proofErr w:type="spellStart"/>
      <w:r>
        <w:rPr>
          <w:color w:val="1C1C2D"/>
        </w:rPr>
        <w:t>licence</w:t>
      </w:r>
      <w:proofErr w:type="spellEnd"/>
      <w:r>
        <w:rPr>
          <w:color w:val="1C1C2D"/>
        </w:rPr>
        <w:t xml:space="preserve"> without community consent</w:t>
      </w:r>
    </w:p>
    <w:p w14:paraId="2DA420B0" w14:textId="77777777" w:rsidR="004E1EB7" w:rsidRDefault="00000000">
      <w:pPr>
        <w:pBdr>
          <w:top w:val="nil"/>
          <w:left w:val="nil"/>
          <w:bottom w:val="nil"/>
          <w:right w:val="nil"/>
          <w:between w:val="nil"/>
        </w:pBdr>
        <w:spacing w:before="4" w:line="340" w:lineRule="auto"/>
        <w:ind w:left="404" w:right="401"/>
        <w:jc w:val="both"/>
        <w:rPr>
          <w:color w:val="000000"/>
        </w:rPr>
      </w:pPr>
      <w:r>
        <w:rPr>
          <w:color w:val="1C1C2D"/>
        </w:rPr>
        <w:t>— scores poorly on several criteria and prompted a fork (</w:t>
      </w:r>
      <w:proofErr w:type="spellStart"/>
      <w:r>
        <w:rPr>
          <w:color w:val="1C1C2D"/>
        </w:rPr>
        <w:t>OpenTofu</w:t>
      </w:r>
      <w:proofErr w:type="spellEnd"/>
      <w:r>
        <w:rPr>
          <w:color w:val="1C1C2D"/>
        </w:rPr>
        <w:t>) that mirrors the LibreOffice pattern almost exactly.</w:t>
      </w:r>
    </w:p>
    <w:p w14:paraId="0C86C7DF" w14:textId="77777777" w:rsidR="004E1EB7" w:rsidRDefault="004E1EB7">
      <w:pPr>
        <w:pBdr>
          <w:top w:val="nil"/>
          <w:left w:val="nil"/>
          <w:bottom w:val="nil"/>
          <w:right w:val="nil"/>
          <w:between w:val="nil"/>
        </w:pBdr>
        <w:spacing w:before="31"/>
        <w:rPr>
          <w:color w:val="000000"/>
        </w:rPr>
      </w:pPr>
    </w:p>
    <w:p w14:paraId="29AE77E0" w14:textId="77777777" w:rsidR="004E1EB7" w:rsidRDefault="00000000">
      <w:pPr>
        <w:pStyle w:val="Heading2"/>
        <w:numPr>
          <w:ilvl w:val="1"/>
          <w:numId w:val="2"/>
        </w:numPr>
        <w:tabs>
          <w:tab w:val="left" w:pos="837"/>
        </w:tabs>
        <w:ind w:left="837" w:hanging="433"/>
      </w:pPr>
      <w:r>
        <w:rPr>
          <w:color w:val="2B498C"/>
        </w:rPr>
        <w:t xml:space="preserve">Governance Recommendations for New </w:t>
      </w:r>
      <w:proofErr w:type="gramStart"/>
      <w:r>
        <w:rPr>
          <w:color w:val="2B498C"/>
        </w:rPr>
        <w:t>Open Source</w:t>
      </w:r>
      <w:proofErr w:type="gramEnd"/>
      <w:r>
        <w:rPr>
          <w:color w:val="2B498C"/>
        </w:rPr>
        <w:t xml:space="preserve"> Projects</w:t>
      </w:r>
    </w:p>
    <w:p w14:paraId="25399941" w14:textId="77777777" w:rsidR="004E1EB7" w:rsidRDefault="00000000">
      <w:pPr>
        <w:pBdr>
          <w:top w:val="nil"/>
          <w:left w:val="nil"/>
          <w:bottom w:val="nil"/>
          <w:right w:val="nil"/>
          <w:between w:val="nil"/>
        </w:pBdr>
        <w:spacing w:before="139" w:line="340" w:lineRule="auto"/>
        <w:ind w:left="404" w:right="401"/>
        <w:jc w:val="both"/>
        <w:rPr>
          <w:color w:val="000000"/>
        </w:rPr>
      </w:pPr>
      <w:r>
        <w:rPr>
          <w:color w:val="1C1C2D"/>
        </w:rPr>
        <w:t xml:space="preserve">If I were advising a group of developers starting a new </w:t>
      </w:r>
      <w:proofErr w:type="gramStart"/>
      <w:r>
        <w:rPr>
          <w:color w:val="1C1C2D"/>
        </w:rPr>
        <w:t>open source</w:t>
      </w:r>
      <w:proofErr w:type="gramEnd"/>
      <w:r>
        <w:rPr>
          <w:color w:val="1C1C2D"/>
        </w:rPr>
        <w:t xml:space="preserve"> project today, particularly one with potential for significant community participation and corporate interest, I would recommend the following specific governance structures based on the lessons of the LibreOffice case and similar situations.</w:t>
      </w:r>
    </w:p>
    <w:p w14:paraId="2DB91407" w14:textId="77777777" w:rsidR="004E1EB7" w:rsidRDefault="00000000">
      <w:pPr>
        <w:pStyle w:val="Heading3"/>
        <w:spacing w:before="163"/>
        <w:ind w:left="404" w:firstLine="0"/>
        <w:jc w:val="both"/>
      </w:pPr>
      <w:r>
        <w:rPr>
          <w:color w:val="1C1C2D"/>
        </w:rPr>
        <w:t>On Copyright</w:t>
      </w:r>
    </w:p>
    <w:p w14:paraId="304219F9" w14:textId="77777777" w:rsidR="004E1EB7" w:rsidRDefault="004E1EB7">
      <w:pPr>
        <w:pBdr>
          <w:top w:val="nil"/>
          <w:left w:val="nil"/>
          <w:bottom w:val="nil"/>
          <w:right w:val="nil"/>
          <w:between w:val="nil"/>
        </w:pBdr>
        <w:spacing w:before="14"/>
        <w:rPr>
          <w:b/>
          <w:bCs/>
          <w:color w:val="000000"/>
        </w:rPr>
      </w:pPr>
    </w:p>
    <w:p w14:paraId="72EB3F98" w14:textId="77777777" w:rsidR="004E1EB7" w:rsidRDefault="00000000">
      <w:pPr>
        <w:pBdr>
          <w:top w:val="nil"/>
          <w:left w:val="nil"/>
          <w:bottom w:val="nil"/>
          <w:right w:val="nil"/>
          <w:between w:val="nil"/>
        </w:pBdr>
        <w:spacing w:line="340" w:lineRule="auto"/>
        <w:ind w:left="404" w:right="401"/>
        <w:jc w:val="both"/>
        <w:rPr>
          <w:color w:val="000000"/>
        </w:rPr>
      </w:pPr>
      <w:r>
        <w:rPr>
          <w:color w:val="1C1C2D"/>
        </w:rPr>
        <w:t xml:space="preserve">Do not require copyright assignment to any single entity. Instead, use a Developer Certificate of Origin (DCO), which requires contributors to certify that they have the right to contribute their code but does not transfer ownership. If a Contributor </w:t>
      </w:r>
      <w:proofErr w:type="spellStart"/>
      <w:r>
        <w:rPr>
          <w:color w:val="1C1C2D"/>
        </w:rPr>
        <w:t>Licence</w:t>
      </w:r>
      <w:proofErr w:type="spellEnd"/>
      <w:r>
        <w:rPr>
          <w:color w:val="1C1C2D"/>
        </w:rPr>
        <w:t xml:space="preserve"> Agreement is used for legal protection, it should explicitly not grant the receiving entity the right to </w:t>
      </w:r>
      <w:proofErr w:type="spellStart"/>
      <w:r>
        <w:rPr>
          <w:color w:val="1C1C2D"/>
        </w:rPr>
        <w:t>relicence</w:t>
      </w:r>
      <w:proofErr w:type="spellEnd"/>
      <w:r>
        <w:rPr>
          <w:color w:val="1C1C2D"/>
        </w:rPr>
        <w:t xml:space="preserve"> the code under a non-open-source </w:t>
      </w:r>
      <w:proofErr w:type="spellStart"/>
      <w:r>
        <w:rPr>
          <w:color w:val="1C1C2D"/>
        </w:rPr>
        <w:t>licence</w:t>
      </w:r>
      <w:proofErr w:type="spellEnd"/>
      <w:r>
        <w:rPr>
          <w:color w:val="1C1C2D"/>
        </w:rPr>
        <w:t>. This single rule would have prevented the core problem in the OpenOffice.org case.</w:t>
      </w:r>
    </w:p>
    <w:p w14:paraId="45F397C4" w14:textId="77777777" w:rsidR="004E1EB7" w:rsidRDefault="00000000">
      <w:pPr>
        <w:pStyle w:val="Heading3"/>
        <w:spacing w:before="165"/>
        <w:ind w:left="404" w:firstLine="0"/>
        <w:jc w:val="both"/>
      </w:pPr>
      <w:r>
        <w:rPr>
          <w:color w:val="1C1C2D"/>
        </w:rPr>
        <w:t>On Corporate Participation</w:t>
      </w:r>
    </w:p>
    <w:p w14:paraId="2D120342" w14:textId="77777777" w:rsidR="004E1EB7" w:rsidRDefault="004E1EB7">
      <w:pPr>
        <w:pBdr>
          <w:top w:val="nil"/>
          <w:left w:val="nil"/>
          <w:bottom w:val="nil"/>
          <w:right w:val="nil"/>
          <w:between w:val="nil"/>
        </w:pBdr>
        <w:spacing w:before="13"/>
        <w:rPr>
          <w:b/>
          <w:bCs/>
          <w:color w:val="000000"/>
        </w:rPr>
      </w:pPr>
    </w:p>
    <w:p w14:paraId="2713D8A4" w14:textId="77777777" w:rsidR="004E1EB7" w:rsidRDefault="00000000">
      <w:pPr>
        <w:pBdr>
          <w:top w:val="nil"/>
          <w:left w:val="nil"/>
          <w:bottom w:val="nil"/>
          <w:right w:val="nil"/>
          <w:between w:val="nil"/>
        </w:pBdr>
        <w:spacing w:before="1" w:line="340" w:lineRule="auto"/>
        <w:ind w:left="404" w:right="401"/>
        <w:jc w:val="both"/>
        <w:rPr>
          <w:color w:val="000000"/>
        </w:rPr>
        <w:sectPr w:rsidR="004E1EB7">
          <w:type w:val="continuous"/>
          <w:pgSz w:w="11910" w:h="16840"/>
          <w:pgMar w:top="1500" w:right="1133" w:bottom="940" w:left="1133" w:header="0" w:footer="745" w:gutter="0"/>
          <w:cols w:space="720"/>
        </w:sectPr>
      </w:pPr>
      <w:r>
        <w:rPr>
          <w:color w:val="1C1C2D"/>
        </w:rPr>
        <w:t xml:space="preserve">Corporate participation should be welcomed and </w:t>
      </w:r>
      <w:proofErr w:type="spellStart"/>
      <w:r>
        <w:rPr>
          <w:color w:val="1C1C2D"/>
        </w:rPr>
        <w:t>incentivised</w:t>
      </w:r>
      <w:proofErr w:type="spellEnd"/>
      <w:r>
        <w:rPr>
          <w:color w:val="1C1C2D"/>
        </w:rPr>
        <w:t xml:space="preserve"> — companies bring resources, full-time developers, and long-term commitment that volunteer communities often cannot sustain alone. But corporate participation must be structurally constrained. No</w:t>
      </w:r>
    </w:p>
    <w:p w14:paraId="3F6AC101" w14:textId="77777777" w:rsidR="004E1EB7" w:rsidRDefault="00000000">
      <w:pPr>
        <w:pBdr>
          <w:top w:val="nil"/>
          <w:left w:val="nil"/>
          <w:bottom w:val="nil"/>
          <w:right w:val="nil"/>
          <w:between w:val="nil"/>
        </w:pBdr>
        <w:spacing w:before="73" w:line="340" w:lineRule="auto"/>
        <w:ind w:left="404" w:right="401"/>
        <w:jc w:val="both"/>
        <w:rPr>
          <w:color w:val="000000"/>
        </w:rPr>
      </w:pPr>
      <w:r>
        <w:rPr>
          <w:color w:val="1C1C2D"/>
        </w:rPr>
        <w:lastRenderedPageBreak/>
        <w:t>single company should be able to hold more than one-third of any governing body's seats. Corporate representatives should be clearly identified as such, and the community should have mechanisms to elect independent representatives who are not employees of any corporate sponsor.</w:t>
      </w:r>
    </w:p>
    <w:p w14:paraId="7D7B0A64" w14:textId="77777777" w:rsidR="004E1EB7" w:rsidRDefault="00000000">
      <w:pPr>
        <w:pStyle w:val="Heading3"/>
        <w:spacing w:before="163"/>
        <w:ind w:left="404" w:firstLine="0"/>
      </w:pPr>
      <w:r>
        <w:rPr>
          <w:color w:val="1C1C2D"/>
        </w:rPr>
        <w:t>On Decision-Making Authority</w:t>
      </w:r>
    </w:p>
    <w:p w14:paraId="744AA605" w14:textId="77777777" w:rsidR="004E1EB7" w:rsidRDefault="004E1EB7">
      <w:pPr>
        <w:pBdr>
          <w:top w:val="nil"/>
          <w:left w:val="nil"/>
          <w:bottom w:val="nil"/>
          <w:right w:val="nil"/>
          <w:between w:val="nil"/>
        </w:pBdr>
        <w:spacing w:before="14"/>
        <w:rPr>
          <w:b/>
          <w:bCs/>
          <w:color w:val="000000"/>
        </w:rPr>
      </w:pPr>
    </w:p>
    <w:p w14:paraId="6ED00C38" w14:textId="77777777" w:rsidR="004E1EB7" w:rsidRDefault="00000000">
      <w:pPr>
        <w:pBdr>
          <w:top w:val="nil"/>
          <w:left w:val="nil"/>
          <w:bottom w:val="nil"/>
          <w:right w:val="nil"/>
          <w:between w:val="nil"/>
        </w:pBdr>
        <w:spacing w:line="340" w:lineRule="auto"/>
        <w:ind w:left="404" w:right="401"/>
        <w:jc w:val="both"/>
        <w:rPr>
          <w:color w:val="000000"/>
        </w:rPr>
      </w:pPr>
      <w:r>
        <w:rPr>
          <w:color w:val="1C1C2D"/>
        </w:rPr>
        <w:t xml:space="preserve">All major decisions — </w:t>
      </w:r>
      <w:proofErr w:type="spellStart"/>
      <w:r>
        <w:rPr>
          <w:color w:val="1C1C2D"/>
        </w:rPr>
        <w:t>licence</w:t>
      </w:r>
      <w:proofErr w:type="spellEnd"/>
      <w:r>
        <w:rPr>
          <w:color w:val="1C1C2D"/>
        </w:rPr>
        <w:t xml:space="preserve"> changes, release schedule alterations, governance amendments, changes to the contributor agreement — should require a supermajority of the governing body and a public comment period of at least 30 days before implementation. Minor decisions (bug fix releases, documentation updates) can follow a delegated authority model with clear scope limits.</w:t>
      </w:r>
    </w:p>
    <w:p w14:paraId="3E71AAAB" w14:textId="77777777" w:rsidR="004E1EB7" w:rsidRDefault="00000000">
      <w:pPr>
        <w:pStyle w:val="Heading3"/>
        <w:spacing w:before="164"/>
        <w:ind w:left="404" w:firstLine="0"/>
      </w:pPr>
      <w:r>
        <w:rPr>
          <w:color w:val="1C1C2D"/>
        </w:rPr>
        <w:t>On Legal Structure</w:t>
      </w:r>
    </w:p>
    <w:p w14:paraId="29AD325F" w14:textId="77777777" w:rsidR="004E1EB7" w:rsidRDefault="004E1EB7">
      <w:pPr>
        <w:pBdr>
          <w:top w:val="nil"/>
          <w:left w:val="nil"/>
          <w:bottom w:val="nil"/>
          <w:right w:val="nil"/>
          <w:between w:val="nil"/>
        </w:pBdr>
        <w:spacing w:before="14"/>
        <w:rPr>
          <w:b/>
          <w:bCs/>
          <w:color w:val="000000"/>
        </w:rPr>
      </w:pPr>
    </w:p>
    <w:p w14:paraId="74722E97" w14:textId="77777777" w:rsidR="004E1EB7" w:rsidRDefault="00000000">
      <w:pPr>
        <w:pBdr>
          <w:top w:val="nil"/>
          <w:left w:val="nil"/>
          <w:bottom w:val="nil"/>
          <w:right w:val="nil"/>
          <w:between w:val="nil"/>
        </w:pBdr>
        <w:spacing w:line="340" w:lineRule="auto"/>
        <w:ind w:left="404" w:right="401"/>
        <w:jc w:val="both"/>
        <w:rPr>
          <w:color w:val="000000"/>
        </w:rPr>
      </w:pPr>
      <w:r>
        <w:rPr>
          <w:color w:val="1C1C2D"/>
        </w:rPr>
        <w:t>Where possible, place the project's assets — domain names, trademarks, infrastructure accounts — in the custody of a non-profit foundation rather than a corporation. This prevents the project's legal identity from being transferred in a corporate acquisition. The Document Foundation's structure as a German Stiftung (foundation) is an excellent model: its charter is legally binding, its governance rules cannot be overridden by a corporate acquirer, and its mission is permanently enshrined in its founding documents.</w:t>
      </w:r>
    </w:p>
    <w:p w14:paraId="5B724D04" w14:textId="77777777" w:rsidR="004E1EB7" w:rsidRDefault="00000000">
      <w:pPr>
        <w:pStyle w:val="Heading3"/>
        <w:spacing w:before="165"/>
        <w:ind w:left="404" w:firstLine="0"/>
      </w:pPr>
      <w:r>
        <w:rPr>
          <w:color w:val="1C1C2D"/>
        </w:rPr>
        <w:t>On Sustainability</w:t>
      </w:r>
    </w:p>
    <w:p w14:paraId="4B017D86" w14:textId="77777777" w:rsidR="004E1EB7" w:rsidRDefault="004E1EB7">
      <w:pPr>
        <w:pBdr>
          <w:top w:val="nil"/>
          <w:left w:val="nil"/>
          <w:bottom w:val="nil"/>
          <w:right w:val="nil"/>
          <w:between w:val="nil"/>
        </w:pBdr>
        <w:spacing w:before="13"/>
        <w:rPr>
          <w:b/>
          <w:bCs/>
          <w:color w:val="000000"/>
        </w:rPr>
      </w:pPr>
    </w:p>
    <w:p w14:paraId="13396D2D" w14:textId="77777777" w:rsidR="004E1EB7" w:rsidRDefault="00000000">
      <w:pPr>
        <w:pBdr>
          <w:top w:val="nil"/>
          <w:left w:val="nil"/>
          <w:bottom w:val="nil"/>
          <w:right w:val="nil"/>
          <w:between w:val="nil"/>
        </w:pBdr>
        <w:spacing w:before="1" w:line="340" w:lineRule="auto"/>
        <w:ind w:left="404" w:right="401"/>
        <w:jc w:val="both"/>
        <w:rPr>
          <w:color w:val="000000"/>
        </w:rPr>
      </w:pPr>
      <w:r>
        <w:rPr>
          <w:color w:val="1C1C2D"/>
        </w:rPr>
        <w:t>Pure volunteer governance is admirable but frequently unsustainable for large projects. The recommended structure should include a formal mechanism for corporate membership with associated rights and obligations — similar to the Linux Foundation's tiered membership model. Corporations pay dues; in return, they receive representation proportional to their contribution, but subject to caps that prevent any single entity from achieving control. This creates a sustainable funding model without creating governance capture.</w:t>
      </w:r>
    </w:p>
    <w:p w14:paraId="1D1E159E" w14:textId="77777777" w:rsidR="004E1EB7" w:rsidRDefault="00000000">
      <w:pPr>
        <w:pBdr>
          <w:top w:val="nil"/>
          <w:left w:val="nil"/>
          <w:bottom w:val="nil"/>
          <w:right w:val="nil"/>
          <w:between w:val="nil"/>
        </w:pBdr>
        <w:spacing w:before="165" w:line="340" w:lineRule="auto"/>
        <w:ind w:left="404" w:right="401"/>
        <w:jc w:val="both"/>
        <w:rPr>
          <w:color w:val="000000"/>
        </w:rPr>
        <w:sectPr w:rsidR="004E1EB7">
          <w:pgSz w:w="11910" w:h="16840"/>
          <w:pgMar w:top="1460" w:right="1133" w:bottom="940" w:left="1133" w:header="0" w:footer="745" w:gutter="0"/>
          <w:cols w:space="720"/>
        </w:sectPr>
      </w:pPr>
      <w:r>
        <w:rPr>
          <w:color w:val="1C1C2D"/>
        </w:rPr>
        <w:t xml:space="preserve">These recommendations are not hypothetical idealism. They describe structures that exist and function effectively in the current </w:t>
      </w:r>
      <w:proofErr w:type="gramStart"/>
      <w:r>
        <w:rPr>
          <w:color w:val="1C1C2D"/>
        </w:rPr>
        <w:t>open source</w:t>
      </w:r>
      <w:proofErr w:type="gramEnd"/>
      <w:r>
        <w:rPr>
          <w:color w:val="1C1C2D"/>
        </w:rPr>
        <w:t xml:space="preserve"> ecosystem. The question is not whether community-governed, foundation-backed </w:t>
      </w:r>
      <w:proofErr w:type="gramStart"/>
      <w:r>
        <w:rPr>
          <w:color w:val="1C1C2D"/>
        </w:rPr>
        <w:t>open source</w:t>
      </w:r>
      <w:proofErr w:type="gramEnd"/>
      <w:r>
        <w:rPr>
          <w:color w:val="1C1C2D"/>
        </w:rPr>
        <w:t xml:space="preserve"> projects can work — the Linux Foundation, The Document Foundation, the Python Software Foundation, and the Apache Software Foundation all demonstrate that they can — but whether new projects will choose to adopt these structures before a crisis forces the issue.</w:t>
      </w:r>
    </w:p>
    <w:p w14:paraId="262FFFB4" w14:textId="77777777" w:rsidR="004E1EB7" w:rsidRDefault="00000000">
      <w:pPr>
        <w:spacing w:before="70"/>
        <w:ind w:left="404"/>
        <w:rPr>
          <w:b/>
          <w:bCs/>
          <w:sz w:val="18"/>
          <w:szCs w:val="18"/>
        </w:rPr>
      </w:pPr>
      <w:r>
        <w:rPr>
          <w:b/>
          <w:bCs/>
          <w:color w:val="3A6BBF"/>
          <w:sz w:val="18"/>
          <w:szCs w:val="18"/>
        </w:rPr>
        <w:lastRenderedPageBreak/>
        <w:t>SECTION E</w:t>
      </w:r>
    </w:p>
    <w:p w14:paraId="1A7163CD" w14:textId="77777777" w:rsidR="004E1EB7" w:rsidRDefault="004E1EB7">
      <w:pPr>
        <w:pBdr>
          <w:top w:val="nil"/>
          <w:left w:val="nil"/>
          <w:bottom w:val="nil"/>
          <w:right w:val="nil"/>
          <w:between w:val="nil"/>
        </w:pBdr>
        <w:spacing w:before="197"/>
        <w:rPr>
          <w:b/>
          <w:bCs/>
          <w:color w:val="000000"/>
          <w:sz w:val="18"/>
          <w:szCs w:val="18"/>
        </w:rPr>
      </w:pPr>
    </w:p>
    <w:p w14:paraId="0B0E66EC" w14:textId="77777777" w:rsidR="004E1EB7" w:rsidRDefault="00000000">
      <w:pPr>
        <w:pStyle w:val="Heading1"/>
        <w:ind w:firstLine="404"/>
      </w:pPr>
      <w:r>
        <w:rPr>
          <w:color w:val="1A233F"/>
        </w:rPr>
        <w:t>Personal Reflection</w:t>
      </w:r>
    </w:p>
    <w:p w14:paraId="428F2F18" w14:textId="77777777" w:rsidR="004E1EB7" w:rsidRDefault="00000000">
      <w:pPr>
        <w:pBdr>
          <w:top w:val="nil"/>
          <w:left w:val="nil"/>
          <w:bottom w:val="nil"/>
          <w:right w:val="nil"/>
          <w:between w:val="nil"/>
        </w:pBdr>
        <w:spacing w:before="2"/>
        <w:rPr>
          <w:b/>
          <w:bCs/>
          <w:color w:val="000000"/>
          <w:sz w:val="14"/>
          <w:szCs w:val="14"/>
        </w:rPr>
      </w:pPr>
      <w:r>
        <w:rPr>
          <w:noProof/>
        </w:rPr>
        <mc:AlternateContent>
          <mc:Choice Requires="wpg">
            <w:drawing>
              <wp:anchor distT="0" distB="0" distL="0" distR="0" simplePos="0" relativeHeight="251672576" behindDoc="0" locked="0" layoutInCell="1" hidden="0" allowOverlap="1" wp14:anchorId="28A1A8F9" wp14:editId="5CDC2542">
                <wp:simplePos x="0" y="0"/>
                <wp:positionH relativeFrom="column">
                  <wp:posOffset>256745</wp:posOffset>
                </wp:positionH>
                <wp:positionV relativeFrom="paragraph">
                  <wp:posOffset>111511</wp:posOffset>
                </wp:positionV>
                <wp:extent cx="5607685" cy="15225"/>
                <wp:effectExtent l="0" t="0" r="0" b="0"/>
                <wp:wrapTopAndBottom distT="0" distB="0"/>
                <wp:docPr id="12" name="Freeform: Shape 12"/>
                <wp:cNvGraphicFramePr/>
                <a:graphic xmlns:a="http://schemas.openxmlformats.org/drawingml/2006/main">
                  <a:graphicData uri="http://schemas.microsoft.com/office/word/2010/wordprocessingShape">
                    <wps:wsp>
                      <wps:cNvSpPr/>
                      <wps:spPr>
                        <a:xfrm>
                          <a:off x="2542158" y="3779365"/>
                          <a:ext cx="5607685" cy="1270"/>
                        </a:xfrm>
                        <a:custGeom>
                          <a:avLst/>
                          <a:gdLst/>
                          <a:ahLst/>
                          <a:cxnLst/>
                          <a:rect l="l" t="t" r="r" b="b"/>
                          <a:pathLst>
                            <a:path w="5607685" h="120000" extrusionOk="0">
                              <a:moveTo>
                                <a:pt x="0" y="0"/>
                              </a:moveTo>
                              <a:lnTo>
                                <a:pt x="5607599" y="0"/>
                              </a:lnTo>
                            </a:path>
                          </a:pathLst>
                        </a:custGeom>
                        <a:noFill/>
                        <a:ln w="15225" cap="flat" cmpd="sng">
                          <a:solidFill>
                            <a:srgbClr val="2B498C"/>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256745</wp:posOffset>
                </wp:positionH>
                <wp:positionV relativeFrom="paragraph">
                  <wp:posOffset>111511</wp:posOffset>
                </wp:positionV>
                <wp:extent cx="5607685" cy="15225"/>
                <wp:effectExtent b="0" l="0" r="0" t="0"/>
                <wp:wrapTopAndBottom distB="0" distT="0"/>
                <wp:docPr id="12"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5607685" cy="15225"/>
                        </a:xfrm>
                        <a:prstGeom prst="rect"/>
                        <a:ln/>
                      </pic:spPr>
                    </pic:pic>
                  </a:graphicData>
                </a:graphic>
              </wp:anchor>
            </w:drawing>
          </mc:Fallback>
        </mc:AlternateContent>
      </w:r>
    </w:p>
    <w:p w14:paraId="0A0E90E0" w14:textId="77777777" w:rsidR="004E1EB7" w:rsidRDefault="00000000">
      <w:pPr>
        <w:pBdr>
          <w:top w:val="nil"/>
          <w:left w:val="nil"/>
          <w:bottom w:val="nil"/>
          <w:right w:val="nil"/>
          <w:between w:val="nil"/>
        </w:pBdr>
        <w:spacing w:before="121" w:line="340" w:lineRule="auto"/>
        <w:ind w:left="404" w:right="401"/>
        <w:jc w:val="both"/>
        <w:rPr>
          <w:color w:val="000000"/>
        </w:rPr>
      </w:pPr>
      <w:r>
        <w:rPr>
          <w:color w:val="1C1C2D"/>
        </w:rPr>
        <w:t xml:space="preserve">Before engaging with this case study, my understanding of open source was primarily technical and somewhat naive. Open source meant code you could see and use without paying for it. It meant Linux, Python, Git — tools that form the invisible infrastructure of the modern internet. I understood the </w:t>
      </w:r>
      <w:proofErr w:type="spellStart"/>
      <w:r>
        <w:rPr>
          <w:color w:val="1C1C2D"/>
        </w:rPr>
        <w:t>licences</w:t>
      </w:r>
      <w:proofErr w:type="spellEnd"/>
      <w:r>
        <w:rPr>
          <w:color w:val="1C1C2D"/>
        </w:rPr>
        <w:t xml:space="preserve"> in abstract terms: the GPL makes code freely distributable; the MIT </w:t>
      </w:r>
      <w:proofErr w:type="spellStart"/>
      <w:r>
        <w:rPr>
          <w:color w:val="1C1C2D"/>
        </w:rPr>
        <w:t>licence</w:t>
      </w:r>
      <w:proofErr w:type="spellEnd"/>
      <w:r>
        <w:rPr>
          <w:color w:val="1C1C2D"/>
        </w:rPr>
        <w:t xml:space="preserve"> is more permissive; Apache has patent clauses. These were rules I had learned to follow without thinking deeply about why they existed or what they were trying to protect.</w:t>
      </w:r>
    </w:p>
    <w:p w14:paraId="6BD89D17" w14:textId="77777777" w:rsidR="004E1EB7" w:rsidRDefault="00000000">
      <w:pPr>
        <w:pBdr>
          <w:top w:val="nil"/>
          <w:left w:val="nil"/>
          <w:bottom w:val="nil"/>
          <w:right w:val="nil"/>
          <w:between w:val="nil"/>
        </w:pBdr>
        <w:spacing w:before="166" w:line="340" w:lineRule="auto"/>
        <w:ind w:left="404" w:right="401"/>
        <w:jc w:val="both"/>
        <w:rPr>
          <w:color w:val="000000"/>
        </w:rPr>
      </w:pPr>
      <w:r>
        <w:rPr>
          <w:color w:val="1C1C2D"/>
        </w:rPr>
        <w:t xml:space="preserve">What I had not thought seriously about was the question of power. Who makes decisions in </w:t>
      </w:r>
      <w:proofErr w:type="gramStart"/>
      <w:r>
        <w:rPr>
          <w:color w:val="1C1C2D"/>
        </w:rPr>
        <w:t>open source</w:t>
      </w:r>
      <w:proofErr w:type="gramEnd"/>
      <w:r>
        <w:rPr>
          <w:color w:val="1C1C2D"/>
        </w:rPr>
        <w:t xml:space="preserve"> projects? Who owns the legal rights to code that thousands of people wrote? What happens when a community builds something valuable and a corporation decides it would like to own what the community built? I had assumed, without examining the assumption, that open source and corporate interests were broadly aligned — that companies supported open source because it was good for everyone, and that the community and the corporation were working toward the same goals.</w:t>
      </w:r>
    </w:p>
    <w:p w14:paraId="700F72A4" w14:textId="77777777" w:rsidR="004E1EB7" w:rsidRDefault="00000000">
      <w:pPr>
        <w:pBdr>
          <w:top w:val="nil"/>
          <w:left w:val="nil"/>
          <w:bottom w:val="nil"/>
          <w:right w:val="nil"/>
          <w:between w:val="nil"/>
        </w:pBdr>
        <w:spacing w:before="165" w:line="340" w:lineRule="auto"/>
        <w:ind w:left="404" w:right="401"/>
        <w:jc w:val="both"/>
        <w:rPr>
          <w:color w:val="000000"/>
        </w:rPr>
      </w:pPr>
      <w:r>
        <w:rPr>
          <w:color w:val="1C1C2D"/>
        </w:rPr>
        <w:t xml:space="preserve">The LibreOffice story has substantially changed that assumption. What the case demonstrates is that </w:t>
      </w:r>
      <w:proofErr w:type="gramStart"/>
      <w:r>
        <w:rPr>
          <w:color w:val="1C1C2D"/>
        </w:rPr>
        <w:t>open source</w:t>
      </w:r>
      <w:proofErr w:type="gramEnd"/>
      <w:r>
        <w:rPr>
          <w:color w:val="1C1C2D"/>
        </w:rPr>
        <w:t xml:space="preserve"> licensing and </w:t>
      </w:r>
      <w:proofErr w:type="gramStart"/>
      <w:r>
        <w:rPr>
          <w:color w:val="1C1C2D"/>
        </w:rPr>
        <w:t>open source</w:t>
      </w:r>
      <w:proofErr w:type="gramEnd"/>
      <w:r>
        <w:rPr>
          <w:color w:val="1C1C2D"/>
        </w:rPr>
        <w:t xml:space="preserve"> governance are two separate things, and that a project can be genuinely open in the first sense while being fundamentally closed in the second. The freedom to fork is legally guaranteed; the practical ability to fork without catastrophic cost is not. This distinction strikes me as important and underappreciated.</w:t>
      </w:r>
    </w:p>
    <w:p w14:paraId="1BADDE03" w14:textId="77777777" w:rsidR="004E1EB7" w:rsidRDefault="00000000">
      <w:pPr>
        <w:pBdr>
          <w:top w:val="nil"/>
          <w:left w:val="nil"/>
          <w:bottom w:val="nil"/>
          <w:right w:val="nil"/>
          <w:between w:val="nil"/>
        </w:pBdr>
        <w:spacing w:before="8"/>
        <w:rPr>
          <w:color w:val="000000"/>
          <w:sz w:val="9"/>
          <w:szCs w:val="9"/>
        </w:rPr>
      </w:pPr>
      <w:r>
        <w:rPr>
          <w:noProof/>
        </w:rPr>
        <mc:AlternateContent>
          <mc:Choice Requires="wps">
            <w:drawing>
              <wp:anchor distT="0" distB="0" distL="0" distR="0" simplePos="0" relativeHeight="251673600" behindDoc="0" locked="0" layoutInCell="1" hidden="0" allowOverlap="1" wp14:anchorId="048E35CA" wp14:editId="5EB22D92">
                <wp:simplePos x="0" y="0"/>
                <wp:positionH relativeFrom="column">
                  <wp:posOffset>531020</wp:posOffset>
                </wp:positionH>
                <wp:positionV relativeFrom="paragraph">
                  <wp:posOffset>86620</wp:posOffset>
                </wp:positionV>
                <wp:extent cx="5059045" cy="1289050"/>
                <wp:effectExtent l="0" t="0" r="0" b="0"/>
                <wp:wrapTopAndBottom distT="0" distB="0"/>
                <wp:docPr id="9" name="Rectangle 9"/>
                <wp:cNvGraphicFramePr/>
                <a:graphic xmlns:a="http://schemas.openxmlformats.org/drawingml/2006/main">
                  <a:graphicData uri="http://schemas.microsoft.com/office/word/2010/wordprocessingShape">
                    <wps:wsp>
                      <wps:cNvSpPr/>
                      <wps:spPr>
                        <a:xfrm>
                          <a:off x="2826003" y="3145000"/>
                          <a:ext cx="5039995" cy="1270000"/>
                        </a:xfrm>
                        <a:prstGeom prst="rect">
                          <a:avLst/>
                        </a:prstGeom>
                        <a:solidFill>
                          <a:srgbClr val="DBE8F4"/>
                        </a:solidFill>
                        <a:ln w="19050" cap="flat" cmpd="sng">
                          <a:solidFill>
                            <a:srgbClr val="3A6BBF"/>
                          </a:solidFill>
                          <a:prstDash val="solid"/>
                          <a:round/>
                          <a:headEnd type="none" w="sm" len="sm"/>
                          <a:tailEnd type="none" w="sm" len="sm"/>
                        </a:ln>
                      </wps:spPr>
                      <wps:txbx>
                        <w:txbxContent>
                          <w:p w14:paraId="140CE690" w14:textId="77777777" w:rsidR="004E1EB7" w:rsidRDefault="004E1EB7">
                            <w:pPr>
                              <w:spacing w:before="3"/>
                              <w:textDirection w:val="btLr"/>
                            </w:pPr>
                          </w:p>
                          <w:p w14:paraId="4DF5DD35" w14:textId="77777777" w:rsidR="004E1EB7" w:rsidRDefault="00000000">
                            <w:pPr>
                              <w:spacing w:before="1" w:line="311" w:lineRule="auto"/>
                              <w:ind w:left="226" w:right="225" w:firstLine="226"/>
                              <w:jc w:val="center"/>
                              <w:textDirection w:val="btLr"/>
                            </w:pPr>
                            <w:r>
                              <w:rPr>
                                <w:b/>
                                <w:i/>
                                <w:color w:val="1A233F"/>
                                <w:sz w:val="24"/>
                              </w:rPr>
                              <w:t xml:space="preserve">Freedom that is expensive to exercise is a different thing from freedom that is not. </w:t>
                            </w:r>
                            <w:proofErr w:type="spellStart"/>
                            <w:r>
                              <w:rPr>
                                <w:b/>
                                <w:i/>
                                <w:color w:val="1A233F"/>
                                <w:sz w:val="24"/>
                              </w:rPr>
                              <w:t>Recognising</w:t>
                            </w:r>
                            <w:proofErr w:type="spellEnd"/>
                            <w:r>
                              <w:rPr>
                                <w:b/>
                                <w:i/>
                                <w:color w:val="1A233F"/>
                                <w:sz w:val="24"/>
                              </w:rPr>
                              <w:t xml:space="preserve"> that distinction changes how I understand the value of governance structures that make freedom cheap — that make exit easy rather than merely legal.</w:t>
                            </w:r>
                          </w:p>
                        </w:txbxContent>
                      </wps:txbx>
                      <wps:bodyPr spcFirstLastPara="1" wrap="square" lIns="0" tIns="0" rIns="0" bIns="0" anchor="t" anchorCtr="0">
                        <a:noAutofit/>
                      </wps:bodyPr>
                    </wps:wsp>
                  </a:graphicData>
                </a:graphic>
              </wp:anchor>
            </w:drawing>
          </mc:Choice>
          <mc:Fallback>
            <w:pict>
              <v:rect w14:anchorId="048E35CA" id="Rectangle 9" o:spid="_x0000_s1032" style="position:absolute;margin-left:41.8pt;margin-top:6.8pt;width:398.35pt;height:101.5pt;z-index:2516736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" fillcolor="#dbe8f4" strokecolor="#3a6bbf" strokeweight="1.5pt">
                <v:stroke startarrowwidth="narrow" startarrowlength="short" endarrowwidth="narrow" endarrowlength="short" joinstyle="round"/>
                <v:textbox inset="0,0,0,0">
                  <w:txbxContent>
                    <w:p w14:paraId="140CE690" w14:textId="77777777" w:rsidR="004E1EB7" w:rsidRDefault="004E1EB7">
                      <w:pPr>
                        <w:spacing w:before="3"/>
                        <w:textDirection w:val="btLr"/>
                      </w:pPr>
                    </w:p>
                    <w:p w14:paraId="4DF5DD35" w14:textId="77777777" w:rsidR="004E1EB7" w:rsidRDefault="00000000">
                      <w:pPr>
                        <w:spacing w:before="1" w:line="311" w:lineRule="auto"/>
                        <w:ind w:left="226" w:right="225" w:firstLine="226"/>
                        <w:jc w:val="center"/>
                        <w:textDirection w:val="btLr"/>
                      </w:pPr>
                      <w:r>
                        <w:rPr>
                          <w:b/>
                          <w:i/>
                          <w:color w:val="1A233F"/>
                          <w:sz w:val="24"/>
                        </w:rPr>
                        <w:t xml:space="preserve">Freedom that is expensive to exercise is a different thing from freedom that is not. </w:t>
                      </w:r>
                      <w:proofErr w:type="spellStart"/>
                      <w:r>
                        <w:rPr>
                          <w:b/>
                          <w:i/>
                          <w:color w:val="1A233F"/>
                          <w:sz w:val="24"/>
                        </w:rPr>
                        <w:t>Recognising</w:t>
                      </w:r>
                      <w:proofErr w:type="spellEnd"/>
                      <w:r>
                        <w:rPr>
                          <w:b/>
                          <w:i/>
                          <w:color w:val="1A233F"/>
                          <w:sz w:val="24"/>
                        </w:rPr>
                        <w:t xml:space="preserve"> that distinction changes how I understand the value of governance structures that make freedom cheap — that make exit easy rather than merely legal.</w:t>
                      </w:r>
                    </w:p>
                  </w:txbxContent>
                </v:textbox>
                <w10:wrap type="topAndBottom"/>
              </v:rect>
            </w:pict>
          </mc:Fallback>
        </mc:AlternateContent>
      </w:r>
    </w:p>
    <w:p w14:paraId="782AEA3C" w14:textId="77777777" w:rsidR="004E1EB7" w:rsidRDefault="00000000">
      <w:pPr>
        <w:pBdr>
          <w:top w:val="nil"/>
          <w:left w:val="nil"/>
          <w:bottom w:val="nil"/>
          <w:right w:val="nil"/>
          <w:between w:val="nil"/>
        </w:pBdr>
        <w:spacing w:before="13" w:line="340" w:lineRule="auto"/>
        <w:ind w:left="404" w:right="401"/>
        <w:jc w:val="both"/>
        <w:rPr>
          <w:color w:val="000000"/>
        </w:rPr>
      </w:pPr>
      <w:r>
        <w:rPr>
          <w:color w:val="1C1C2D"/>
        </w:rPr>
        <w:t xml:space="preserve">Several things in this story surprised me. I was surprised by Oracle's apparent inability to understand what it had acquired. A company sophisticated enough to build a $60 billion enterprise software business was apparently unable to </w:t>
      </w:r>
      <w:proofErr w:type="spellStart"/>
      <w:r>
        <w:rPr>
          <w:color w:val="1C1C2D"/>
        </w:rPr>
        <w:t>recognise</w:t>
      </w:r>
      <w:proofErr w:type="spellEnd"/>
      <w:r>
        <w:rPr>
          <w:color w:val="1C1C2D"/>
        </w:rPr>
        <w:t xml:space="preserve"> that the value of OpenOffice.org was not in its codebase but in its community — and that the community could leave. This is a failure of analysis that seems almost </w:t>
      </w:r>
      <w:proofErr w:type="spellStart"/>
      <w:r>
        <w:rPr>
          <w:color w:val="1C1C2D"/>
        </w:rPr>
        <w:t>wilful</w:t>
      </w:r>
      <w:proofErr w:type="spellEnd"/>
      <w:r>
        <w:rPr>
          <w:color w:val="1C1C2D"/>
        </w:rPr>
        <w:t xml:space="preserve"> in retrospect.</w:t>
      </w:r>
    </w:p>
    <w:p w14:paraId="2168F523" w14:textId="77777777" w:rsidR="004E1EB7" w:rsidRDefault="00000000">
      <w:pPr>
        <w:pBdr>
          <w:top w:val="nil"/>
          <w:left w:val="nil"/>
          <w:bottom w:val="nil"/>
          <w:right w:val="nil"/>
          <w:between w:val="nil"/>
        </w:pBdr>
        <w:spacing w:before="164" w:line="340" w:lineRule="auto"/>
        <w:ind w:left="404" w:right="401"/>
        <w:jc w:val="both"/>
        <w:rPr>
          <w:color w:val="000000"/>
        </w:rPr>
        <w:sectPr w:rsidR="004E1EB7">
          <w:pgSz w:w="11910" w:h="16840"/>
          <w:pgMar w:top="1460" w:right="1133" w:bottom="940" w:left="1133" w:header="0" w:footer="745" w:gutter="0"/>
          <w:cols w:space="720"/>
        </w:sectPr>
      </w:pPr>
      <w:r>
        <w:rPr>
          <w:color w:val="1C1C2D"/>
        </w:rPr>
        <w:t xml:space="preserve">I was also struck by the parallel with MariaDB. The fact that two major </w:t>
      </w:r>
      <w:proofErr w:type="gramStart"/>
      <w:r>
        <w:rPr>
          <w:color w:val="1C1C2D"/>
        </w:rPr>
        <w:t>open source</w:t>
      </w:r>
      <w:proofErr w:type="gramEnd"/>
      <w:r>
        <w:rPr>
          <w:color w:val="1C1C2D"/>
        </w:rPr>
        <w:t xml:space="preserve"> communities made the same calculation about the same corporate acquirer within months</w:t>
      </w:r>
    </w:p>
    <w:p w14:paraId="52910493" w14:textId="77777777" w:rsidR="004E1EB7" w:rsidRDefault="00000000">
      <w:pPr>
        <w:pBdr>
          <w:top w:val="nil"/>
          <w:left w:val="nil"/>
          <w:bottom w:val="nil"/>
          <w:right w:val="nil"/>
          <w:between w:val="nil"/>
        </w:pBdr>
        <w:spacing w:before="73" w:line="340" w:lineRule="auto"/>
        <w:ind w:left="404" w:right="401"/>
        <w:jc w:val="both"/>
        <w:rPr>
          <w:color w:val="000000"/>
        </w:rPr>
      </w:pPr>
      <w:r>
        <w:rPr>
          <w:color w:val="1C1C2D"/>
        </w:rPr>
        <w:lastRenderedPageBreak/>
        <w:t>of each other — and that both turned out to be right — suggests that community judgment about trustworthiness is not merely emotional but genuinely informative. The developers who forked were not reacting irrationally to a theoretical risk. They were making accurate predictions about how Oracle would behave, based on evidence that turned out to be correct.</w:t>
      </w:r>
    </w:p>
    <w:p w14:paraId="20695279" w14:textId="77777777" w:rsidR="004E1EB7" w:rsidRDefault="00000000">
      <w:pPr>
        <w:pBdr>
          <w:top w:val="nil"/>
          <w:left w:val="nil"/>
          <w:bottom w:val="nil"/>
          <w:right w:val="nil"/>
          <w:between w:val="nil"/>
        </w:pBdr>
        <w:spacing w:before="164" w:line="340" w:lineRule="auto"/>
        <w:ind w:left="404" w:right="401"/>
        <w:jc w:val="both"/>
        <w:rPr>
          <w:color w:val="000000"/>
        </w:rPr>
      </w:pPr>
      <w:r>
        <w:rPr>
          <w:color w:val="1C1C2D"/>
        </w:rPr>
        <w:t>What troubled me most is the copyright assignment clause. The idea that a volunteer can spend years of evenings and weekends contributing to a project, only to have those contributions legally owned by a corporation that might be acquired by another, even more hostile corporation, seems genuinely unfair. It is not illegal. It is, arguably, the result of agreements that contributors freely signed. But it is a structure that systematically transfers value from people who create it to entities that hold legal authority over it. That seems worth naming as unfair, even if one accepts its legal validity.</w:t>
      </w:r>
    </w:p>
    <w:p w14:paraId="038DA1FC" w14:textId="77777777" w:rsidR="004E1EB7" w:rsidRDefault="00000000">
      <w:pPr>
        <w:pBdr>
          <w:top w:val="nil"/>
          <w:left w:val="nil"/>
          <w:bottom w:val="nil"/>
          <w:right w:val="nil"/>
          <w:between w:val="nil"/>
        </w:pBdr>
        <w:spacing w:before="165" w:line="340" w:lineRule="auto"/>
        <w:ind w:left="404" w:right="401"/>
        <w:jc w:val="both"/>
        <w:rPr>
          <w:color w:val="000000"/>
        </w:rPr>
      </w:pPr>
      <w:r>
        <w:rPr>
          <w:color w:val="1C1C2D"/>
        </w:rPr>
        <w:t xml:space="preserve">As for whether the LibreOffice community made the right choice — I believe they did, and I believe I would have made the same choice. The costs were real and should not be </w:t>
      </w:r>
      <w:proofErr w:type="spellStart"/>
      <w:r>
        <w:rPr>
          <w:color w:val="1C1C2D"/>
        </w:rPr>
        <w:t>minimised</w:t>
      </w:r>
      <w:proofErr w:type="spellEnd"/>
      <w:r>
        <w:rPr>
          <w:color w:val="1C1C2D"/>
        </w:rPr>
        <w:t>: years of fragmentation, user confusion, duplicated effort. But the alternative was to remain under the governance of an entity that had demonstrated it did not share the community's values and would not grant it any meaningful autonomy. Staying would have been, in a quiet way, a form of capitulation.</w:t>
      </w:r>
    </w:p>
    <w:p w14:paraId="6B8BF299" w14:textId="77777777" w:rsidR="004E1EB7" w:rsidRDefault="00000000">
      <w:pPr>
        <w:pBdr>
          <w:top w:val="nil"/>
          <w:left w:val="nil"/>
          <w:bottom w:val="nil"/>
          <w:right w:val="nil"/>
          <w:between w:val="nil"/>
        </w:pBdr>
        <w:spacing w:before="165" w:line="340" w:lineRule="auto"/>
        <w:ind w:left="404" w:right="401"/>
        <w:jc w:val="both"/>
        <w:rPr>
          <w:color w:val="000000"/>
        </w:rPr>
      </w:pPr>
      <w:r>
        <w:rPr>
          <w:color w:val="1C1C2D"/>
        </w:rPr>
        <w:t>There is something admirable about a community that values principle sufficiently to accept significant short-term costs in order to protect it. The LibreOffice founders gave up momentum, brand recognition, and established infrastructure to build something they could control. In the end, they built something better. That outcome was not guaranteed in September 2010 — it is the product of sustained commitment, good governance design, and the willingness of hundreds of developers to believe that the project they were building was worth building on their own terms.</w:t>
      </w:r>
    </w:p>
    <w:p w14:paraId="72E6BE4E" w14:textId="77777777" w:rsidR="004E1EB7" w:rsidRDefault="00000000">
      <w:pPr>
        <w:pBdr>
          <w:top w:val="nil"/>
          <w:left w:val="nil"/>
          <w:bottom w:val="nil"/>
          <w:right w:val="nil"/>
          <w:between w:val="nil"/>
        </w:pBdr>
        <w:spacing w:before="165" w:line="340" w:lineRule="auto"/>
        <w:ind w:left="404" w:right="401"/>
        <w:jc w:val="both"/>
        <w:rPr>
          <w:color w:val="000000"/>
        </w:rPr>
        <w:sectPr w:rsidR="004E1EB7">
          <w:pgSz w:w="11910" w:h="16840"/>
          <w:pgMar w:top="1460" w:right="1133" w:bottom="940" w:left="1133" w:header="0" w:footer="745" w:gutter="0"/>
          <w:cols w:space="720"/>
        </w:sectPr>
      </w:pPr>
      <w:r>
        <w:rPr>
          <w:color w:val="1C1C2D"/>
        </w:rPr>
        <w:t xml:space="preserve">This case has changed how I will think about </w:t>
      </w:r>
      <w:proofErr w:type="gramStart"/>
      <w:r>
        <w:rPr>
          <w:color w:val="1C1C2D"/>
        </w:rPr>
        <w:t>open source</w:t>
      </w:r>
      <w:proofErr w:type="gramEnd"/>
      <w:r>
        <w:rPr>
          <w:color w:val="1C1C2D"/>
        </w:rPr>
        <w:t xml:space="preserve"> projects going forward. Before contributing significantly to any project, I will ask: who holds the copyright? Who governs the roadmap? What happens if the corporate backer is acquired or changes strategy? These are not cynical questions — they are the questions that anyone investing voluntary </w:t>
      </w:r>
      <w:proofErr w:type="spellStart"/>
      <w:r>
        <w:rPr>
          <w:color w:val="1C1C2D"/>
        </w:rPr>
        <w:t>labour</w:t>
      </w:r>
      <w:proofErr w:type="spellEnd"/>
      <w:r>
        <w:rPr>
          <w:color w:val="1C1C2D"/>
        </w:rPr>
        <w:t xml:space="preserve"> in a shared </w:t>
      </w:r>
      <w:proofErr w:type="spellStart"/>
      <w:r>
        <w:rPr>
          <w:color w:val="1C1C2D"/>
        </w:rPr>
        <w:t>endeavour</w:t>
      </w:r>
      <w:proofErr w:type="spellEnd"/>
      <w:r>
        <w:rPr>
          <w:color w:val="1C1C2D"/>
        </w:rPr>
        <w:t xml:space="preserve"> should ask. The LibreOffice community </w:t>
      </w:r>
      <w:proofErr w:type="gramStart"/>
      <w:r>
        <w:rPr>
          <w:color w:val="1C1C2D"/>
        </w:rPr>
        <w:t>learned</w:t>
      </w:r>
      <w:proofErr w:type="gramEnd"/>
      <w:r>
        <w:rPr>
          <w:color w:val="1C1C2D"/>
        </w:rPr>
        <w:t xml:space="preserve"> them the hard way. Having studied this case, I do not need to.</w:t>
      </w:r>
    </w:p>
    <w:p w14:paraId="191FB7BD" w14:textId="77777777" w:rsidR="004E1EB7" w:rsidRDefault="00000000">
      <w:pPr>
        <w:spacing w:before="70"/>
        <w:ind w:left="404"/>
        <w:rPr>
          <w:b/>
          <w:bCs/>
          <w:sz w:val="18"/>
          <w:szCs w:val="18"/>
        </w:rPr>
      </w:pPr>
      <w:r>
        <w:rPr>
          <w:b/>
          <w:bCs/>
          <w:color w:val="3A6BBF"/>
          <w:sz w:val="18"/>
          <w:szCs w:val="18"/>
        </w:rPr>
        <w:lastRenderedPageBreak/>
        <w:t>APPENDIX</w:t>
      </w:r>
    </w:p>
    <w:p w14:paraId="70D89BCF" w14:textId="77777777" w:rsidR="004E1EB7" w:rsidRDefault="004E1EB7">
      <w:pPr>
        <w:pBdr>
          <w:top w:val="nil"/>
          <w:left w:val="nil"/>
          <w:bottom w:val="nil"/>
          <w:right w:val="nil"/>
          <w:between w:val="nil"/>
        </w:pBdr>
        <w:spacing w:before="197"/>
        <w:rPr>
          <w:b/>
          <w:bCs/>
          <w:color w:val="000000"/>
          <w:sz w:val="18"/>
          <w:szCs w:val="18"/>
        </w:rPr>
      </w:pPr>
    </w:p>
    <w:p w14:paraId="40DE3F59" w14:textId="77777777" w:rsidR="004E1EB7" w:rsidRDefault="00000000">
      <w:pPr>
        <w:pStyle w:val="Heading1"/>
        <w:ind w:firstLine="404"/>
      </w:pPr>
      <w:r>
        <w:rPr>
          <w:color w:val="1A233F"/>
        </w:rPr>
        <w:t>Evaluation Rubric &amp; References</w:t>
      </w:r>
    </w:p>
    <w:p w14:paraId="29310995" w14:textId="77777777" w:rsidR="004E1EB7" w:rsidRDefault="00000000">
      <w:pPr>
        <w:pBdr>
          <w:top w:val="nil"/>
          <w:left w:val="nil"/>
          <w:bottom w:val="nil"/>
          <w:right w:val="nil"/>
          <w:between w:val="nil"/>
        </w:pBdr>
        <w:spacing w:before="2"/>
        <w:rPr>
          <w:b/>
          <w:bCs/>
          <w:color w:val="000000"/>
          <w:sz w:val="14"/>
          <w:szCs w:val="14"/>
        </w:rPr>
      </w:pPr>
      <w:r>
        <w:rPr>
          <w:noProof/>
        </w:rPr>
        <mc:AlternateContent>
          <mc:Choice Requires="wpg">
            <w:drawing>
              <wp:anchor distT="0" distB="0" distL="0" distR="0" simplePos="0" relativeHeight="251674624" behindDoc="0" locked="0" layoutInCell="1" hidden="0" allowOverlap="1" wp14:anchorId="748B13CD" wp14:editId="1683908B">
                <wp:simplePos x="0" y="0"/>
                <wp:positionH relativeFrom="column">
                  <wp:posOffset>256745</wp:posOffset>
                </wp:positionH>
                <wp:positionV relativeFrom="paragraph">
                  <wp:posOffset>111511</wp:posOffset>
                </wp:positionV>
                <wp:extent cx="5607685" cy="15225"/>
                <wp:effectExtent l="0" t="0" r="0" b="0"/>
                <wp:wrapTopAndBottom distT="0" distB="0"/>
                <wp:docPr id="22" name="Freeform: Shape 22"/>
                <wp:cNvGraphicFramePr/>
                <a:graphic xmlns:a="http://schemas.openxmlformats.org/drawingml/2006/main">
                  <a:graphicData uri="http://schemas.microsoft.com/office/word/2010/wordprocessingShape">
                    <wps:wsp>
                      <wps:cNvSpPr/>
                      <wps:spPr>
                        <a:xfrm>
                          <a:off x="2542158" y="3779365"/>
                          <a:ext cx="5607685" cy="1270"/>
                        </a:xfrm>
                        <a:custGeom>
                          <a:avLst/>
                          <a:gdLst/>
                          <a:ahLst/>
                          <a:cxnLst/>
                          <a:rect l="l" t="t" r="r" b="b"/>
                          <a:pathLst>
                            <a:path w="5607685" h="120000" extrusionOk="0">
                              <a:moveTo>
                                <a:pt x="0" y="0"/>
                              </a:moveTo>
                              <a:lnTo>
                                <a:pt x="5607599" y="0"/>
                              </a:lnTo>
                            </a:path>
                          </a:pathLst>
                        </a:custGeom>
                        <a:noFill/>
                        <a:ln w="15225" cap="flat" cmpd="sng">
                          <a:solidFill>
                            <a:srgbClr val="2B498C"/>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256745</wp:posOffset>
                </wp:positionH>
                <wp:positionV relativeFrom="paragraph">
                  <wp:posOffset>111511</wp:posOffset>
                </wp:positionV>
                <wp:extent cx="5607685" cy="15225"/>
                <wp:effectExtent b="0" l="0" r="0" t="0"/>
                <wp:wrapTopAndBottom distB="0" distT="0"/>
                <wp:docPr id="22"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5607685" cy="15225"/>
                        </a:xfrm>
                        <a:prstGeom prst="rect"/>
                        <a:ln/>
                      </pic:spPr>
                    </pic:pic>
                  </a:graphicData>
                </a:graphic>
              </wp:anchor>
            </w:drawing>
          </mc:Fallback>
        </mc:AlternateContent>
      </w:r>
    </w:p>
    <w:p w14:paraId="59496135" w14:textId="77777777" w:rsidR="004E1EB7" w:rsidRDefault="00000000">
      <w:pPr>
        <w:pStyle w:val="Heading2"/>
        <w:spacing w:before="284"/>
        <w:ind w:left="404" w:firstLine="0"/>
      </w:pPr>
      <w:r>
        <w:rPr>
          <w:color w:val="2B498C"/>
        </w:rPr>
        <w:t>Evaluation Rubric</w:t>
      </w:r>
    </w:p>
    <w:p w14:paraId="6F23246A" w14:textId="77777777" w:rsidR="004E1EB7" w:rsidRDefault="004E1EB7">
      <w:pPr>
        <w:pBdr>
          <w:top w:val="nil"/>
          <w:left w:val="nil"/>
          <w:bottom w:val="nil"/>
          <w:right w:val="nil"/>
          <w:between w:val="nil"/>
        </w:pBdr>
        <w:spacing w:before="2"/>
        <w:rPr>
          <w:b/>
          <w:bCs/>
          <w:color w:val="000000"/>
          <w:sz w:val="10"/>
          <w:szCs w:val="10"/>
        </w:rPr>
      </w:pPr>
    </w:p>
    <w:tbl>
      <w:tblPr>
        <w:tblStyle w:val="a3"/>
        <w:tblW w:w="9355" w:type="dxa"/>
        <w:tblInd w:w="154" w:type="dxa"/>
        <w:tblBorders>
          <w:top w:val="single" w:sz="8" w:space="0" w:color="2B498C"/>
          <w:left w:val="single" w:sz="8" w:space="0" w:color="2B498C"/>
          <w:bottom w:val="single" w:sz="8" w:space="0" w:color="2B498C"/>
          <w:right w:val="single" w:sz="8" w:space="0" w:color="2B498C"/>
          <w:insideH w:val="single" w:sz="8" w:space="0" w:color="2B498C"/>
          <w:insideV w:val="single" w:sz="8" w:space="0" w:color="2B498C"/>
        </w:tblBorders>
        <w:tblLayout w:type="fixed"/>
        <w:tblLook w:val="0000" w:firstRow="0" w:lastRow="0" w:firstColumn="0" w:lastColumn="0" w:noHBand="0" w:noVBand="0"/>
      </w:tblPr>
      <w:tblGrid>
        <w:gridCol w:w="2551"/>
        <w:gridCol w:w="5953"/>
        <w:gridCol w:w="851"/>
      </w:tblGrid>
      <w:tr w:rsidR="004E1EB7" w14:paraId="0CAD93C6" w14:textId="77777777">
        <w:trPr>
          <w:trHeight w:val="905"/>
        </w:trPr>
        <w:tc>
          <w:tcPr>
            <w:tcW w:w="2551" w:type="dxa"/>
            <w:tcBorders>
              <w:bottom w:val="single" w:sz="4" w:space="0" w:color="CCCCDD"/>
              <w:right w:val="single" w:sz="4" w:space="0" w:color="CCCCDD"/>
            </w:tcBorders>
            <w:shd w:val="clear" w:color="auto" w:fill="1A233F"/>
          </w:tcPr>
          <w:p w14:paraId="3238E182" w14:textId="77777777" w:rsidR="004E1EB7" w:rsidRDefault="00000000">
            <w:pPr>
              <w:pBdr>
                <w:top w:val="nil"/>
                <w:left w:val="nil"/>
                <w:bottom w:val="nil"/>
                <w:right w:val="nil"/>
                <w:between w:val="nil"/>
              </w:pBdr>
              <w:spacing w:before="182"/>
              <w:ind w:left="11"/>
              <w:jc w:val="center"/>
              <w:rPr>
                <w:b/>
                <w:bCs/>
                <w:color w:val="000000"/>
                <w:sz w:val="20"/>
                <w:szCs w:val="20"/>
              </w:rPr>
            </w:pPr>
            <w:r>
              <w:rPr>
                <w:b/>
                <w:bCs/>
                <w:color w:val="FFFFFF"/>
                <w:sz w:val="20"/>
                <w:szCs w:val="20"/>
              </w:rPr>
              <w:t>Section</w:t>
            </w:r>
          </w:p>
        </w:tc>
        <w:tc>
          <w:tcPr>
            <w:tcW w:w="5953" w:type="dxa"/>
            <w:tcBorders>
              <w:left w:val="single" w:sz="4" w:space="0" w:color="CCCCDD"/>
              <w:bottom w:val="single" w:sz="4" w:space="0" w:color="CCCCDD"/>
              <w:right w:val="single" w:sz="4" w:space="0" w:color="CCCCDD"/>
            </w:tcBorders>
            <w:shd w:val="clear" w:color="auto" w:fill="1A233F"/>
          </w:tcPr>
          <w:p w14:paraId="4B2FFA63" w14:textId="77777777" w:rsidR="004E1EB7" w:rsidRDefault="00000000">
            <w:pPr>
              <w:pBdr>
                <w:top w:val="nil"/>
                <w:left w:val="nil"/>
                <w:bottom w:val="nil"/>
                <w:right w:val="nil"/>
                <w:between w:val="nil"/>
              </w:pBdr>
              <w:spacing w:before="182"/>
              <w:ind w:left="16"/>
              <w:jc w:val="center"/>
              <w:rPr>
                <w:b/>
                <w:bCs/>
                <w:color w:val="000000"/>
                <w:sz w:val="20"/>
                <w:szCs w:val="20"/>
              </w:rPr>
            </w:pPr>
            <w:r>
              <w:rPr>
                <w:b/>
                <w:bCs/>
                <w:color w:val="FFFFFF"/>
                <w:sz w:val="20"/>
                <w:szCs w:val="20"/>
              </w:rPr>
              <w:t>What is Evaluated</w:t>
            </w:r>
          </w:p>
        </w:tc>
        <w:tc>
          <w:tcPr>
            <w:tcW w:w="851" w:type="dxa"/>
            <w:tcBorders>
              <w:left w:val="single" w:sz="4" w:space="0" w:color="CCCCDD"/>
              <w:bottom w:val="single" w:sz="4" w:space="0" w:color="CCCCDD"/>
            </w:tcBorders>
            <w:shd w:val="clear" w:color="auto" w:fill="1A233F"/>
          </w:tcPr>
          <w:p w14:paraId="0AA590B8" w14:textId="77777777" w:rsidR="004E1EB7" w:rsidRDefault="00000000">
            <w:pPr>
              <w:pBdr>
                <w:top w:val="nil"/>
                <w:left w:val="nil"/>
                <w:bottom w:val="nil"/>
                <w:right w:val="nil"/>
                <w:between w:val="nil"/>
              </w:pBdr>
              <w:spacing w:before="182" w:line="291" w:lineRule="auto"/>
              <w:ind w:left="316" w:right="223" w:hanging="67"/>
              <w:rPr>
                <w:b/>
                <w:bCs/>
                <w:color w:val="000000"/>
                <w:sz w:val="20"/>
                <w:szCs w:val="20"/>
              </w:rPr>
            </w:pPr>
            <w:r>
              <w:rPr>
                <w:b/>
                <w:bCs/>
                <w:color w:val="FFFFFF"/>
                <w:sz w:val="20"/>
                <w:szCs w:val="20"/>
              </w:rPr>
              <w:t xml:space="preserve">Mar </w:t>
            </w:r>
            <w:proofErr w:type="spellStart"/>
            <w:r>
              <w:rPr>
                <w:b/>
                <w:bCs/>
                <w:color w:val="FFFFFF"/>
                <w:sz w:val="20"/>
                <w:szCs w:val="20"/>
              </w:rPr>
              <w:t>ks</w:t>
            </w:r>
            <w:proofErr w:type="spellEnd"/>
          </w:p>
        </w:tc>
      </w:tr>
      <w:tr w:rsidR="004E1EB7" w14:paraId="136D4AF9" w14:textId="77777777">
        <w:trPr>
          <w:trHeight w:val="910"/>
        </w:trPr>
        <w:tc>
          <w:tcPr>
            <w:tcW w:w="2551" w:type="dxa"/>
            <w:tcBorders>
              <w:top w:val="single" w:sz="4" w:space="0" w:color="CCCCDD"/>
              <w:bottom w:val="single" w:sz="4" w:space="0" w:color="CCCCDD"/>
              <w:right w:val="single" w:sz="4" w:space="0" w:color="CCCCDD"/>
            </w:tcBorders>
          </w:tcPr>
          <w:p w14:paraId="7A0ADDDB" w14:textId="77777777" w:rsidR="004E1EB7" w:rsidRDefault="00000000">
            <w:pPr>
              <w:pBdr>
                <w:top w:val="nil"/>
                <w:left w:val="nil"/>
                <w:bottom w:val="nil"/>
                <w:right w:val="nil"/>
                <w:between w:val="nil"/>
              </w:pBdr>
              <w:spacing w:before="187"/>
              <w:ind w:left="197"/>
              <w:rPr>
                <w:color w:val="000000"/>
                <w:sz w:val="20"/>
                <w:szCs w:val="20"/>
              </w:rPr>
            </w:pPr>
            <w:r>
              <w:rPr>
                <w:color w:val="1C1C2D"/>
                <w:sz w:val="20"/>
                <w:szCs w:val="20"/>
              </w:rPr>
              <w:t>Section A — Context</w:t>
            </w:r>
          </w:p>
        </w:tc>
        <w:tc>
          <w:tcPr>
            <w:tcW w:w="5953" w:type="dxa"/>
            <w:tcBorders>
              <w:top w:val="single" w:sz="4" w:space="0" w:color="CCCCDD"/>
              <w:left w:val="single" w:sz="4" w:space="0" w:color="CCCCDD"/>
              <w:bottom w:val="single" w:sz="4" w:space="0" w:color="CCCCDD"/>
              <w:right w:val="single" w:sz="4" w:space="0" w:color="CCCCDD"/>
            </w:tcBorders>
          </w:tcPr>
          <w:p w14:paraId="0DEE0CFA" w14:textId="77777777" w:rsidR="004E1EB7" w:rsidRDefault="00000000">
            <w:pPr>
              <w:pBdr>
                <w:top w:val="nil"/>
                <w:left w:val="nil"/>
                <w:bottom w:val="nil"/>
                <w:right w:val="nil"/>
                <w:between w:val="nil"/>
              </w:pBdr>
              <w:spacing w:before="187" w:line="291" w:lineRule="auto"/>
              <w:ind w:left="203" w:right="130"/>
              <w:rPr>
                <w:color w:val="000000"/>
                <w:sz w:val="20"/>
                <w:szCs w:val="20"/>
              </w:rPr>
            </w:pPr>
            <w:r>
              <w:rPr>
                <w:color w:val="1C1C2D"/>
                <w:sz w:val="20"/>
                <w:szCs w:val="20"/>
              </w:rPr>
              <w:t>Accuracy, clarity, and evidence of understanding the structural issues, not just the timeline</w:t>
            </w:r>
          </w:p>
        </w:tc>
        <w:tc>
          <w:tcPr>
            <w:tcW w:w="851" w:type="dxa"/>
            <w:tcBorders>
              <w:top w:val="single" w:sz="4" w:space="0" w:color="CCCCDD"/>
              <w:left w:val="single" w:sz="4" w:space="0" w:color="CCCCDD"/>
              <w:bottom w:val="single" w:sz="4" w:space="0" w:color="CCCCDD"/>
            </w:tcBorders>
          </w:tcPr>
          <w:p w14:paraId="00749463" w14:textId="77777777" w:rsidR="004E1EB7" w:rsidRDefault="00000000">
            <w:pPr>
              <w:pBdr>
                <w:top w:val="nil"/>
                <w:left w:val="nil"/>
                <w:bottom w:val="nil"/>
                <w:right w:val="nil"/>
                <w:between w:val="nil"/>
              </w:pBdr>
              <w:spacing w:before="187"/>
              <w:ind w:right="205"/>
              <w:jc w:val="center"/>
              <w:rPr>
                <w:color w:val="000000"/>
                <w:sz w:val="20"/>
                <w:szCs w:val="20"/>
              </w:rPr>
            </w:pPr>
            <w:r>
              <w:rPr>
                <w:color w:val="1C1C2D"/>
                <w:sz w:val="20"/>
                <w:szCs w:val="20"/>
              </w:rPr>
              <w:t>15</w:t>
            </w:r>
          </w:p>
        </w:tc>
      </w:tr>
      <w:tr w:rsidR="004E1EB7" w14:paraId="39D44A0F" w14:textId="77777777">
        <w:trPr>
          <w:trHeight w:val="910"/>
        </w:trPr>
        <w:tc>
          <w:tcPr>
            <w:tcW w:w="2551" w:type="dxa"/>
            <w:tcBorders>
              <w:top w:val="single" w:sz="4" w:space="0" w:color="CCCCDD"/>
              <w:bottom w:val="single" w:sz="4" w:space="0" w:color="CCCCDD"/>
              <w:right w:val="single" w:sz="4" w:space="0" w:color="CCCCDD"/>
            </w:tcBorders>
            <w:shd w:val="clear" w:color="auto" w:fill="F4F6FB"/>
          </w:tcPr>
          <w:p w14:paraId="62E1DDFD" w14:textId="77777777" w:rsidR="004E1EB7" w:rsidRDefault="00000000">
            <w:pPr>
              <w:pBdr>
                <w:top w:val="nil"/>
                <w:left w:val="nil"/>
                <w:bottom w:val="nil"/>
                <w:right w:val="nil"/>
                <w:between w:val="nil"/>
              </w:pBdr>
              <w:spacing w:before="187"/>
              <w:ind w:left="197"/>
              <w:rPr>
                <w:color w:val="000000"/>
                <w:sz w:val="20"/>
                <w:szCs w:val="20"/>
              </w:rPr>
            </w:pPr>
            <w:r>
              <w:rPr>
                <w:color w:val="1C1C2D"/>
                <w:sz w:val="20"/>
                <w:szCs w:val="20"/>
              </w:rPr>
              <w:t>Section B — Ethics</w:t>
            </w:r>
          </w:p>
        </w:tc>
        <w:tc>
          <w:tcPr>
            <w:tcW w:w="5953" w:type="dxa"/>
            <w:tcBorders>
              <w:top w:val="single" w:sz="4" w:space="0" w:color="CCCCDD"/>
              <w:left w:val="single" w:sz="4" w:space="0" w:color="CCCCDD"/>
              <w:bottom w:val="single" w:sz="4" w:space="0" w:color="CCCCDD"/>
              <w:right w:val="single" w:sz="4" w:space="0" w:color="CCCCDD"/>
            </w:tcBorders>
            <w:shd w:val="clear" w:color="auto" w:fill="F4F6FB"/>
          </w:tcPr>
          <w:p w14:paraId="0E0E2CB6" w14:textId="77777777" w:rsidR="004E1EB7" w:rsidRDefault="00000000">
            <w:pPr>
              <w:pBdr>
                <w:top w:val="nil"/>
                <w:left w:val="nil"/>
                <w:bottom w:val="nil"/>
                <w:right w:val="nil"/>
                <w:between w:val="nil"/>
              </w:pBdr>
              <w:spacing w:before="187" w:line="291" w:lineRule="auto"/>
              <w:ind w:left="203" w:right="130"/>
              <w:rPr>
                <w:color w:val="000000"/>
                <w:sz w:val="20"/>
                <w:szCs w:val="20"/>
              </w:rPr>
            </w:pPr>
            <w:r>
              <w:rPr>
                <w:color w:val="1C1C2D"/>
                <w:sz w:val="20"/>
                <w:szCs w:val="20"/>
              </w:rPr>
              <w:t>Quality of argument, engagement with counterarguments, logical consistency</w:t>
            </w:r>
          </w:p>
        </w:tc>
        <w:tc>
          <w:tcPr>
            <w:tcW w:w="851" w:type="dxa"/>
            <w:tcBorders>
              <w:top w:val="single" w:sz="4" w:space="0" w:color="CCCCDD"/>
              <w:left w:val="single" w:sz="4" w:space="0" w:color="CCCCDD"/>
              <w:bottom w:val="single" w:sz="4" w:space="0" w:color="CCCCDD"/>
            </w:tcBorders>
            <w:shd w:val="clear" w:color="auto" w:fill="F4F6FB"/>
          </w:tcPr>
          <w:p w14:paraId="50D5EC3A" w14:textId="77777777" w:rsidR="004E1EB7" w:rsidRDefault="00000000">
            <w:pPr>
              <w:pBdr>
                <w:top w:val="nil"/>
                <w:left w:val="nil"/>
                <w:bottom w:val="nil"/>
                <w:right w:val="nil"/>
                <w:between w:val="nil"/>
              </w:pBdr>
              <w:spacing w:before="187"/>
              <w:ind w:right="205"/>
              <w:jc w:val="center"/>
              <w:rPr>
                <w:color w:val="000000"/>
                <w:sz w:val="20"/>
                <w:szCs w:val="20"/>
              </w:rPr>
            </w:pPr>
            <w:r>
              <w:rPr>
                <w:color w:val="1C1C2D"/>
                <w:sz w:val="20"/>
                <w:szCs w:val="20"/>
              </w:rPr>
              <w:t>30</w:t>
            </w:r>
          </w:p>
        </w:tc>
      </w:tr>
      <w:tr w:rsidR="004E1EB7" w14:paraId="7F2D476B" w14:textId="77777777">
        <w:trPr>
          <w:trHeight w:val="909"/>
        </w:trPr>
        <w:tc>
          <w:tcPr>
            <w:tcW w:w="2551" w:type="dxa"/>
            <w:tcBorders>
              <w:top w:val="single" w:sz="4" w:space="0" w:color="CCCCDD"/>
              <w:bottom w:val="single" w:sz="4" w:space="0" w:color="CCCCDD"/>
              <w:right w:val="single" w:sz="4" w:space="0" w:color="CCCCDD"/>
            </w:tcBorders>
          </w:tcPr>
          <w:p w14:paraId="2029E4E3" w14:textId="77777777" w:rsidR="004E1EB7" w:rsidRDefault="00000000">
            <w:pPr>
              <w:pBdr>
                <w:top w:val="nil"/>
                <w:left w:val="nil"/>
                <w:bottom w:val="nil"/>
                <w:right w:val="nil"/>
                <w:between w:val="nil"/>
              </w:pBdr>
              <w:spacing w:before="187"/>
              <w:ind w:left="197"/>
              <w:rPr>
                <w:color w:val="000000"/>
                <w:sz w:val="20"/>
                <w:szCs w:val="20"/>
              </w:rPr>
            </w:pPr>
            <w:r>
              <w:rPr>
                <w:color w:val="1C1C2D"/>
                <w:sz w:val="20"/>
                <w:szCs w:val="20"/>
              </w:rPr>
              <w:t>Section C — Forking</w:t>
            </w:r>
          </w:p>
        </w:tc>
        <w:tc>
          <w:tcPr>
            <w:tcW w:w="5953" w:type="dxa"/>
            <w:tcBorders>
              <w:top w:val="single" w:sz="4" w:space="0" w:color="CCCCDD"/>
              <w:left w:val="single" w:sz="4" w:space="0" w:color="CCCCDD"/>
              <w:bottom w:val="single" w:sz="4" w:space="0" w:color="CCCCDD"/>
              <w:right w:val="single" w:sz="4" w:space="0" w:color="CCCCDD"/>
            </w:tcBorders>
          </w:tcPr>
          <w:p w14:paraId="023E9E3A" w14:textId="77777777" w:rsidR="004E1EB7" w:rsidRDefault="00000000">
            <w:pPr>
              <w:pBdr>
                <w:top w:val="nil"/>
                <w:left w:val="nil"/>
                <w:bottom w:val="nil"/>
                <w:right w:val="nil"/>
                <w:between w:val="nil"/>
              </w:pBdr>
              <w:spacing w:before="187" w:line="291" w:lineRule="auto"/>
              <w:ind w:left="203" w:right="130"/>
              <w:rPr>
                <w:color w:val="000000"/>
                <w:sz w:val="20"/>
                <w:szCs w:val="20"/>
              </w:rPr>
            </w:pPr>
            <w:r>
              <w:rPr>
                <w:color w:val="1C1C2D"/>
                <w:sz w:val="20"/>
                <w:szCs w:val="20"/>
              </w:rPr>
              <w:t>Analytical depth, willingness to argue against own position before defending it</w:t>
            </w:r>
          </w:p>
        </w:tc>
        <w:tc>
          <w:tcPr>
            <w:tcW w:w="851" w:type="dxa"/>
            <w:tcBorders>
              <w:top w:val="single" w:sz="4" w:space="0" w:color="CCCCDD"/>
              <w:left w:val="single" w:sz="4" w:space="0" w:color="CCCCDD"/>
              <w:bottom w:val="single" w:sz="4" w:space="0" w:color="CCCCDD"/>
            </w:tcBorders>
          </w:tcPr>
          <w:p w14:paraId="3748CEAB" w14:textId="77777777" w:rsidR="004E1EB7" w:rsidRDefault="00000000">
            <w:pPr>
              <w:pBdr>
                <w:top w:val="nil"/>
                <w:left w:val="nil"/>
                <w:bottom w:val="nil"/>
                <w:right w:val="nil"/>
                <w:between w:val="nil"/>
              </w:pBdr>
              <w:spacing w:before="187"/>
              <w:ind w:right="205"/>
              <w:jc w:val="center"/>
              <w:rPr>
                <w:color w:val="000000"/>
                <w:sz w:val="20"/>
                <w:szCs w:val="20"/>
              </w:rPr>
            </w:pPr>
            <w:r>
              <w:rPr>
                <w:color w:val="1C1C2D"/>
                <w:sz w:val="20"/>
                <w:szCs w:val="20"/>
              </w:rPr>
              <w:t>25</w:t>
            </w:r>
          </w:p>
        </w:tc>
      </w:tr>
      <w:tr w:rsidR="004E1EB7" w14:paraId="2869409D" w14:textId="77777777">
        <w:trPr>
          <w:trHeight w:val="910"/>
        </w:trPr>
        <w:tc>
          <w:tcPr>
            <w:tcW w:w="2551" w:type="dxa"/>
            <w:tcBorders>
              <w:top w:val="single" w:sz="4" w:space="0" w:color="CCCCDD"/>
              <w:bottom w:val="single" w:sz="4" w:space="0" w:color="CCCCDD"/>
              <w:right w:val="single" w:sz="4" w:space="0" w:color="CCCCDD"/>
            </w:tcBorders>
            <w:shd w:val="clear" w:color="auto" w:fill="F4F6FB"/>
          </w:tcPr>
          <w:p w14:paraId="0719C7CA" w14:textId="77777777" w:rsidR="004E1EB7" w:rsidRDefault="00000000">
            <w:pPr>
              <w:pBdr>
                <w:top w:val="nil"/>
                <w:left w:val="nil"/>
                <w:bottom w:val="nil"/>
                <w:right w:val="nil"/>
                <w:between w:val="nil"/>
              </w:pBdr>
              <w:spacing w:before="187"/>
              <w:ind w:left="197"/>
              <w:rPr>
                <w:color w:val="000000"/>
                <w:sz w:val="20"/>
                <w:szCs w:val="20"/>
              </w:rPr>
            </w:pPr>
            <w:r>
              <w:rPr>
                <w:color w:val="1C1C2D"/>
                <w:sz w:val="20"/>
                <w:szCs w:val="20"/>
              </w:rPr>
              <w:t>Section D — Lessons</w:t>
            </w:r>
          </w:p>
        </w:tc>
        <w:tc>
          <w:tcPr>
            <w:tcW w:w="5953" w:type="dxa"/>
            <w:tcBorders>
              <w:top w:val="single" w:sz="4" w:space="0" w:color="CCCCDD"/>
              <w:left w:val="single" w:sz="4" w:space="0" w:color="CCCCDD"/>
              <w:bottom w:val="single" w:sz="4" w:space="0" w:color="CCCCDD"/>
              <w:right w:val="single" w:sz="4" w:space="0" w:color="CCCCDD"/>
            </w:tcBorders>
            <w:shd w:val="clear" w:color="auto" w:fill="F4F6FB"/>
          </w:tcPr>
          <w:p w14:paraId="031243DD" w14:textId="77777777" w:rsidR="004E1EB7" w:rsidRDefault="00000000">
            <w:pPr>
              <w:pBdr>
                <w:top w:val="nil"/>
                <w:left w:val="nil"/>
                <w:bottom w:val="nil"/>
                <w:right w:val="nil"/>
                <w:between w:val="nil"/>
              </w:pBdr>
              <w:spacing w:before="187" w:line="291" w:lineRule="auto"/>
              <w:ind w:left="203" w:right="130"/>
              <w:rPr>
                <w:color w:val="000000"/>
                <w:sz w:val="20"/>
                <w:szCs w:val="20"/>
              </w:rPr>
            </w:pPr>
            <w:r>
              <w:rPr>
                <w:color w:val="1C1C2D"/>
                <w:sz w:val="20"/>
                <w:szCs w:val="20"/>
              </w:rPr>
              <w:t xml:space="preserve">Ability to </w:t>
            </w:r>
            <w:proofErr w:type="spellStart"/>
            <w:r>
              <w:rPr>
                <w:color w:val="1C1C2D"/>
                <w:sz w:val="20"/>
                <w:szCs w:val="20"/>
              </w:rPr>
              <w:t>generalise</w:t>
            </w:r>
            <w:proofErr w:type="spellEnd"/>
            <w:r>
              <w:rPr>
                <w:color w:val="1C1C2D"/>
                <w:sz w:val="20"/>
                <w:szCs w:val="20"/>
              </w:rPr>
              <w:t>, quality of governance recommendations, application to new scenarios</w:t>
            </w:r>
          </w:p>
        </w:tc>
        <w:tc>
          <w:tcPr>
            <w:tcW w:w="851" w:type="dxa"/>
            <w:tcBorders>
              <w:top w:val="single" w:sz="4" w:space="0" w:color="CCCCDD"/>
              <w:left w:val="single" w:sz="4" w:space="0" w:color="CCCCDD"/>
              <w:bottom w:val="single" w:sz="4" w:space="0" w:color="CCCCDD"/>
            </w:tcBorders>
            <w:shd w:val="clear" w:color="auto" w:fill="F4F6FB"/>
          </w:tcPr>
          <w:p w14:paraId="6EC22097" w14:textId="77777777" w:rsidR="004E1EB7" w:rsidRDefault="00000000">
            <w:pPr>
              <w:pBdr>
                <w:top w:val="nil"/>
                <w:left w:val="nil"/>
                <w:bottom w:val="nil"/>
                <w:right w:val="nil"/>
                <w:between w:val="nil"/>
              </w:pBdr>
              <w:spacing w:before="187"/>
              <w:ind w:right="205"/>
              <w:jc w:val="center"/>
              <w:rPr>
                <w:color w:val="000000"/>
                <w:sz w:val="20"/>
                <w:szCs w:val="20"/>
              </w:rPr>
            </w:pPr>
            <w:r>
              <w:rPr>
                <w:color w:val="1C1C2D"/>
                <w:sz w:val="20"/>
                <w:szCs w:val="20"/>
              </w:rPr>
              <w:t>20</w:t>
            </w:r>
          </w:p>
        </w:tc>
      </w:tr>
      <w:tr w:rsidR="004E1EB7" w14:paraId="558E96FA" w14:textId="77777777">
        <w:trPr>
          <w:trHeight w:val="630"/>
        </w:trPr>
        <w:tc>
          <w:tcPr>
            <w:tcW w:w="2551" w:type="dxa"/>
            <w:tcBorders>
              <w:top w:val="single" w:sz="4" w:space="0" w:color="CCCCDD"/>
              <w:bottom w:val="single" w:sz="4" w:space="0" w:color="CCCCDD"/>
              <w:right w:val="single" w:sz="4" w:space="0" w:color="CCCCDD"/>
            </w:tcBorders>
          </w:tcPr>
          <w:p w14:paraId="68E085E6" w14:textId="77777777" w:rsidR="004E1EB7" w:rsidRDefault="00000000">
            <w:pPr>
              <w:pBdr>
                <w:top w:val="nil"/>
                <w:left w:val="nil"/>
                <w:bottom w:val="nil"/>
                <w:right w:val="nil"/>
                <w:between w:val="nil"/>
              </w:pBdr>
              <w:spacing w:before="187"/>
              <w:ind w:left="197"/>
              <w:rPr>
                <w:color w:val="000000"/>
                <w:sz w:val="20"/>
                <w:szCs w:val="20"/>
              </w:rPr>
            </w:pPr>
            <w:r>
              <w:rPr>
                <w:color w:val="1C1C2D"/>
                <w:sz w:val="20"/>
                <w:szCs w:val="20"/>
              </w:rPr>
              <w:t>Section E — Reflection</w:t>
            </w:r>
          </w:p>
        </w:tc>
        <w:tc>
          <w:tcPr>
            <w:tcW w:w="5953" w:type="dxa"/>
            <w:tcBorders>
              <w:top w:val="single" w:sz="4" w:space="0" w:color="CCCCDD"/>
              <w:left w:val="single" w:sz="4" w:space="0" w:color="CCCCDD"/>
              <w:bottom w:val="single" w:sz="4" w:space="0" w:color="CCCCDD"/>
              <w:right w:val="single" w:sz="4" w:space="0" w:color="CCCCDD"/>
            </w:tcBorders>
          </w:tcPr>
          <w:p w14:paraId="087DB19C" w14:textId="77777777" w:rsidR="004E1EB7" w:rsidRDefault="00000000">
            <w:pPr>
              <w:pBdr>
                <w:top w:val="nil"/>
                <w:left w:val="nil"/>
                <w:bottom w:val="nil"/>
                <w:right w:val="nil"/>
                <w:between w:val="nil"/>
              </w:pBdr>
              <w:spacing w:before="187"/>
              <w:ind w:left="203"/>
              <w:rPr>
                <w:color w:val="000000"/>
                <w:sz w:val="20"/>
                <w:szCs w:val="20"/>
              </w:rPr>
            </w:pPr>
            <w:r>
              <w:rPr>
                <w:color w:val="1C1C2D"/>
                <w:sz w:val="20"/>
                <w:szCs w:val="20"/>
              </w:rPr>
              <w:t>Honesty and clarity of personal thinking</w:t>
            </w:r>
          </w:p>
        </w:tc>
        <w:tc>
          <w:tcPr>
            <w:tcW w:w="851" w:type="dxa"/>
            <w:tcBorders>
              <w:top w:val="single" w:sz="4" w:space="0" w:color="CCCCDD"/>
              <w:left w:val="single" w:sz="4" w:space="0" w:color="CCCCDD"/>
              <w:bottom w:val="single" w:sz="4" w:space="0" w:color="CCCCDD"/>
            </w:tcBorders>
          </w:tcPr>
          <w:p w14:paraId="5913541C" w14:textId="77777777" w:rsidR="004E1EB7" w:rsidRDefault="00000000">
            <w:pPr>
              <w:pBdr>
                <w:top w:val="nil"/>
                <w:left w:val="nil"/>
                <w:bottom w:val="nil"/>
                <w:right w:val="nil"/>
                <w:between w:val="nil"/>
              </w:pBdr>
              <w:spacing w:before="187"/>
              <w:ind w:right="205"/>
              <w:jc w:val="center"/>
              <w:rPr>
                <w:color w:val="000000"/>
                <w:sz w:val="20"/>
                <w:szCs w:val="20"/>
              </w:rPr>
            </w:pPr>
            <w:r>
              <w:rPr>
                <w:color w:val="1C1C2D"/>
                <w:sz w:val="20"/>
                <w:szCs w:val="20"/>
              </w:rPr>
              <w:t>10</w:t>
            </w:r>
          </w:p>
        </w:tc>
      </w:tr>
      <w:tr w:rsidR="004E1EB7" w14:paraId="07F75378" w14:textId="77777777">
        <w:trPr>
          <w:trHeight w:val="625"/>
        </w:trPr>
        <w:tc>
          <w:tcPr>
            <w:tcW w:w="2551" w:type="dxa"/>
            <w:tcBorders>
              <w:top w:val="single" w:sz="4" w:space="0" w:color="CCCCDD"/>
              <w:right w:val="single" w:sz="4" w:space="0" w:color="CCCCDD"/>
            </w:tcBorders>
            <w:shd w:val="clear" w:color="auto" w:fill="DBE8F4"/>
          </w:tcPr>
          <w:p w14:paraId="5A42E8BC" w14:textId="77777777" w:rsidR="004E1EB7" w:rsidRDefault="00000000">
            <w:pPr>
              <w:pBdr>
                <w:top w:val="nil"/>
                <w:left w:val="nil"/>
                <w:bottom w:val="nil"/>
                <w:right w:val="nil"/>
                <w:between w:val="nil"/>
              </w:pBdr>
              <w:spacing w:before="187"/>
              <w:ind w:left="197"/>
              <w:rPr>
                <w:b/>
                <w:bCs/>
                <w:color w:val="000000"/>
                <w:sz w:val="20"/>
                <w:szCs w:val="20"/>
              </w:rPr>
            </w:pPr>
            <w:r>
              <w:rPr>
                <w:b/>
                <w:bCs/>
                <w:color w:val="1C1C2D"/>
                <w:sz w:val="20"/>
                <w:szCs w:val="20"/>
              </w:rPr>
              <w:t>Total</w:t>
            </w:r>
          </w:p>
        </w:tc>
        <w:tc>
          <w:tcPr>
            <w:tcW w:w="5953" w:type="dxa"/>
            <w:tcBorders>
              <w:top w:val="single" w:sz="4" w:space="0" w:color="CCCCDD"/>
              <w:left w:val="single" w:sz="4" w:space="0" w:color="CCCCDD"/>
              <w:right w:val="single" w:sz="4" w:space="0" w:color="CCCCDD"/>
            </w:tcBorders>
            <w:shd w:val="clear" w:color="auto" w:fill="DBE8F4"/>
          </w:tcPr>
          <w:p w14:paraId="53E74E0F" w14:textId="77777777" w:rsidR="004E1EB7" w:rsidRDefault="004E1EB7">
            <w:pPr>
              <w:pBdr>
                <w:top w:val="nil"/>
                <w:left w:val="nil"/>
                <w:bottom w:val="nil"/>
                <w:right w:val="nil"/>
                <w:between w:val="nil"/>
              </w:pBdr>
              <w:rPr>
                <w:rFonts w:ascii="Times New Roman" w:eastAsia="Times New Roman" w:hAnsi="Times New Roman" w:cs="Times New Roman"/>
                <w:color w:val="000000"/>
                <w:sz w:val="20"/>
                <w:szCs w:val="20"/>
              </w:rPr>
            </w:pPr>
          </w:p>
        </w:tc>
        <w:tc>
          <w:tcPr>
            <w:tcW w:w="851" w:type="dxa"/>
            <w:tcBorders>
              <w:top w:val="single" w:sz="4" w:space="0" w:color="CCCCDD"/>
              <w:left w:val="single" w:sz="4" w:space="0" w:color="CCCCDD"/>
            </w:tcBorders>
            <w:shd w:val="clear" w:color="auto" w:fill="DBE8F4"/>
          </w:tcPr>
          <w:p w14:paraId="6BAA8683" w14:textId="77777777" w:rsidR="004E1EB7" w:rsidRDefault="00000000">
            <w:pPr>
              <w:pBdr>
                <w:top w:val="nil"/>
                <w:left w:val="nil"/>
                <w:bottom w:val="nil"/>
                <w:right w:val="nil"/>
                <w:between w:val="nil"/>
              </w:pBdr>
              <w:spacing w:before="187"/>
              <w:ind w:left="111" w:right="205"/>
              <w:jc w:val="center"/>
              <w:rPr>
                <w:b/>
                <w:bCs/>
                <w:color w:val="000000"/>
                <w:sz w:val="20"/>
                <w:szCs w:val="20"/>
              </w:rPr>
            </w:pPr>
            <w:r>
              <w:rPr>
                <w:b/>
                <w:bCs/>
                <w:color w:val="1C1C2D"/>
                <w:sz w:val="20"/>
                <w:szCs w:val="20"/>
              </w:rPr>
              <w:t>100</w:t>
            </w:r>
          </w:p>
        </w:tc>
      </w:tr>
    </w:tbl>
    <w:p w14:paraId="3649CA15" w14:textId="77777777" w:rsidR="004E1EB7" w:rsidRDefault="004E1EB7">
      <w:pPr>
        <w:pBdr>
          <w:top w:val="nil"/>
          <w:left w:val="nil"/>
          <w:bottom w:val="nil"/>
          <w:right w:val="nil"/>
          <w:between w:val="nil"/>
        </w:pBdr>
        <w:rPr>
          <w:b/>
          <w:bCs/>
          <w:color w:val="000000"/>
          <w:sz w:val="26"/>
          <w:szCs w:val="26"/>
        </w:rPr>
      </w:pPr>
    </w:p>
    <w:p w14:paraId="47DA56E7" w14:textId="77777777" w:rsidR="004E1EB7" w:rsidRDefault="004E1EB7">
      <w:pPr>
        <w:pBdr>
          <w:top w:val="nil"/>
          <w:left w:val="nil"/>
          <w:bottom w:val="nil"/>
          <w:right w:val="nil"/>
          <w:between w:val="nil"/>
        </w:pBdr>
        <w:spacing w:before="140"/>
        <w:rPr>
          <w:b/>
          <w:bCs/>
          <w:color w:val="000000"/>
          <w:sz w:val="26"/>
          <w:szCs w:val="26"/>
        </w:rPr>
      </w:pPr>
    </w:p>
    <w:p w14:paraId="1E44BC81" w14:textId="77777777" w:rsidR="004E1EB7" w:rsidRDefault="00000000">
      <w:pPr>
        <w:ind w:left="404"/>
        <w:rPr>
          <w:b/>
          <w:bCs/>
          <w:sz w:val="26"/>
          <w:szCs w:val="26"/>
        </w:rPr>
      </w:pPr>
      <w:r>
        <w:rPr>
          <w:b/>
          <w:bCs/>
          <w:color w:val="2B498C"/>
          <w:sz w:val="26"/>
          <w:szCs w:val="26"/>
        </w:rPr>
        <w:t>Key References and Further Reading</w:t>
      </w:r>
    </w:p>
    <w:p w14:paraId="4E005982" w14:textId="77777777" w:rsidR="004E1EB7" w:rsidRDefault="00000000">
      <w:pPr>
        <w:pStyle w:val="Heading3"/>
        <w:numPr>
          <w:ilvl w:val="0"/>
          <w:numId w:val="1"/>
        </w:numPr>
        <w:tabs>
          <w:tab w:val="left" w:pos="734"/>
        </w:tabs>
        <w:spacing w:before="139"/>
        <w:ind w:hanging="330"/>
      </w:pPr>
      <w:r>
        <w:rPr>
          <w:color w:val="1C1C2D"/>
        </w:rPr>
        <w:t>The Document Foundation Founding Announcement (2010)</w:t>
      </w:r>
    </w:p>
    <w:p w14:paraId="7E76B65A" w14:textId="77777777" w:rsidR="004E1EB7" w:rsidRDefault="004E1EB7">
      <w:pPr>
        <w:pBdr>
          <w:top w:val="nil"/>
          <w:left w:val="nil"/>
          <w:bottom w:val="nil"/>
          <w:right w:val="nil"/>
          <w:between w:val="nil"/>
        </w:pBdr>
        <w:spacing w:before="14"/>
        <w:rPr>
          <w:b/>
          <w:bCs/>
          <w:color w:val="000000"/>
        </w:rPr>
      </w:pPr>
    </w:p>
    <w:p w14:paraId="2B3E8AA4" w14:textId="77777777" w:rsidR="004E1EB7" w:rsidRDefault="00000000">
      <w:pPr>
        <w:pBdr>
          <w:top w:val="nil"/>
          <w:left w:val="nil"/>
          <w:bottom w:val="nil"/>
          <w:right w:val="nil"/>
          <w:between w:val="nil"/>
        </w:pBdr>
        <w:spacing w:line="340" w:lineRule="auto"/>
        <w:ind w:left="404" w:right="401"/>
        <w:jc w:val="both"/>
        <w:rPr>
          <w:color w:val="000000"/>
        </w:rPr>
      </w:pPr>
      <w:r>
        <w:rPr>
          <w:color w:val="1C1C2D"/>
        </w:rPr>
        <w:t>The original manifesto published by the founders of LibreOffice, outlining the governance principles that distinguish The Document Foundation from Oracle's stewardship. Available at documentfoundation.org.</w:t>
      </w:r>
    </w:p>
    <w:p w14:paraId="19597771" w14:textId="77777777" w:rsidR="004E1EB7" w:rsidRDefault="00000000">
      <w:pPr>
        <w:pStyle w:val="Heading3"/>
        <w:numPr>
          <w:ilvl w:val="0"/>
          <w:numId w:val="1"/>
        </w:numPr>
        <w:tabs>
          <w:tab w:val="left" w:pos="734"/>
        </w:tabs>
        <w:ind w:hanging="330"/>
      </w:pPr>
      <w:r>
        <w:rPr>
          <w:color w:val="1C1C2D"/>
        </w:rPr>
        <w:t>'Goodbye, Sun' — Michael Widenius (2009)</w:t>
      </w:r>
    </w:p>
    <w:p w14:paraId="1847F6EE" w14:textId="77777777" w:rsidR="004E1EB7" w:rsidRDefault="004E1EB7">
      <w:pPr>
        <w:pBdr>
          <w:top w:val="nil"/>
          <w:left w:val="nil"/>
          <w:bottom w:val="nil"/>
          <w:right w:val="nil"/>
          <w:between w:val="nil"/>
        </w:pBdr>
        <w:spacing w:before="14"/>
        <w:rPr>
          <w:b/>
          <w:bCs/>
          <w:color w:val="000000"/>
        </w:rPr>
      </w:pPr>
    </w:p>
    <w:p w14:paraId="1BD8C9E0" w14:textId="77777777" w:rsidR="004E1EB7" w:rsidRDefault="00000000">
      <w:pPr>
        <w:pBdr>
          <w:top w:val="nil"/>
          <w:left w:val="nil"/>
          <w:bottom w:val="nil"/>
          <w:right w:val="nil"/>
          <w:between w:val="nil"/>
        </w:pBdr>
        <w:spacing w:line="340" w:lineRule="auto"/>
        <w:ind w:left="404" w:right="401"/>
        <w:jc w:val="both"/>
        <w:rPr>
          <w:color w:val="000000"/>
        </w:rPr>
      </w:pPr>
      <w:r>
        <w:rPr>
          <w:color w:val="1C1C2D"/>
        </w:rPr>
        <w:t xml:space="preserve">The blog post in which MySQL's founder explains his reasons for forking MySQL into MariaDB before Oracle's acquisition was </w:t>
      </w:r>
      <w:proofErr w:type="spellStart"/>
      <w:r>
        <w:rPr>
          <w:color w:val="1C1C2D"/>
        </w:rPr>
        <w:t>finalised</w:t>
      </w:r>
      <w:proofErr w:type="spellEnd"/>
      <w:r>
        <w:rPr>
          <w:color w:val="1C1C2D"/>
        </w:rPr>
        <w:t>. Provides direct insight into the community's assessment of Oracle's intentions.</w:t>
      </w:r>
    </w:p>
    <w:p w14:paraId="66C55FCD" w14:textId="77777777" w:rsidR="004E1EB7" w:rsidRDefault="00000000">
      <w:pPr>
        <w:pStyle w:val="Heading3"/>
        <w:numPr>
          <w:ilvl w:val="0"/>
          <w:numId w:val="1"/>
        </w:numPr>
        <w:tabs>
          <w:tab w:val="left" w:pos="734"/>
        </w:tabs>
        <w:ind w:hanging="330"/>
        <w:sectPr w:rsidR="004E1EB7">
          <w:pgSz w:w="11910" w:h="16840"/>
          <w:pgMar w:top="1460" w:right="1133" w:bottom="940" w:left="1133" w:header="0" w:footer="745" w:gutter="0"/>
          <w:cols w:space="720"/>
        </w:sectPr>
      </w:pPr>
      <w:r>
        <w:rPr>
          <w:color w:val="1C1C2D"/>
        </w:rPr>
        <w:t>The GNU Project — The Free Software Definition</w:t>
      </w:r>
    </w:p>
    <w:p w14:paraId="3CF93BFA" w14:textId="77777777" w:rsidR="004E1EB7" w:rsidRDefault="00000000">
      <w:pPr>
        <w:pBdr>
          <w:top w:val="nil"/>
          <w:left w:val="nil"/>
          <w:bottom w:val="nil"/>
          <w:right w:val="nil"/>
          <w:between w:val="nil"/>
        </w:pBdr>
        <w:spacing w:before="73" w:line="340" w:lineRule="auto"/>
        <w:ind w:left="404" w:right="401"/>
        <w:jc w:val="both"/>
        <w:rPr>
          <w:color w:val="000000"/>
        </w:rPr>
      </w:pPr>
      <w:r>
        <w:rPr>
          <w:color w:val="1C1C2D"/>
        </w:rPr>
        <w:lastRenderedPageBreak/>
        <w:t>Richard Stallman's canonical statement of the four software freedoms. Essential context for understanding what 'openness' means in the free software tradition and how the OpenOffice.org situation tested those definitions in practice. Available at gnu.org/philosophy/free-sw.html.</w:t>
      </w:r>
    </w:p>
    <w:p w14:paraId="407EAD01" w14:textId="77777777" w:rsidR="004E1EB7" w:rsidRDefault="00000000">
      <w:pPr>
        <w:pStyle w:val="Heading3"/>
        <w:numPr>
          <w:ilvl w:val="0"/>
          <w:numId w:val="1"/>
        </w:numPr>
        <w:tabs>
          <w:tab w:val="left" w:pos="734"/>
        </w:tabs>
        <w:spacing w:before="220"/>
        <w:ind w:hanging="330"/>
      </w:pPr>
      <w:r>
        <w:rPr>
          <w:color w:val="1C1C2D"/>
        </w:rPr>
        <w:t>'The Cathedral and the Bazaar' — Eric S. Raymond (1999)</w:t>
      </w:r>
    </w:p>
    <w:p w14:paraId="56BFC844" w14:textId="77777777" w:rsidR="004E1EB7" w:rsidRDefault="004E1EB7">
      <w:pPr>
        <w:pBdr>
          <w:top w:val="nil"/>
          <w:left w:val="nil"/>
          <w:bottom w:val="nil"/>
          <w:right w:val="nil"/>
          <w:between w:val="nil"/>
        </w:pBdr>
        <w:spacing w:before="13"/>
        <w:rPr>
          <w:b/>
          <w:bCs/>
          <w:color w:val="000000"/>
        </w:rPr>
      </w:pPr>
    </w:p>
    <w:p w14:paraId="1672CECB" w14:textId="77777777" w:rsidR="004E1EB7" w:rsidRDefault="00000000">
      <w:pPr>
        <w:pBdr>
          <w:top w:val="nil"/>
          <w:left w:val="nil"/>
          <w:bottom w:val="nil"/>
          <w:right w:val="nil"/>
          <w:between w:val="nil"/>
        </w:pBdr>
        <w:spacing w:before="1" w:line="340" w:lineRule="auto"/>
        <w:ind w:left="404" w:right="401"/>
        <w:jc w:val="both"/>
        <w:rPr>
          <w:color w:val="000000"/>
        </w:rPr>
      </w:pPr>
      <w:r>
        <w:rPr>
          <w:color w:val="1C1C2D"/>
        </w:rPr>
        <w:t xml:space="preserve">The foundational essay on </w:t>
      </w:r>
      <w:proofErr w:type="gramStart"/>
      <w:r>
        <w:rPr>
          <w:color w:val="1C1C2D"/>
        </w:rPr>
        <w:t>open source</w:t>
      </w:r>
      <w:proofErr w:type="gramEnd"/>
      <w:r>
        <w:rPr>
          <w:color w:val="1C1C2D"/>
        </w:rPr>
        <w:t xml:space="preserve"> development models, arguing that </w:t>
      </w:r>
      <w:proofErr w:type="spellStart"/>
      <w:r>
        <w:rPr>
          <w:color w:val="1C1C2D"/>
        </w:rPr>
        <w:t>decentralised</w:t>
      </w:r>
      <w:proofErr w:type="spellEnd"/>
      <w:r>
        <w:rPr>
          <w:color w:val="1C1C2D"/>
        </w:rPr>
        <w:t xml:space="preserve"> community development outperforms </w:t>
      </w:r>
      <w:proofErr w:type="spellStart"/>
      <w:r>
        <w:rPr>
          <w:color w:val="1C1C2D"/>
        </w:rPr>
        <w:t>centralised</w:t>
      </w:r>
      <w:proofErr w:type="spellEnd"/>
      <w:r>
        <w:rPr>
          <w:color w:val="1C1C2D"/>
        </w:rPr>
        <w:t xml:space="preserve"> corporate development. Becomes more nuanced when read against the OpenOffice.org case, where governance rather than development model was the core issue.</w:t>
      </w:r>
    </w:p>
    <w:p w14:paraId="4D73FF69" w14:textId="77777777" w:rsidR="004E1EB7" w:rsidRDefault="00000000">
      <w:pPr>
        <w:pStyle w:val="Heading3"/>
        <w:numPr>
          <w:ilvl w:val="0"/>
          <w:numId w:val="1"/>
        </w:numPr>
        <w:tabs>
          <w:tab w:val="left" w:pos="734"/>
        </w:tabs>
        <w:ind w:hanging="330"/>
      </w:pPr>
      <w:r>
        <w:rPr>
          <w:color w:val="1C1C2D"/>
        </w:rPr>
        <w:t>Apache OpenOffice Project History</w:t>
      </w:r>
    </w:p>
    <w:p w14:paraId="761A4BCA" w14:textId="77777777" w:rsidR="004E1EB7" w:rsidRDefault="004E1EB7">
      <w:pPr>
        <w:pBdr>
          <w:top w:val="nil"/>
          <w:left w:val="nil"/>
          <w:bottom w:val="nil"/>
          <w:right w:val="nil"/>
          <w:between w:val="nil"/>
        </w:pBdr>
        <w:spacing w:before="14"/>
        <w:rPr>
          <w:b/>
          <w:bCs/>
          <w:color w:val="000000"/>
        </w:rPr>
      </w:pPr>
    </w:p>
    <w:p w14:paraId="69DA6CC1" w14:textId="77777777" w:rsidR="004E1EB7" w:rsidRDefault="00000000">
      <w:pPr>
        <w:pBdr>
          <w:top w:val="nil"/>
          <w:left w:val="nil"/>
          <w:bottom w:val="nil"/>
          <w:right w:val="nil"/>
          <w:between w:val="nil"/>
        </w:pBdr>
        <w:spacing w:before="1" w:line="340" w:lineRule="auto"/>
        <w:ind w:left="404" w:right="401"/>
        <w:jc w:val="both"/>
        <w:rPr>
          <w:color w:val="000000"/>
        </w:rPr>
      </w:pPr>
      <w:r>
        <w:rPr>
          <w:color w:val="1C1C2D"/>
        </w:rPr>
        <w:t>Documentation of the project that received Oracle's eventual donation of the OpenOffice.org brand and codebase. Its relative inactivity compared to LibreOffice is itself informative. Available at openoffice.apache.org.</w:t>
      </w:r>
    </w:p>
    <w:p w14:paraId="7B8B295C" w14:textId="77777777" w:rsidR="004E1EB7" w:rsidRDefault="00000000">
      <w:pPr>
        <w:pStyle w:val="Heading3"/>
        <w:numPr>
          <w:ilvl w:val="0"/>
          <w:numId w:val="1"/>
        </w:numPr>
        <w:tabs>
          <w:tab w:val="left" w:pos="734"/>
        </w:tabs>
        <w:ind w:hanging="330"/>
      </w:pPr>
      <w:r>
        <w:rPr>
          <w:color w:val="1C1C2D"/>
        </w:rPr>
        <w:t>LibreOffice Release History and Contributor Statistics</w:t>
      </w:r>
    </w:p>
    <w:p w14:paraId="24BEBB4A" w14:textId="77777777" w:rsidR="004E1EB7" w:rsidRDefault="004E1EB7">
      <w:pPr>
        <w:pBdr>
          <w:top w:val="nil"/>
          <w:left w:val="nil"/>
          <w:bottom w:val="nil"/>
          <w:right w:val="nil"/>
          <w:between w:val="nil"/>
        </w:pBdr>
        <w:spacing w:before="13"/>
        <w:rPr>
          <w:b/>
          <w:bCs/>
          <w:color w:val="000000"/>
        </w:rPr>
      </w:pPr>
    </w:p>
    <w:p w14:paraId="4423CBF1" w14:textId="77777777" w:rsidR="004E1EB7" w:rsidRDefault="00000000">
      <w:pPr>
        <w:pBdr>
          <w:top w:val="nil"/>
          <w:left w:val="nil"/>
          <w:bottom w:val="nil"/>
          <w:right w:val="nil"/>
          <w:between w:val="nil"/>
        </w:pBdr>
        <w:spacing w:before="1" w:line="340" w:lineRule="auto"/>
        <w:ind w:left="404" w:right="401"/>
        <w:jc w:val="both"/>
        <w:rPr>
          <w:color w:val="000000"/>
        </w:rPr>
      </w:pPr>
      <w:r>
        <w:rPr>
          <w:color w:val="1C1C2D"/>
        </w:rPr>
        <w:t>The Document Foundation publishes detailed statistics on LibreOffice development activity. These statistics are the empirical basis for claims about LibreOffice's dominance over Apache OpenOffice in contributor activity and user adoption. Available at libreoffice.org.</w:t>
      </w:r>
    </w:p>
    <w:p w14:paraId="2C53B006" w14:textId="77777777" w:rsidR="004E1EB7" w:rsidRDefault="00000000">
      <w:pPr>
        <w:pStyle w:val="Heading3"/>
        <w:numPr>
          <w:ilvl w:val="0"/>
          <w:numId w:val="1"/>
        </w:numPr>
        <w:tabs>
          <w:tab w:val="left" w:pos="734"/>
        </w:tabs>
        <w:ind w:hanging="330"/>
      </w:pPr>
      <w:r>
        <w:rPr>
          <w:color w:val="1C1C2D"/>
        </w:rPr>
        <w:t>Governing the Commons — Elinor Ostrom (1990)</w:t>
      </w:r>
    </w:p>
    <w:p w14:paraId="219496FF" w14:textId="77777777" w:rsidR="004E1EB7" w:rsidRDefault="004E1EB7">
      <w:pPr>
        <w:pBdr>
          <w:top w:val="nil"/>
          <w:left w:val="nil"/>
          <w:bottom w:val="nil"/>
          <w:right w:val="nil"/>
          <w:between w:val="nil"/>
        </w:pBdr>
        <w:spacing w:before="14"/>
        <w:rPr>
          <w:b/>
          <w:bCs/>
          <w:color w:val="000000"/>
        </w:rPr>
      </w:pPr>
    </w:p>
    <w:p w14:paraId="5C716CAF" w14:textId="77777777" w:rsidR="004E1EB7" w:rsidRDefault="00000000">
      <w:pPr>
        <w:pBdr>
          <w:top w:val="nil"/>
          <w:left w:val="nil"/>
          <w:bottom w:val="nil"/>
          <w:right w:val="nil"/>
          <w:between w:val="nil"/>
        </w:pBdr>
        <w:spacing w:line="340" w:lineRule="auto"/>
        <w:ind w:left="404" w:right="401"/>
        <w:jc w:val="both"/>
        <w:rPr>
          <w:color w:val="000000"/>
        </w:rPr>
      </w:pPr>
      <w:r>
        <w:rPr>
          <w:color w:val="1C1C2D"/>
        </w:rPr>
        <w:t>Ostrom's Nobel Prize-winning work on community governance of shared resources provides theoretical grounding for the concept of open source as commons and the conditions under which such commons can be sustainably governed.</w:t>
      </w:r>
    </w:p>
    <w:p w14:paraId="06634A52" w14:textId="77777777" w:rsidR="004E1EB7" w:rsidRDefault="00000000">
      <w:pPr>
        <w:pStyle w:val="Heading3"/>
        <w:numPr>
          <w:ilvl w:val="0"/>
          <w:numId w:val="1"/>
        </w:numPr>
        <w:tabs>
          <w:tab w:val="left" w:pos="734"/>
        </w:tabs>
        <w:ind w:hanging="330"/>
      </w:pPr>
      <w:r>
        <w:rPr>
          <w:color w:val="1C1C2D"/>
        </w:rPr>
        <w:t xml:space="preserve">The </w:t>
      </w:r>
      <w:proofErr w:type="gramStart"/>
      <w:r>
        <w:rPr>
          <w:color w:val="1C1C2D"/>
        </w:rPr>
        <w:t>Open Source</w:t>
      </w:r>
      <w:proofErr w:type="gramEnd"/>
      <w:r>
        <w:rPr>
          <w:color w:val="1C1C2D"/>
        </w:rPr>
        <w:t xml:space="preserve"> Definition — </w:t>
      </w:r>
      <w:proofErr w:type="gramStart"/>
      <w:r>
        <w:rPr>
          <w:color w:val="1C1C2D"/>
        </w:rPr>
        <w:t>Open Source</w:t>
      </w:r>
      <w:proofErr w:type="gramEnd"/>
      <w:r>
        <w:rPr>
          <w:color w:val="1C1C2D"/>
        </w:rPr>
        <w:t xml:space="preserve"> Initiative</w:t>
      </w:r>
    </w:p>
    <w:p w14:paraId="2A26EFFA" w14:textId="77777777" w:rsidR="004E1EB7" w:rsidRDefault="004E1EB7">
      <w:pPr>
        <w:pBdr>
          <w:top w:val="nil"/>
          <w:left w:val="nil"/>
          <w:bottom w:val="nil"/>
          <w:right w:val="nil"/>
          <w:between w:val="nil"/>
        </w:pBdr>
        <w:spacing w:before="14"/>
        <w:rPr>
          <w:b/>
          <w:bCs/>
          <w:color w:val="000000"/>
        </w:rPr>
      </w:pPr>
    </w:p>
    <w:p w14:paraId="32D10889" w14:textId="77777777" w:rsidR="004E1EB7" w:rsidRDefault="00000000">
      <w:pPr>
        <w:pBdr>
          <w:top w:val="nil"/>
          <w:left w:val="nil"/>
          <w:bottom w:val="nil"/>
          <w:right w:val="nil"/>
          <w:between w:val="nil"/>
        </w:pBdr>
        <w:spacing w:line="340" w:lineRule="auto"/>
        <w:ind w:left="404" w:right="401"/>
        <w:jc w:val="both"/>
        <w:rPr>
          <w:color w:val="000000"/>
        </w:rPr>
      </w:pPr>
      <w:r>
        <w:rPr>
          <w:color w:val="1C1C2D"/>
        </w:rPr>
        <w:t>The OSI's definition of open source, which complements the GNU Free Software Definition by focusing on distribution conditions. Useful for understanding the precise legal meaning of 'open source' as distinct from the governance questions this case study addresses. Available at opensource.org/</w:t>
      </w:r>
      <w:proofErr w:type="spellStart"/>
      <w:r>
        <w:rPr>
          <w:color w:val="1C1C2D"/>
        </w:rPr>
        <w:t>osd</w:t>
      </w:r>
      <w:proofErr w:type="spellEnd"/>
      <w:r>
        <w:rPr>
          <w:color w:val="1C1C2D"/>
        </w:rPr>
        <w:t>.</w:t>
      </w:r>
    </w:p>
    <w:p w14:paraId="18414AE3" w14:textId="77777777" w:rsidR="004E1EB7" w:rsidRDefault="004E1EB7">
      <w:pPr>
        <w:pBdr>
          <w:top w:val="nil"/>
          <w:left w:val="nil"/>
          <w:bottom w:val="nil"/>
          <w:right w:val="nil"/>
          <w:between w:val="nil"/>
        </w:pBdr>
        <w:rPr>
          <w:color w:val="000000"/>
          <w:sz w:val="20"/>
          <w:szCs w:val="20"/>
        </w:rPr>
      </w:pPr>
    </w:p>
    <w:p w14:paraId="1BE29526" w14:textId="77777777" w:rsidR="004E1EB7" w:rsidRDefault="00000000">
      <w:pPr>
        <w:pBdr>
          <w:top w:val="nil"/>
          <w:left w:val="nil"/>
          <w:bottom w:val="nil"/>
          <w:right w:val="nil"/>
          <w:between w:val="nil"/>
        </w:pBdr>
        <w:spacing w:before="199"/>
        <w:rPr>
          <w:color w:val="000000"/>
          <w:sz w:val="20"/>
          <w:szCs w:val="20"/>
        </w:rPr>
      </w:pPr>
      <w:r>
        <w:rPr>
          <w:noProof/>
        </w:rPr>
        <mc:AlternateContent>
          <mc:Choice Requires="wpg">
            <w:drawing>
              <wp:anchor distT="0" distB="0" distL="0" distR="0" simplePos="0" relativeHeight="251675648" behindDoc="0" locked="0" layoutInCell="1" hidden="0" allowOverlap="1" wp14:anchorId="504CDBB8" wp14:editId="2F95F6AA">
                <wp:simplePos x="0" y="0"/>
                <wp:positionH relativeFrom="column">
                  <wp:posOffset>256745</wp:posOffset>
                </wp:positionH>
                <wp:positionV relativeFrom="paragraph">
                  <wp:posOffset>281321</wp:posOffset>
                </wp:positionV>
                <wp:extent cx="5607685" cy="12700"/>
                <wp:effectExtent l="0" t="0" r="0" b="0"/>
                <wp:wrapTopAndBottom distT="0" distB="0"/>
                <wp:docPr id="23" name="Freeform: Shape 23"/>
                <wp:cNvGraphicFramePr/>
                <a:graphic xmlns:a="http://schemas.openxmlformats.org/drawingml/2006/main">
                  <a:graphicData uri="http://schemas.microsoft.com/office/word/2010/wordprocessingShape">
                    <wps:wsp>
                      <wps:cNvSpPr/>
                      <wps:spPr>
                        <a:xfrm>
                          <a:off x="2542158" y="3779365"/>
                          <a:ext cx="5607685" cy="1270"/>
                        </a:xfrm>
                        <a:custGeom>
                          <a:avLst/>
                          <a:gdLst/>
                          <a:ahLst/>
                          <a:cxnLst/>
                          <a:rect l="l" t="t" r="r" b="b"/>
                          <a:pathLst>
                            <a:path w="5607685" h="120000" extrusionOk="0">
                              <a:moveTo>
                                <a:pt x="0" y="0"/>
                              </a:moveTo>
                              <a:lnTo>
                                <a:pt x="5607599" y="0"/>
                              </a:lnTo>
                            </a:path>
                          </a:pathLst>
                        </a:custGeom>
                        <a:noFill/>
                        <a:ln w="10150" cap="flat" cmpd="sng">
                          <a:solidFill>
                            <a:srgbClr val="2B498C"/>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256745</wp:posOffset>
                </wp:positionH>
                <wp:positionV relativeFrom="paragraph">
                  <wp:posOffset>281321</wp:posOffset>
                </wp:positionV>
                <wp:extent cx="5607685" cy="12700"/>
                <wp:effectExtent b="0" l="0" r="0" t="0"/>
                <wp:wrapTopAndBottom distB="0" distT="0"/>
                <wp:docPr id="23"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5607685" cy="12700"/>
                        </a:xfrm>
                        <a:prstGeom prst="rect"/>
                        <a:ln/>
                      </pic:spPr>
                    </pic:pic>
                  </a:graphicData>
                </a:graphic>
              </wp:anchor>
            </w:drawing>
          </mc:Fallback>
        </mc:AlternateContent>
      </w:r>
    </w:p>
    <w:p w14:paraId="5E808C7F" w14:textId="77777777" w:rsidR="004E1EB7" w:rsidRDefault="004E1EB7">
      <w:pPr>
        <w:pBdr>
          <w:top w:val="nil"/>
          <w:left w:val="nil"/>
          <w:bottom w:val="nil"/>
          <w:right w:val="nil"/>
          <w:between w:val="nil"/>
        </w:pBdr>
        <w:spacing w:before="86"/>
        <w:rPr>
          <w:color w:val="000000"/>
          <w:sz w:val="18"/>
          <w:szCs w:val="18"/>
        </w:rPr>
      </w:pPr>
    </w:p>
    <w:p w14:paraId="049ADF19" w14:textId="77777777" w:rsidR="004E1EB7" w:rsidRDefault="004E1EB7">
      <w:pPr>
        <w:spacing w:line="302" w:lineRule="auto"/>
        <w:ind w:left="418" w:right="416"/>
        <w:jc w:val="center"/>
        <w:rPr>
          <w:i/>
          <w:iCs/>
          <w:sz w:val="18"/>
          <w:szCs w:val="18"/>
        </w:rPr>
      </w:pPr>
    </w:p>
    <w:sectPr w:rsidR="004E1EB7">
      <w:pgSz w:w="11910" w:h="16840"/>
      <w:pgMar w:top="1460" w:right="1133" w:bottom="940" w:left="1133" w:header="0" w:footer="7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73141" w14:textId="77777777" w:rsidR="0081739B" w:rsidRDefault="0081739B">
      <w:r>
        <w:separator/>
      </w:r>
    </w:p>
  </w:endnote>
  <w:endnote w:type="continuationSeparator" w:id="0">
    <w:p w14:paraId="30FB83AD" w14:textId="77777777" w:rsidR="0081739B" w:rsidRDefault="008173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581A8061-0445-41C5-84EF-464A68377C89}"/>
  </w:font>
  <w:font w:name="Calibri">
    <w:panose1 w:val="020F0502020204030204"/>
    <w:charset w:val="00"/>
    <w:family w:val="swiss"/>
    <w:pitch w:val="variable"/>
    <w:sig w:usb0="E4002EFF" w:usb1="C200247B" w:usb2="00000009" w:usb3="00000000" w:csb0="000001FF" w:csb1="00000000"/>
    <w:embedRegular r:id="rId2" w:fontKey="{AE59E327-0DEE-49D4-9CB8-399DEC934C88}"/>
  </w:font>
  <w:font w:name="Cambria">
    <w:panose1 w:val="02040503050406030204"/>
    <w:charset w:val="00"/>
    <w:family w:val="roman"/>
    <w:pitch w:val="variable"/>
    <w:sig w:usb0="E00006FF" w:usb1="420024FF" w:usb2="02000000" w:usb3="00000000" w:csb0="0000019F" w:csb1="00000000"/>
    <w:embedRegular r:id="rId3" w:fontKey="{292AF936-0918-42DD-A392-B0FFDEB2410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65735" w14:textId="77777777" w:rsidR="004E1EB7" w:rsidRDefault="00000000">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58240" behindDoc="1" locked="0" layoutInCell="1" hidden="0" allowOverlap="1" wp14:anchorId="72D01C69" wp14:editId="34DEDE75">
              <wp:simplePos x="0" y="0"/>
              <wp:positionH relativeFrom="column">
                <wp:posOffset>180545</wp:posOffset>
              </wp:positionH>
              <wp:positionV relativeFrom="paragraph">
                <wp:posOffset>10037649</wp:posOffset>
              </wp:positionV>
              <wp:extent cx="5760085" cy="12700"/>
              <wp:effectExtent l="0" t="0" r="0" b="0"/>
              <wp:wrapNone/>
              <wp:docPr id="7" name="Freeform: Shape 7"/>
              <wp:cNvGraphicFramePr/>
              <a:graphic xmlns:a="http://schemas.openxmlformats.org/drawingml/2006/main">
                <a:graphicData uri="http://schemas.microsoft.com/office/word/2010/wordprocessingShape">
                  <wps:wsp>
                    <wps:cNvSpPr/>
                    <wps:spPr>
                      <a:xfrm>
                        <a:off x="2465958" y="3779365"/>
                        <a:ext cx="5760085" cy="1270"/>
                      </a:xfrm>
                      <a:custGeom>
                        <a:avLst/>
                        <a:gdLst/>
                        <a:ahLst/>
                        <a:cxnLst/>
                        <a:rect l="l" t="t" r="r" b="b"/>
                        <a:pathLst>
                          <a:path w="5760085" h="120000" extrusionOk="0">
                            <a:moveTo>
                              <a:pt x="0" y="0"/>
                            </a:moveTo>
                            <a:lnTo>
                              <a:pt x="5759999" y="0"/>
                            </a:lnTo>
                          </a:path>
                        </a:pathLst>
                      </a:custGeom>
                      <a:noFill/>
                      <a:ln w="9525" cap="flat" cmpd="sng">
                        <a:solidFill>
                          <a:srgbClr val="2B498C"/>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180545</wp:posOffset>
              </wp:positionH>
              <wp:positionV relativeFrom="paragraph">
                <wp:posOffset>10037649</wp:posOffset>
              </wp:positionV>
              <wp:extent cx="5760085" cy="12700"/>
              <wp:effectExtent b="0" l="0" r="0" t="0"/>
              <wp:wrapNone/>
              <wp:docPr id="7"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Pr>
        <w:noProof/>
      </w:rPr>
      <mc:AlternateContent>
        <mc:Choice Requires="wps">
          <w:drawing>
            <wp:anchor distT="0" distB="0" distL="0" distR="0" simplePos="0" relativeHeight="251659264" behindDoc="1" locked="0" layoutInCell="1" hidden="0" allowOverlap="1" wp14:anchorId="65090126" wp14:editId="257DF60F">
              <wp:simplePos x="0" y="0"/>
              <wp:positionH relativeFrom="column">
                <wp:posOffset>163083</wp:posOffset>
              </wp:positionH>
              <wp:positionV relativeFrom="paragraph">
                <wp:posOffset>10114562</wp:posOffset>
              </wp:positionV>
              <wp:extent cx="3214370" cy="148590"/>
              <wp:effectExtent l="0" t="0" r="0" b="0"/>
              <wp:wrapNone/>
              <wp:docPr id="11" name="Rectangle 11"/>
              <wp:cNvGraphicFramePr/>
              <a:graphic xmlns:a="http://schemas.openxmlformats.org/drawingml/2006/main">
                <a:graphicData uri="http://schemas.microsoft.com/office/word/2010/wordprocessingShape">
                  <wps:wsp>
                    <wps:cNvSpPr/>
                    <wps:spPr>
                      <a:xfrm>
                        <a:off x="3743578" y="3710468"/>
                        <a:ext cx="3204845" cy="139065"/>
                      </a:xfrm>
                      <a:prstGeom prst="rect">
                        <a:avLst/>
                      </a:prstGeom>
                      <a:noFill/>
                      <a:ln>
                        <a:noFill/>
                      </a:ln>
                    </wps:spPr>
                    <wps:txbx>
                      <w:txbxContent>
                        <w:p w14:paraId="5F013C9E" w14:textId="77777777" w:rsidR="004E1EB7" w:rsidRDefault="00000000">
                          <w:pPr>
                            <w:spacing w:before="13"/>
                            <w:ind w:left="20" w:firstLine="20"/>
                            <w:textDirection w:val="btLr"/>
                          </w:pPr>
                          <w:r>
                            <w:rPr>
                              <w:color w:val="2B498C"/>
                              <w:sz w:val="16"/>
                            </w:rPr>
                            <w:t>The Fork in the Road: How LibreOffice Was Born from a Crisis of Trust</w:t>
                          </w:r>
                        </w:p>
                      </w:txbxContent>
                    </wps:txbx>
                    <wps:bodyPr spcFirstLastPara="1" wrap="square" lIns="0" tIns="0" rIns="0" bIns="0" anchor="t" anchorCtr="0">
                      <a:noAutofit/>
                    </wps:bodyPr>
                  </wps:wsp>
                </a:graphicData>
              </a:graphic>
            </wp:anchor>
          </w:drawing>
        </mc:Choice>
        <mc:Fallback>
          <w:pict>
            <v:rect w14:anchorId="65090126" id="Rectangle 11" o:spid="_x0000_s1033" style="position:absolute;margin-left:12.85pt;margin-top:796.4pt;width:253.1pt;height:11.7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" filled="f" stroked="f">
              <v:textbox inset="0,0,0,0">
                <w:txbxContent>
                  <w:p w14:paraId="5F013C9E" w14:textId="77777777" w:rsidR="004E1EB7" w:rsidRDefault="00000000">
                    <w:pPr>
                      <w:spacing w:before="13"/>
                      <w:ind w:left="20" w:firstLine="20"/>
                      <w:textDirection w:val="btLr"/>
                    </w:pPr>
                    <w:r>
                      <w:rPr>
                        <w:color w:val="2B498C"/>
                        <w:sz w:val="16"/>
                      </w:rPr>
                      <w:t>The Fork in the Road: How LibreOffice Was Born from a Crisis of Trust</w:t>
                    </w:r>
                  </w:p>
                </w:txbxContent>
              </v:textbox>
            </v:rect>
          </w:pict>
        </mc:Fallback>
      </mc:AlternateContent>
    </w:r>
    <w:r>
      <w:rPr>
        <w:noProof/>
      </w:rPr>
      <mc:AlternateContent>
        <mc:Choice Requires="wps">
          <w:drawing>
            <wp:anchor distT="0" distB="0" distL="0" distR="0" simplePos="0" relativeHeight="251660288" behindDoc="1" locked="0" layoutInCell="1" hidden="0" allowOverlap="1" wp14:anchorId="6C555C76" wp14:editId="21C911DB">
              <wp:simplePos x="0" y="0"/>
              <wp:positionH relativeFrom="column">
                <wp:posOffset>5290419</wp:posOffset>
              </wp:positionH>
              <wp:positionV relativeFrom="paragraph">
                <wp:posOffset>10114562</wp:posOffset>
              </wp:positionV>
              <wp:extent cx="668020" cy="148590"/>
              <wp:effectExtent l="0" t="0" r="0" b="0"/>
              <wp:wrapNone/>
              <wp:docPr id="16" name="Rectangle 16"/>
              <wp:cNvGraphicFramePr/>
              <a:graphic xmlns:a="http://schemas.openxmlformats.org/drawingml/2006/main">
                <a:graphicData uri="http://schemas.microsoft.com/office/word/2010/wordprocessingShape">
                  <wps:wsp>
                    <wps:cNvSpPr/>
                    <wps:spPr>
                      <a:xfrm>
                        <a:off x="5016753" y="3710468"/>
                        <a:ext cx="658495" cy="139065"/>
                      </a:xfrm>
                      <a:prstGeom prst="rect">
                        <a:avLst/>
                      </a:prstGeom>
                      <a:noFill/>
                      <a:ln>
                        <a:noFill/>
                      </a:ln>
                    </wps:spPr>
                    <wps:txbx>
                      <w:txbxContent>
                        <w:p w14:paraId="2BCB18C0" w14:textId="77777777" w:rsidR="004E1EB7" w:rsidRDefault="00000000">
                          <w:pPr>
                            <w:spacing w:before="13"/>
                            <w:ind w:left="20" w:firstLine="20"/>
                            <w:textDirection w:val="btLr"/>
                          </w:pPr>
                          <w:proofErr w:type="gramStart"/>
                          <w:r>
                            <w:rPr>
                              <w:color w:val="2B498C"/>
                              <w:sz w:val="16"/>
                            </w:rPr>
                            <w:t xml:space="preserve">Page  </w:t>
                          </w:r>
                          <w:proofErr w:type="spellStart"/>
                          <w:r>
                            <w:rPr>
                              <w:color w:val="2B498C"/>
                              <w:sz w:val="16"/>
                            </w:rPr>
                            <w:t>PAGE</w:t>
                          </w:r>
                          <w:proofErr w:type="spellEnd"/>
                          <w:proofErr w:type="gramEnd"/>
                          <w:r>
                            <w:rPr>
                              <w:color w:val="2B498C"/>
                              <w:sz w:val="16"/>
                            </w:rPr>
                            <w:t xml:space="preserve"> 10 </w:t>
                          </w:r>
                          <w:proofErr w:type="gramStart"/>
                          <w:r>
                            <w:rPr>
                              <w:color w:val="2B498C"/>
                              <w:sz w:val="16"/>
                            </w:rPr>
                            <w:t>of  NUMPAGES</w:t>
                          </w:r>
                          <w:proofErr w:type="gramEnd"/>
                          <w:r>
                            <w:rPr>
                              <w:color w:val="2B498C"/>
                              <w:sz w:val="16"/>
                            </w:rPr>
                            <w:t xml:space="preserve"> 24</w:t>
                          </w:r>
                        </w:p>
                      </w:txbxContent>
                    </wps:txbx>
                    <wps:bodyPr spcFirstLastPara="1" wrap="square" lIns="0" tIns="0" rIns="0" bIns="0" anchor="t" anchorCtr="0">
                      <a:noAutofit/>
                    </wps:bodyPr>
                  </wps:wsp>
                </a:graphicData>
              </a:graphic>
            </wp:anchor>
          </w:drawing>
        </mc:Choice>
        <mc:Fallback>
          <w:pict>
            <v:rect w14:anchorId="6C555C76" id="Rectangle 16" o:spid="_x0000_s1034" style="position:absolute;margin-left:416.55pt;margin-top:796.4pt;width:52.6pt;height:11.7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" filled="f" stroked="f">
              <v:textbox inset="0,0,0,0">
                <w:txbxContent>
                  <w:p w14:paraId="2BCB18C0" w14:textId="77777777" w:rsidR="004E1EB7" w:rsidRDefault="00000000">
                    <w:pPr>
                      <w:spacing w:before="13"/>
                      <w:ind w:left="20" w:firstLine="20"/>
                      <w:textDirection w:val="btLr"/>
                    </w:pPr>
                    <w:proofErr w:type="gramStart"/>
                    <w:r>
                      <w:rPr>
                        <w:color w:val="2B498C"/>
                        <w:sz w:val="16"/>
                      </w:rPr>
                      <w:t xml:space="preserve">Page  </w:t>
                    </w:r>
                    <w:proofErr w:type="spellStart"/>
                    <w:r>
                      <w:rPr>
                        <w:color w:val="2B498C"/>
                        <w:sz w:val="16"/>
                      </w:rPr>
                      <w:t>PAGE</w:t>
                    </w:r>
                    <w:proofErr w:type="spellEnd"/>
                    <w:proofErr w:type="gramEnd"/>
                    <w:r>
                      <w:rPr>
                        <w:color w:val="2B498C"/>
                        <w:sz w:val="16"/>
                      </w:rPr>
                      <w:t xml:space="preserve"> 10 </w:t>
                    </w:r>
                    <w:proofErr w:type="gramStart"/>
                    <w:r>
                      <w:rPr>
                        <w:color w:val="2B498C"/>
                        <w:sz w:val="16"/>
                      </w:rPr>
                      <w:t>of  NUMPAGES</w:t>
                    </w:r>
                    <w:proofErr w:type="gramEnd"/>
                    <w:r>
                      <w:rPr>
                        <w:color w:val="2B498C"/>
                        <w:sz w:val="16"/>
                      </w:rPr>
                      <w:t xml:space="preserve"> 24</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43317" w14:textId="77777777" w:rsidR="0081739B" w:rsidRDefault="0081739B">
      <w:r>
        <w:separator/>
      </w:r>
    </w:p>
  </w:footnote>
  <w:footnote w:type="continuationSeparator" w:id="0">
    <w:p w14:paraId="1E1B7338" w14:textId="77777777" w:rsidR="0081739B" w:rsidRDefault="008173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82B20"/>
    <w:multiLevelType w:val="multilevel"/>
    <w:tmpl w:val="A9F0F3D2"/>
    <w:lvl w:ilvl="0">
      <w:start w:val="1"/>
      <w:numFmt w:val="decimal"/>
      <w:lvlText w:val="[%1]"/>
      <w:lvlJc w:val="left"/>
      <w:pPr>
        <w:ind w:left="734" w:hanging="329"/>
      </w:pPr>
      <w:rPr>
        <w:rFonts w:ascii="Arial" w:eastAsia="Arial" w:hAnsi="Arial" w:cs="Arial"/>
        <w:b/>
        <w:bCs/>
        <w:i w:val="0"/>
        <w:iCs w:val="0"/>
        <w:color w:val="1C1C2D"/>
        <w:sz w:val="22"/>
        <w:szCs w:val="22"/>
      </w:rPr>
    </w:lvl>
    <w:lvl w:ilvl="1">
      <w:numFmt w:val="bullet"/>
      <w:lvlText w:val="•"/>
      <w:lvlJc w:val="left"/>
      <w:pPr>
        <w:ind w:left="1629" w:hanging="330"/>
      </w:pPr>
    </w:lvl>
    <w:lvl w:ilvl="2">
      <w:numFmt w:val="bullet"/>
      <w:lvlText w:val="•"/>
      <w:lvlJc w:val="left"/>
      <w:pPr>
        <w:ind w:left="2519" w:hanging="330"/>
      </w:pPr>
    </w:lvl>
    <w:lvl w:ilvl="3">
      <w:numFmt w:val="bullet"/>
      <w:lvlText w:val="•"/>
      <w:lvlJc w:val="left"/>
      <w:pPr>
        <w:ind w:left="3409" w:hanging="330"/>
      </w:pPr>
    </w:lvl>
    <w:lvl w:ilvl="4">
      <w:numFmt w:val="bullet"/>
      <w:lvlText w:val="•"/>
      <w:lvlJc w:val="left"/>
      <w:pPr>
        <w:ind w:left="4299" w:hanging="330"/>
      </w:pPr>
    </w:lvl>
    <w:lvl w:ilvl="5">
      <w:numFmt w:val="bullet"/>
      <w:lvlText w:val="•"/>
      <w:lvlJc w:val="left"/>
      <w:pPr>
        <w:ind w:left="5189" w:hanging="330"/>
      </w:pPr>
    </w:lvl>
    <w:lvl w:ilvl="6">
      <w:numFmt w:val="bullet"/>
      <w:lvlText w:val="•"/>
      <w:lvlJc w:val="left"/>
      <w:pPr>
        <w:ind w:left="6079" w:hanging="330"/>
      </w:pPr>
    </w:lvl>
    <w:lvl w:ilvl="7">
      <w:numFmt w:val="bullet"/>
      <w:lvlText w:val="•"/>
      <w:lvlJc w:val="left"/>
      <w:pPr>
        <w:ind w:left="6969" w:hanging="330"/>
      </w:pPr>
    </w:lvl>
    <w:lvl w:ilvl="8">
      <w:numFmt w:val="bullet"/>
      <w:lvlText w:val="•"/>
      <w:lvlJc w:val="left"/>
      <w:pPr>
        <w:ind w:left="7859" w:hanging="330"/>
      </w:pPr>
    </w:lvl>
  </w:abstractNum>
  <w:abstractNum w:abstractNumId="1" w15:restartNumberingAfterBreak="0">
    <w:nsid w:val="57397A9B"/>
    <w:multiLevelType w:val="multilevel"/>
    <w:tmpl w:val="C064424C"/>
    <w:lvl w:ilvl="0">
      <w:start w:val="1"/>
      <w:numFmt w:val="decimal"/>
      <w:lvlText w:val="%1"/>
      <w:lvlJc w:val="left"/>
      <w:pPr>
        <w:ind w:left="2900" w:hanging="334"/>
      </w:pPr>
    </w:lvl>
    <w:lvl w:ilvl="1">
      <w:start w:val="1"/>
      <w:numFmt w:val="decimal"/>
      <w:lvlText w:val="%1.%2"/>
      <w:lvlJc w:val="left"/>
      <w:pPr>
        <w:ind w:left="2900" w:hanging="334"/>
      </w:pPr>
      <w:rPr>
        <w:rFonts w:ascii="Arial" w:eastAsia="Arial" w:hAnsi="Arial" w:cs="Arial"/>
        <w:b w:val="0"/>
        <w:bCs w:val="0"/>
        <w:i w:val="0"/>
        <w:iCs w:val="0"/>
        <w:color w:val="2B498C"/>
        <w:sz w:val="20"/>
        <w:szCs w:val="20"/>
      </w:rPr>
    </w:lvl>
    <w:lvl w:ilvl="2">
      <w:numFmt w:val="bullet"/>
      <w:lvlText w:val="•"/>
      <w:lvlJc w:val="left"/>
      <w:pPr>
        <w:ind w:left="4247" w:hanging="334"/>
      </w:pPr>
    </w:lvl>
    <w:lvl w:ilvl="3">
      <w:numFmt w:val="bullet"/>
      <w:lvlText w:val="•"/>
      <w:lvlJc w:val="left"/>
      <w:pPr>
        <w:ind w:left="4921" w:hanging="334"/>
      </w:pPr>
    </w:lvl>
    <w:lvl w:ilvl="4">
      <w:numFmt w:val="bullet"/>
      <w:lvlText w:val="•"/>
      <w:lvlJc w:val="left"/>
      <w:pPr>
        <w:ind w:left="5595" w:hanging="334"/>
      </w:pPr>
    </w:lvl>
    <w:lvl w:ilvl="5">
      <w:numFmt w:val="bullet"/>
      <w:lvlText w:val="•"/>
      <w:lvlJc w:val="left"/>
      <w:pPr>
        <w:ind w:left="6269" w:hanging="334"/>
      </w:pPr>
    </w:lvl>
    <w:lvl w:ilvl="6">
      <w:numFmt w:val="bullet"/>
      <w:lvlText w:val="•"/>
      <w:lvlJc w:val="left"/>
      <w:pPr>
        <w:ind w:left="6943" w:hanging="334"/>
      </w:pPr>
    </w:lvl>
    <w:lvl w:ilvl="7">
      <w:numFmt w:val="bullet"/>
      <w:lvlText w:val="•"/>
      <w:lvlJc w:val="left"/>
      <w:pPr>
        <w:ind w:left="7617" w:hanging="333"/>
      </w:pPr>
    </w:lvl>
    <w:lvl w:ilvl="8">
      <w:numFmt w:val="bullet"/>
      <w:lvlText w:val="•"/>
      <w:lvlJc w:val="left"/>
      <w:pPr>
        <w:ind w:left="8291" w:hanging="334"/>
      </w:pPr>
    </w:lvl>
  </w:abstractNum>
  <w:abstractNum w:abstractNumId="2" w15:restartNumberingAfterBreak="0">
    <w:nsid w:val="57F35987"/>
    <w:multiLevelType w:val="multilevel"/>
    <w:tmpl w:val="CF2C58AE"/>
    <w:lvl w:ilvl="0">
      <w:start w:val="2"/>
      <w:numFmt w:val="decimal"/>
      <w:lvlText w:val="%1"/>
      <w:lvlJc w:val="left"/>
      <w:pPr>
        <w:ind w:left="838" w:hanging="434"/>
      </w:pPr>
    </w:lvl>
    <w:lvl w:ilvl="1">
      <w:start w:val="1"/>
      <w:numFmt w:val="decimal"/>
      <w:lvlText w:val="%1.%2"/>
      <w:lvlJc w:val="left"/>
      <w:pPr>
        <w:ind w:left="838" w:hanging="434"/>
      </w:pPr>
      <w:rPr>
        <w:rFonts w:ascii="Arial" w:eastAsia="Arial" w:hAnsi="Arial" w:cs="Arial"/>
        <w:b/>
        <w:bCs/>
        <w:i w:val="0"/>
        <w:iCs w:val="0"/>
        <w:color w:val="2B498C"/>
        <w:sz w:val="26"/>
        <w:szCs w:val="26"/>
      </w:rPr>
    </w:lvl>
    <w:lvl w:ilvl="2">
      <w:numFmt w:val="bullet"/>
      <w:lvlText w:val="•"/>
      <w:lvlJc w:val="left"/>
      <w:pPr>
        <w:ind w:left="2599" w:hanging="434"/>
      </w:pPr>
    </w:lvl>
    <w:lvl w:ilvl="3">
      <w:numFmt w:val="bullet"/>
      <w:lvlText w:val="•"/>
      <w:lvlJc w:val="left"/>
      <w:pPr>
        <w:ind w:left="3479" w:hanging="434"/>
      </w:pPr>
    </w:lvl>
    <w:lvl w:ilvl="4">
      <w:numFmt w:val="bullet"/>
      <w:lvlText w:val="•"/>
      <w:lvlJc w:val="left"/>
      <w:pPr>
        <w:ind w:left="4359" w:hanging="434"/>
      </w:pPr>
    </w:lvl>
    <w:lvl w:ilvl="5">
      <w:numFmt w:val="bullet"/>
      <w:lvlText w:val="•"/>
      <w:lvlJc w:val="left"/>
      <w:pPr>
        <w:ind w:left="5239" w:hanging="434"/>
      </w:pPr>
    </w:lvl>
    <w:lvl w:ilvl="6">
      <w:numFmt w:val="bullet"/>
      <w:lvlText w:val="•"/>
      <w:lvlJc w:val="left"/>
      <w:pPr>
        <w:ind w:left="6119" w:hanging="434"/>
      </w:pPr>
    </w:lvl>
    <w:lvl w:ilvl="7">
      <w:numFmt w:val="bullet"/>
      <w:lvlText w:val="•"/>
      <w:lvlJc w:val="left"/>
      <w:pPr>
        <w:ind w:left="6999" w:hanging="434"/>
      </w:pPr>
    </w:lvl>
    <w:lvl w:ilvl="8">
      <w:numFmt w:val="bullet"/>
      <w:lvlText w:val="•"/>
      <w:lvlJc w:val="left"/>
      <w:pPr>
        <w:ind w:left="7879" w:hanging="434"/>
      </w:pPr>
    </w:lvl>
  </w:abstractNum>
  <w:abstractNum w:abstractNumId="3" w15:restartNumberingAfterBreak="0">
    <w:nsid w:val="58FF699C"/>
    <w:multiLevelType w:val="multilevel"/>
    <w:tmpl w:val="96EC66B4"/>
    <w:lvl w:ilvl="0">
      <w:start w:val="4"/>
      <w:numFmt w:val="decimal"/>
      <w:lvlText w:val="%1"/>
      <w:lvlJc w:val="left"/>
      <w:pPr>
        <w:ind w:left="2900" w:hanging="334"/>
      </w:pPr>
    </w:lvl>
    <w:lvl w:ilvl="1">
      <w:start w:val="1"/>
      <w:numFmt w:val="decimal"/>
      <w:lvlText w:val="%1.%2"/>
      <w:lvlJc w:val="left"/>
      <w:pPr>
        <w:ind w:left="2900" w:hanging="334"/>
      </w:pPr>
      <w:rPr>
        <w:rFonts w:ascii="Arial" w:eastAsia="Arial" w:hAnsi="Arial" w:cs="Arial"/>
        <w:b w:val="0"/>
        <w:bCs w:val="0"/>
        <w:i w:val="0"/>
        <w:iCs w:val="0"/>
        <w:color w:val="2B498C"/>
        <w:sz w:val="20"/>
        <w:szCs w:val="20"/>
      </w:rPr>
    </w:lvl>
    <w:lvl w:ilvl="2">
      <w:numFmt w:val="bullet"/>
      <w:lvlText w:val="•"/>
      <w:lvlJc w:val="left"/>
      <w:pPr>
        <w:ind w:left="4247" w:hanging="334"/>
      </w:pPr>
    </w:lvl>
    <w:lvl w:ilvl="3">
      <w:numFmt w:val="bullet"/>
      <w:lvlText w:val="•"/>
      <w:lvlJc w:val="left"/>
      <w:pPr>
        <w:ind w:left="4921" w:hanging="334"/>
      </w:pPr>
    </w:lvl>
    <w:lvl w:ilvl="4">
      <w:numFmt w:val="bullet"/>
      <w:lvlText w:val="•"/>
      <w:lvlJc w:val="left"/>
      <w:pPr>
        <w:ind w:left="5595" w:hanging="334"/>
      </w:pPr>
    </w:lvl>
    <w:lvl w:ilvl="5">
      <w:numFmt w:val="bullet"/>
      <w:lvlText w:val="•"/>
      <w:lvlJc w:val="left"/>
      <w:pPr>
        <w:ind w:left="6269" w:hanging="334"/>
      </w:pPr>
    </w:lvl>
    <w:lvl w:ilvl="6">
      <w:numFmt w:val="bullet"/>
      <w:lvlText w:val="•"/>
      <w:lvlJc w:val="left"/>
      <w:pPr>
        <w:ind w:left="6943" w:hanging="334"/>
      </w:pPr>
    </w:lvl>
    <w:lvl w:ilvl="7">
      <w:numFmt w:val="bullet"/>
      <w:lvlText w:val="•"/>
      <w:lvlJc w:val="left"/>
      <w:pPr>
        <w:ind w:left="7617" w:hanging="333"/>
      </w:pPr>
    </w:lvl>
    <w:lvl w:ilvl="8">
      <w:numFmt w:val="bullet"/>
      <w:lvlText w:val="•"/>
      <w:lvlJc w:val="left"/>
      <w:pPr>
        <w:ind w:left="8291" w:hanging="334"/>
      </w:pPr>
    </w:lvl>
  </w:abstractNum>
  <w:abstractNum w:abstractNumId="4" w15:restartNumberingAfterBreak="0">
    <w:nsid w:val="6201052F"/>
    <w:multiLevelType w:val="multilevel"/>
    <w:tmpl w:val="1DA810D8"/>
    <w:lvl w:ilvl="0">
      <w:start w:val="1"/>
      <w:numFmt w:val="decimal"/>
      <w:lvlText w:val="%1"/>
      <w:lvlJc w:val="left"/>
      <w:pPr>
        <w:ind w:left="838" w:hanging="434"/>
      </w:pPr>
    </w:lvl>
    <w:lvl w:ilvl="1">
      <w:start w:val="1"/>
      <w:numFmt w:val="decimal"/>
      <w:lvlText w:val="%1.%2"/>
      <w:lvlJc w:val="left"/>
      <w:pPr>
        <w:ind w:left="838" w:hanging="434"/>
      </w:pPr>
      <w:rPr>
        <w:rFonts w:ascii="Arial" w:eastAsia="Arial" w:hAnsi="Arial" w:cs="Arial"/>
        <w:b/>
        <w:bCs/>
        <w:i w:val="0"/>
        <w:iCs w:val="0"/>
        <w:color w:val="2B498C"/>
        <w:sz w:val="26"/>
        <w:szCs w:val="26"/>
      </w:rPr>
    </w:lvl>
    <w:lvl w:ilvl="2">
      <w:numFmt w:val="bullet"/>
      <w:lvlText w:val="•"/>
      <w:lvlJc w:val="left"/>
      <w:pPr>
        <w:ind w:left="804" w:hanging="145"/>
      </w:pPr>
      <w:rPr>
        <w:rFonts w:ascii="Arial" w:eastAsia="Arial" w:hAnsi="Arial" w:cs="Arial"/>
        <w:b w:val="0"/>
        <w:bCs w:val="0"/>
        <w:i w:val="0"/>
        <w:iCs w:val="0"/>
        <w:color w:val="1C1C2D"/>
        <w:sz w:val="22"/>
        <w:szCs w:val="22"/>
      </w:rPr>
    </w:lvl>
    <w:lvl w:ilvl="3">
      <w:numFmt w:val="bullet"/>
      <w:lvlText w:val="•"/>
      <w:lvlJc w:val="left"/>
      <w:pPr>
        <w:ind w:left="2795" w:hanging="146"/>
      </w:pPr>
    </w:lvl>
    <w:lvl w:ilvl="4">
      <w:numFmt w:val="bullet"/>
      <w:lvlText w:val="•"/>
      <w:lvlJc w:val="left"/>
      <w:pPr>
        <w:ind w:left="3773" w:hanging="146"/>
      </w:pPr>
    </w:lvl>
    <w:lvl w:ilvl="5">
      <w:numFmt w:val="bullet"/>
      <w:lvlText w:val="•"/>
      <w:lvlJc w:val="left"/>
      <w:pPr>
        <w:ind w:left="4750" w:hanging="146"/>
      </w:pPr>
    </w:lvl>
    <w:lvl w:ilvl="6">
      <w:numFmt w:val="bullet"/>
      <w:lvlText w:val="•"/>
      <w:lvlJc w:val="left"/>
      <w:pPr>
        <w:ind w:left="5728" w:hanging="146"/>
      </w:pPr>
    </w:lvl>
    <w:lvl w:ilvl="7">
      <w:numFmt w:val="bullet"/>
      <w:lvlText w:val="•"/>
      <w:lvlJc w:val="left"/>
      <w:pPr>
        <w:ind w:left="6706" w:hanging="146"/>
      </w:pPr>
    </w:lvl>
    <w:lvl w:ilvl="8">
      <w:numFmt w:val="bullet"/>
      <w:lvlText w:val="•"/>
      <w:lvlJc w:val="left"/>
      <w:pPr>
        <w:ind w:left="7684" w:hanging="146"/>
      </w:pPr>
    </w:lvl>
  </w:abstractNum>
  <w:abstractNum w:abstractNumId="5" w15:restartNumberingAfterBreak="0">
    <w:nsid w:val="65B06E02"/>
    <w:multiLevelType w:val="multilevel"/>
    <w:tmpl w:val="3168DF10"/>
    <w:lvl w:ilvl="0">
      <w:start w:val="4"/>
      <w:numFmt w:val="decimal"/>
      <w:lvlText w:val="%1"/>
      <w:lvlJc w:val="left"/>
      <w:pPr>
        <w:ind w:left="838" w:hanging="434"/>
      </w:pPr>
    </w:lvl>
    <w:lvl w:ilvl="1">
      <w:start w:val="1"/>
      <w:numFmt w:val="decimal"/>
      <w:lvlText w:val="%1.%2"/>
      <w:lvlJc w:val="left"/>
      <w:pPr>
        <w:ind w:left="838" w:hanging="434"/>
      </w:pPr>
      <w:rPr>
        <w:rFonts w:ascii="Arial" w:eastAsia="Arial" w:hAnsi="Arial" w:cs="Arial"/>
        <w:b/>
        <w:bCs/>
        <w:i w:val="0"/>
        <w:iCs w:val="0"/>
        <w:color w:val="2B498C"/>
        <w:sz w:val="26"/>
        <w:szCs w:val="26"/>
      </w:rPr>
    </w:lvl>
    <w:lvl w:ilvl="2">
      <w:numFmt w:val="bullet"/>
      <w:lvlText w:val="•"/>
      <w:lvlJc w:val="left"/>
      <w:pPr>
        <w:ind w:left="2599" w:hanging="434"/>
      </w:pPr>
    </w:lvl>
    <w:lvl w:ilvl="3">
      <w:numFmt w:val="bullet"/>
      <w:lvlText w:val="•"/>
      <w:lvlJc w:val="left"/>
      <w:pPr>
        <w:ind w:left="3479" w:hanging="434"/>
      </w:pPr>
    </w:lvl>
    <w:lvl w:ilvl="4">
      <w:numFmt w:val="bullet"/>
      <w:lvlText w:val="•"/>
      <w:lvlJc w:val="left"/>
      <w:pPr>
        <w:ind w:left="4359" w:hanging="434"/>
      </w:pPr>
    </w:lvl>
    <w:lvl w:ilvl="5">
      <w:numFmt w:val="bullet"/>
      <w:lvlText w:val="•"/>
      <w:lvlJc w:val="left"/>
      <w:pPr>
        <w:ind w:left="5239" w:hanging="434"/>
      </w:pPr>
    </w:lvl>
    <w:lvl w:ilvl="6">
      <w:numFmt w:val="bullet"/>
      <w:lvlText w:val="•"/>
      <w:lvlJc w:val="left"/>
      <w:pPr>
        <w:ind w:left="6119" w:hanging="434"/>
      </w:pPr>
    </w:lvl>
    <w:lvl w:ilvl="7">
      <w:numFmt w:val="bullet"/>
      <w:lvlText w:val="•"/>
      <w:lvlJc w:val="left"/>
      <w:pPr>
        <w:ind w:left="6999" w:hanging="434"/>
      </w:pPr>
    </w:lvl>
    <w:lvl w:ilvl="8">
      <w:numFmt w:val="bullet"/>
      <w:lvlText w:val="•"/>
      <w:lvlJc w:val="left"/>
      <w:pPr>
        <w:ind w:left="7879" w:hanging="434"/>
      </w:pPr>
    </w:lvl>
  </w:abstractNum>
  <w:abstractNum w:abstractNumId="6" w15:restartNumberingAfterBreak="0">
    <w:nsid w:val="721F4D55"/>
    <w:multiLevelType w:val="multilevel"/>
    <w:tmpl w:val="E314009A"/>
    <w:lvl w:ilvl="0">
      <w:start w:val="3"/>
      <w:numFmt w:val="decimal"/>
      <w:lvlText w:val="%1"/>
      <w:lvlJc w:val="left"/>
      <w:pPr>
        <w:ind w:left="2900" w:hanging="334"/>
      </w:pPr>
    </w:lvl>
    <w:lvl w:ilvl="1">
      <w:start w:val="1"/>
      <w:numFmt w:val="decimal"/>
      <w:lvlText w:val="%1.%2"/>
      <w:lvlJc w:val="left"/>
      <w:pPr>
        <w:ind w:left="2900" w:hanging="334"/>
      </w:pPr>
      <w:rPr>
        <w:rFonts w:ascii="Arial" w:eastAsia="Arial" w:hAnsi="Arial" w:cs="Arial"/>
        <w:b w:val="0"/>
        <w:bCs w:val="0"/>
        <w:i w:val="0"/>
        <w:iCs w:val="0"/>
        <w:color w:val="2B498C"/>
        <w:sz w:val="20"/>
        <w:szCs w:val="20"/>
      </w:rPr>
    </w:lvl>
    <w:lvl w:ilvl="2">
      <w:numFmt w:val="bullet"/>
      <w:lvlText w:val="•"/>
      <w:lvlJc w:val="left"/>
      <w:pPr>
        <w:ind w:left="4247" w:hanging="334"/>
      </w:pPr>
    </w:lvl>
    <w:lvl w:ilvl="3">
      <w:numFmt w:val="bullet"/>
      <w:lvlText w:val="•"/>
      <w:lvlJc w:val="left"/>
      <w:pPr>
        <w:ind w:left="4921" w:hanging="334"/>
      </w:pPr>
    </w:lvl>
    <w:lvl w:ilvl="4">
      <w:numFmt w:val="bullet"/>
      <w:lvlText w:val="•"/>
      <w:lvlJc w:val="left"/>
      <w:pPr>
        <w:ind w:left="5595" w:hanging="334"/>
      </w:pPr>
    </w:lvl>
    <w:lvl w:ilvl="5">
      <w:numFmt w:val="bullet"/>
      <w:lvlText w:val="•"/>
      <w:lvlJc w:val="left"/>
      <w:pPr>
        <w:ind w:left="6269" w:hanging="334"/>
      </w:pPr>
    </w:lvl>
    <w:lvl w:ilvl="6">
      <w:numFmt w:val="bullet"/>
      <w:lvlText w:val="•"/>
      <w:lvlJc w:val="left"/>
      <w:pPr>
        <w:ind w:left="6943" w:hanging="334"/>
      </w:pPr>
    </w:lvl>
    <w:lvl w:ilvl="7">
      <w:numFmt w:val="bullet"/>
      <w:lvlText w:val="•"/>
      <w:lvlJc w:val="left"/>
      <w:pPr>
        <w:ind w:left="7617" w:hanging="333"/>
      </w:pPr>
    </w:lvl>
    <w:lvl w:ilvl="8">
      <w:numFmt w:val="bullet"/>
      <w:lvlText w:val="•"/>
      <w:lvlJc w:val="left"/>
      <w:pPr>
        <w:ind w:left="8291" w:hanging="334"/>
      </w:pPr>
    </w:lvl>
  </w:abstractNum>
  <w:abstractNum w:abstractNumId="7" w15:restartNumberingAfterBreak="0">
    <w:nsid w:val="775A7C08"/>
    <w:multiLevelType w:val="multilevel"/>
    <w:tmpl w:val="16A035C0"/>
    <w:lvl w:ilvl="0">
      <w:start w:val="2"/>
      <w:numFmt w:val="decimal"/>
      <w:lvlText w:val="%1"/>
      <w:lvlJc w:val="left"/>
      <w:pPr>
        <w:ind w:left="2900" w:hanging="334"/>
      </w:pPr>
    </w:lvl>
    <w:lvl w:ilvl="1">
      <w:start w:val="1"/>
      <w:numFmt w:val="decimal"/>
      <w:lvlText w:val="%1.%2"/>
      <w:lvlJc w:val="left"/>
      <w:pPr>
        <w:ind w:left="2900" w:hanging="334"/>
      </w:pPr>
      <w:rPr>
        <w:rFonts w:ascii="Arial" w:eastAsia="Arial" w:hAnsi="Arial" w:cs="Arial"/>
        <w:b w:val="0"/>
        <w:bCs w:val="0"/>
        <w:i w:val="0"/>
        <w:iCs w:val="0"/>
        <w:color w:val="2B498C"/>
        <w:sz w:val="20"/>
        <w:szCs w:val="20"/>
      </w:rPr>
    </w:lvl>
    <w:lvl w:ilvl="2">
      <w:numFmt w:val="bullet"/>
      <w:lvlText w:val="•"/>
      <w:lvlJc w:val="left"/>
      <w:pPr>
        <w:ind w:left="4247" w:hanging="334"/>
      </w:pPr>
    </w:lvl>
    <w:lvl w:ilvl="3">
      <w:numFmt w:val="bullet"/>
      <w:lvlText w:val="•"/>
      <w:lvlJc w:val="left"/>
      <w:pPr>
        <w:ind w:left="4921" w:hanging="334"/>
      </w:pPr>
    </w:lvl>
    <w:lvl w:ilvl="4">
      <w:numFmt w:val="bullet"/>
      <w:lvlText w:val="•"/>
      <w:lvlJc w:val="left"/>
      <w:pPr>
        <w:ind w:left="5595" w:hanging="334"/>
      </w:pPr>
    </w:lvl>
    <w:lvl w:ilvl="5">
      <w:numFmt w:val="bullet"/>
      <w:lvlText w:val="•"/>
      <w:lvlJc w:val="left"/>
      <w:pPr>
        <w:ind w:left="6269" w:hanging="334"/>
      </w:pPr>
    </w:lvl>
    <w:lvl w:ilvl="6">
      <w:numFmt w:val="bullet"/>
      <w:lvlText w:val="•"/>
      <w:lvlJc w:val="left"/>
      <w:pPr>
        <w:ind w:left="6943" w:hanging="334"/>
      </w:pPr>
    </w:lvl>
    <w:lvl w:ilvl="7">
      <w:numFmt w:val="bullet"/>
      <w:lvlText w:val="•"/>
      <w:lvlJc w:val="left"/>
      <w:pPr>
        <w:ind w:left="7617" w:hanging="333"/>
      </w:pPr>
    </w:lvl>
    <w:lvl w:ilvl="8">
      <w:numFmt w:val="bullet"/>
      <w:lvlText w:val="•"/>
      <w:lvlJc w:val="left"/>
      <w:pPr>
        <w:ind w:left="8291" w:hanging="334"/>
      </w:pPr>
    </w:lvl>
  </w:abstractNum>
  <w:abstractNum w:abstractNumId="8" w15:restartNumberingAfterBreak="0">
    <w:nsid w:val="779158A3"/>
    <w:multiLevelType w:val="multilevel"/>
    <w:tmpl w:val="77F21168"/>
    <w:lvl w:ilvl="0">
      <w:start w:val="3"/>
      <w:numFmt w:val="decimal"/>
      <w:lvlText w:val="%1"/>
      <w:lvlJc w:val="left"/>
      <w:pPr>
        <w:ind w:left="838" w:hanging="434"/>
      </w:pPr>
    </w:lvl>
    <w:lvl w:ilvl="1">
      <w:start w:val="1"/>
      <w:numFmt w:val="decimal"/>
      <w:lvlText w:val="%1.%2"/>
      <w:lvlJc w:val="left"/>
      <w:pPr>
        <w:ind w:left="838" w:hanging="434"/>
      </w:pPr>
      <w:rPr>
        <w:rFonts w:ascii="Arial" w:eastAsia="Arial" w:hAnsi="Arial" w:cs="Arial"/>
        <w:b/>
        <w:bCs/>
        <w:i w:val="0"/>
        <w:iCs w:val="0"/>
        <w:color w:val="2B498C"/>
        <w:sz w:val="26"/>
        <w:szCs w:val="26"/>
      </w:rPr>
    </w:lvl>
    <w:lvl w:ilvl="2">
      <w:numFmt w:val="bullet"/>
      <w:lvlText w:val="•"/>
      <w:lvlJc w:val="left"/>
      <w:pPr>
        <w:ind w:left="2599" w:hanging="434"/>
      </w:pPr>
    </w:lvl>
    <w:lvl w:ilvl="3">
      <w:numFmt w:val="bullet"/>
      <w:lvlText w:val="•"/>
      <w:lvlJc w:val="left"/>
      <w:pPr>
        <w:ind w:left="3479" w:hanging="434"/>
      </w:pPr>
    </w:lvl>
    <w:lvl w:ilvl="4">
      <w:numFmt w:val="bullet"/>
      <w:lvlText w:val="•"/>
      <w:lvlJc w:val="left"/>
      <w:pPr>
        <w:ind w:left="4359" w:hanging="434"/>
      </w:pPr>
    </w:lvl>
    <w:lvl w:ilvl="5">
      <w:numFmt w:val="bullet"/>
      <w:lvlText w:val="•"/>
      <w:lvlJc w:val="left"/>
      <w:pPr>
        <w:ind w:left="5239" w:hanging="434"/>
      </w:pPr>
    </w:lvl>
    <w:lvl w:ilvl="6">
      <w:numFmt w:val="bullet"/>
      <w:lvlText w:val="•"/>
      <w:lvlJc w:val="left"/>
      <w:pPr>
        <w:ind w:left="6119" w:hanging="434"/>
      </w:pPr>
    </w:lvl>
    <w:lvl w:ilvl="7">
      <w:numFmt w:val="bullet"/>
      <w:lvlText w:val="•"/>
      <w:lvlJc w:val="left"/>
      <w:pPr>
        <w:ind w:left="6999" w:hanging="434"/>
      </w:pPr>
    </w:lvl>
    <w:lvl w:ilvl="8">
      <w:numFmt w:val="bullet"/>
      <w:lvlText w:val="•"/>
      <w:lvlJc w:val="left"/>
      <w:pPr>
        <w:ind w:left="7879" w:hanging="434"/>
      </w:pPr>
    </w:lvl>
  </w:abstractNum>
  <w:num w:numId="1" w16cid:durableId="416949117">
    <w:abstractNumId w:val="0"/>
  </w:num>
  <w:num w:numId="2" w16cid:durableId="806430940">
    <w:abstractNumId w:val="5"/>
  </w:num>
  <w:num w:numId="3" w16cid:durableId="2000503008">
    <w:abstractNumId w:val="8"/>
  </w:num>
  <w:num w:numId="4" w16cid:durableId="210918488">
    <w:abstractNumId w:val="2"/>
  </w:num>
  <w:num w:numId="5" w16cid:durableId="874120561">
    <w:abstractNumId w:val="4"/>
  </w:num>
  <w:num w:numId="6" w16cid:durableId="1489907228">
    <w:abstractNumId w:val="3"/>
  </w:num>
  <w:num w:numId="7" w16cid:durableId="639504042">
    <w:abstractNumId w:val="6"/>
  </w:num>
  <w:num w:numId="8" w16cid:durableId="456603144">
    <w:abstractNumId w:val="7"/>
  </w:num>
  <w:num w:numId="9" w16cid:durableId="745419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EB7"/>
    <w:rsid w:val="004E1EB7"/>
    <w:rsid w:val="0081739B"/>
    <w:rsid w:val="00C0018C"/>
    <w:rsid w:val="00D029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5BB61"/>
  <w15:docId w15:val="{B4A510A1-B13F-4C77-801B-D5E09735F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
      <w:ind w:left="404"/>
      <w:outlineLvl w:val="0"/>
    </w:pPr>
    <w:rPr>
      <w:b/>
      <w:bCs/>
      <w:sz w:val="36"/>
      <w:szCs w:val="36"/>
    </w:rPr>
  </w:style>
  <w:style w:type="paragraph" w:styleId="Heading2">
    <w:name w:val="heading 2"/>
    <w:basedOn w:val="Normal"/>
    <w:next w:val="Normal"/>
    <w:uiPriority w:val="9"/>
    <w:unhideWhenUsed/>
    <w:qFormat/>
    <w:pPr>
      <w:ind w:left="837" w:hanging="433"/>
      <w:outlineLvl w:val="1"/>
    </w:pPr>
    <w:rPr>
      <w:b/>
      <w:bCs/>
      <w:sz w:val="26"/>
      <w:szCs w:val="26"/>
    </w:rPr>
  </w:style>
  <w:style w:type="paragraph" w:styleId="Heading3">
    <w:name w:val="heading 3"/>
    <w:basedOn w:val="Normal"/>
    <w:next w:val="Normal"/>
    <w:uiPriority w:val="9"/>
    <w:unhideWhenUsed/>
    <w:qFormat/>
    <w:pPr>
      <w:spacing w:before="219"/>
      <w:ind w:left="734" w:hanging="33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z w:val="60"/>
      <w:szCs w:val="6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24</Pages>
  <Words>6811</Words>
  <Characters>38825</Characters>
  <Application>Microsoft Office Word</Application>
  <DocSecurity>0</DocSecurity>
  <Lines>323</Lines>
  <Paragraphs>91</Paragraphs>
  <ScaleCrop>false</ScaleCrop>
  <Company/>
  <LinksUpToDate>false</LinksUpToDate>
  <CharactersWithSpaces>45545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soumodeep biswas</cp:lastModifiedBy>
  <cp:revision>2</cp:revision>
  <dcterms:created xsi:type="dcterms:W3CDTF">2026-03-30T13:43:00Z</dcterms:created>
  <dcterms:modified xsi:type="dcterms:W3CDTF">2026-03-30T13:43:00Z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2026-03-19T00:00:00Z</vt:lpwstr>
  </property>
  <property fmtid="{D5CDD505-2E9C-101B-9397-08002B2CF9AE}" pid="3" name="Creator">
    <vt:lpwstr>(unspecified)</vt:lpwstr>
  </property>
  <property fmtid="{D5CDD505-2E9C-101B-9397-08002B2CF9AE}" pid="4" name="LastSaved">
    <vt:lpwstr>2026-03-19T00:00:00Z</vt:lpwstr>
  </property>
  <property fmtid="{D5CDD505-2E9C-101B-9397-08002B2CF9AE}" pid="5" name="Producer">
    <vt:lpwstr>ReportLab PDF Library - (opensource)</vt:lpwstr>
  </property>
</Properties>
</file>