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Аристид</w:t>
      </w:r>
      <w:r>
        <w:t xml:space="preserve"> </w:t>
      </w:r>
      <w:r>
        <w:t xml:space="preserve">Жан</w:t>
      </w:r>
      <w:r>
        <w:t xml:space="preserve"> </w:t>
      </w:r>
      <w:r>
        <w:t xml:space="preserve">Лоэнс</w:t>
      </w:r>
      <w:r>
        <w:t xml:space="preserve"> </w:t>
      </w:r>
      <w:r>
        <w:t xml:space="preserve">А.</w:t>
      </w:r>
      <w:r>
        <w:t xml:space="preserve"> </w:t>
      </w:r>
      <w:r>
        <w:t xml:space="preserve">Н.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оборотных средств фирмы 1 и фирмы 2 без учета постоянных издержек.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22</w:t>
      </w:r>
      <w:r>
        <w:t xml:space="preserve"> </w:t>
      </w: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 M1 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0.0013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  <w:r>
        <w:t xml:space="preserve"> </w:t>
      </w:r>
      <w:r>
        <w:t xml:space="preserve">M1 = 7.1, M2=8.1,</w:t>
      </w:r>
      <w:r>
        <w:t xml:space="preserve"> </w:t>
      </w:r>
      <w:r>
        <w:t xml:space="preserve">p_cr = 44, N=77, q=1</w:t>
      </w:r>
      <w:r>
        <w:t xml:space="preserve"> </w:t>
      </w:r>
      <w:r>
        <w:t xml:space="preserve">tau1 = 26, tau2 = 21,</w:t>
      </w:r>
      <w:r>
        <w:t xml:space="preserve"> </w:t>
      </w:r>
      <w:r>
        <w:t xml:space="preserve">p1 = 11, p2= 8.7</w:t>
      </w:r>
    </w:p>
    <w:p>
      <w:pPr>
        <w:pStyle w:val="BodyText"/>
      </w:pPr>
      <w:r>
        <w:t xml:space="preserve">Замечание: Значения p_cr p1,2 N указаны в тысячах единиц, а значения M1,2 указаны в млн. единиц.</w:t>
      </w:r>
      <w:r>
        <w:t xml:space="preserve"> </w:t>
      </w:r>
      <w:r>
        <w:t xml:space="preserve">Обозначения: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p̃– себестоимость продукта, то есть переменные издержки на производство единицы продукции.</w:t>
      </w:r>
      <w:r>
        <w:t xml:space="preserve"> </w:t>
      </w:r>
      <w:r>
        <w:t xml:space="preserve">q – максимальная потребность одного человека в продукте в единицу времени</w:t>
      </w:r>
      <w:r>
        <w:t xml:space="preserve"> </w:t>
      </w:r>
      <w:r>
        <w:t xml:space="preserve">theta = t/c1 - безразмерное время</w:t>
      </w:r>
      <w:r>
        <w:t xml:space="preserve"> </w:t>
      </w:r>
      <w:r>
        <w:t xml:space="preserve">1. Постройте графики изменения оборотных средств фирмы 1 и фирмы 2 без учета постоянных издержек и с веденной нормировкой для случая 1.</w:t>
      </w:r>
      <w:r>
        <w:t xml:space="preserve"> </w:t>
      </w:r>
      <w:r>
        <w:t xml:space="preserve">2. Постройте графики изменения оборотных средств фирмы 1 и фирмы 2 без учета постоянных издержек и с веденной нормировкой для случая 2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  <w:r>
        <w:t xml:space="preserve"> </w:t>
      </w:r>
      <w:r>
        <w:t xml:space="preserve">Обозначим: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S 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  <w:r>
        <w:t xml:space="preserve"> </w:t>
      </w:r>
      <w:r>
        <w:t xml:space="preserve">M – оборотные средства предприятия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 – себестоимость продукта, то есть переменные издержки на производство единицы продукции.</w:t>
      </w:r>
      <w:r>
        <w:t xml:space="preserve"> </w:t>
      </w:r>
      <w:r>
        <w:t xml:space="preserve">δ – доля оборотных средств, идущая на покрытие переменных издержек.</w:t>
      </w:r>
      <w:r>
        <w:t xml:space="preserve"> </w:t>
      </w:r>
      <w:r>
        <w:t xml:space="preserve">κ – постоянные издержки, которые не зависят от количества выпускаемой продукции.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Через p_cr, tau1, p1, tau2, p2, V, 1 обозначим критическую стоимость продукта, длительность производственного цикла фирмы 1, себестоимость продукта у фирмы 1, длительность производственного цикла фирмы 2, себестоимость продукта у фирмы 2, число потребителей производимого продукта, максимальная потребность одного человека в продукте в единицу времен соотвественно (рис. 1).</w:t>
      </w:r>
    </w:p>
    <w:p>
      <w:pPr>
        <w:pStyle w:val="CaptionedFigure"/>
      </w:pPr>
      <w:r>
        <w:drawing>
          <wp:inline>
            <wp:extent cx="3733800" cy="2205106"/>
            <wp:effectExtent b="0" l="0" r="0" t="0"/>
            <wp:docPr descr="Начальные условие и Параметры системы дифф. урав." title="" id="24" name="Picture"/>
            <a:graphic>
              <a:graphicData uri="http://schemas.openxmlformats.org/drawingml/2006/picture">
                <pic:pic>
                  <pic:nvPicPr>
                    <pic:cNvPr descr="image/img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Начальные условие и Параметры системы дифф. урав.</w:t>
      </w:r>
    </w:p>
    <w:p>
      <w:pPr>
        <w:pStyle w:val="BodyText"/>
      </w:pPr>
      <w:r>
        <w:t xml:space="preserve">Система дифф урав. первого случай. (рис. 2).</w:t>
      </w:r>
    </w:p>
    <w:p>
      <w:pPr>
        <w:pStyle w:val="CaptionedFigure"/>
      </w:pPr>
      <w:r>
        <w:drawing>
          <wp:inline>
            <wp:extent cx="3733800" cy="885404"/>
            <wp:effectExtent b="0" l="0" r="0" t="0"/>
            <wp:docPr descr="Система дифф урав. первого случай" title="" id="27" name="Picture"/>
            <a:graphic>
              <a:graphicData uri="http://schemas.openxmlformats.org/drawingml/2006/picture">
                <pic:pic>
                  <pic:nvPicPr>
                    <pic:cNvPr descr="image/img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Система дифф урав. первого случай</w:t>
      </w:r>
    </w:p>
    <w:p>
      <w:pPr>
        <w:pStyle w:val="BodyText"/>
      </w:pPr>
      <w:r>
        <w:t xml:space="preserve">Вычисляем дифф уравнении с помощью библиотеки DifferentialEquations (рис. 3).</w:t>
      </w:r>
    </w:p>
    <w:p>
      <w:pPr>
        <w:pStyle w:val="CaptionedFigure"/>
      </w:pPr>
      <w:r>
        <w:drawing>
          <wp:inline>
            <wp:extent cx="3733800" cy="1400967"/>
            <wp:effectExtent b="0" l="0" r="0" t="0"/>
            <wp:docPr descr="Библиотека DifferentialEquations" title="" id="30" name="Picture"/>
            <a:graphic>
              <a:graphicData uri="http://schemas.openxmlformats.org/drawingml/2006/picture">
                <pic:pic>
                  <pic:nvPicPr>
                    <pic:cNvPr descr="image/img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Библиотека DifferentialEquations</w:t>
      </w:r>
    </w:p>
    <w:p>
      <w:pPr>
        <w:pStyle w:val="BodyText"/>
      </w:pPr>
      <w:r>
        <w:t xml:space="preserve">Графики для первого случай (рис. 4).</w:t>
      </w:r>
    </w:p>
    <w:p>
      <w:pPr>
        <w:pStyle w:val="CaptionedFigure"/>
      </w:pPr>
      <w:r>
        <w:drawing>
          <wp:inline>
            <wp:extent cx="3733800" cy="2070225"/>
            <wp:effectExtent b="0" l="0" r="0" t="0"/>
            <wp:docPr descr="Первый графики" title="" id="33" name="Picture"/>
            <a:graphic>
              <a:graphicData uri="http://schemas.openxmlformats.org/drawingml/2006/picture">
                <pic:pic>
                  <pic:nvPicPr>
                    <pic:cNvPr descr="image/img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Первый графики</w:t>
      </w:r>
    </w:p>
    <w:p>
      <w:pPr>
        <w:pStyle w:val="BodyText"/>
      </w:pPr>
      <w:r>
        <w:t xml:space="preserve">Система Дифф уравнение для второго случая (рис. 5).</w:t>
      </w:r>
    </w:p>
    <w:p>
      <w:pPr>
        <w:pStyle w:val="CaptionedFigure"/>
      </w:pPr>
      <w:r>
        <w:drawing>
          <wp:inline>
            <wp:extent cx="3733800" cy="1058441"/>
            <wp:effectExtent b="0" l="0" r="0" t="0"/>
            <wp:docPr descr="Система Дифф уравнение для второго случая" title="" id="36" name="Picture"/>
            <a:graphic>
              <a:graphicData uri="http://schemas.openxmlformats.org/drawingml/2006/picture">
                <pic:pic>
                  <pic:nvPicPr>
                    <pic:cNvPr descr="image/img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8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Система Дифф уравнение для второго случая</w:t>
      </w:r>
    </w:p>
    <w:p>
      <w:pPr>
        <w:pStyle w:val="BodyText"/>
      </w:pPr>
      <w:r>
        <w:t xml:space="preserve">Графики для второго случай (рис. 6).</w:t>
      </w:r>
    </w:p>
    <w:p>
      <w:pPr>
        <w:pStyle w:val="CaptionedFigure"/>
      </w:pPr>
      <w:r>
        <w:drawing>
          <wp:inline>
            <wp:extent cx="3733800" cy="1808044"/>
            <wp:effectExtent b="0" l="0" r="0" t="0"/>
            <wp:docPr descr="Вторые графики" title="" id="39" name="Picture"/>
            <a:graphic>
              <a:graphicData uri="http://schemas.openxmlformats.org/drawingml/2006/picture">
                <pic:pic>
                  <pic:nvPicPr>
                    <pic:cNvPr descr="image/img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Вторые графики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втором случае ошеломляющий прогресс второй фирмы, представленной красным, привел к банкротству фирмы, представленной синим.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conflict-model_e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Abraham U. Models for Concurrency (Algebra, Logic and Applications, Vol 11) - Hardcover [Электронный ресурс]. CRC Press, 1999. 248 с. URL:</w:t>
      </w:r>
      <w:r>
        <w:t xml:space="preserve"> </w:t>
      </w:r>
      <w:hyperlink r:id="rId43">
        <w:r>
          <w:rPr>
            <w:rStyle w:val="Hyperlink"/>
          </w:rPr>
          <w:t xml:space="preserve">http://www.amazon.com/Learning-https://www.abebooks.com/9789056991999/Models-Concurrency-Algebra-Logic-Applications-905699199X/plp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hyperlink" Id="rId43" Target="http://www.amazon.com/Learning-https://www.abebooks.com/9789056991999/Models-Concurrency-Algebra-Logic-Applications-905699199X/pl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amazon.com/Learning-https://www.abebooks.com/9789056991999/Models-Concurrency-Algebra-Logic-Applications-905699199X/pl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Аристид Жан Лоэнс А. Н.</dc:creator>
  <dc:language>ru-RU</dc:language>
  <cp:keywords/>
  <dcterms:created xsi:type="dcterms:W3CDTF">2024-03-30T19:10:22Z</dcterms:created>
  <dcterms:modified xsi:type="dcterms:W3CDTF">2024-03-30T19:10:22Z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 8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