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1F4E79"/>
          <w:sz w:val="32"/>
          <w:szCs w:val="32"/>
        </w:rPr>
        <w:t xml:space="preserve">Data Acquisition Plan — Annual Report Sourcing</w:t>
      </w:r>
    </w:p>
    <w:p>
      <w:pPr>
        <w:spacing w:after="300" w:before="100"/>
        <w:jc w:val="center"/>
      </w:pPr>
      <w:r>
        <w:rPr>
          <w:i/>
          <w:iCs/>
          <w:color w:val="555555"/>
          <w:sz w:val="22"/>
          <w:szCs w:val="22"/>
        </w:rPr>
        <w:t xml:space="preserve">Pilot: 12–15 institutions × 5 years ≈ 60–75 reports</w:t>
      </w:r>
    </w:p>
    <w:p>
      <w:pPr>
        <w:pStyle w:val="Heading1"/>
        <w:spacing w:after="160" w:before="300"/>
      </w:pPr>
      <w:r>
        <w:rPr>
          <w:color w:val="1F4E79"/>
        </w:rPr>
        <w:t xml:space="preserve">The Real Constraint</w:t>
      </w:r>
    </w:p>
    <w:p>
      <w:pPr>
        <w:spacing w:after="140" w:line="276"/>
      </w:pPr>
      <w:r>
        <w:rPr>
          <w:sz w:val="22"/>
          <w:szCs w:val="22"/>
        </w:rPr>
        <w:t xml:space="preserve">60–75 documents is a one-time collection task, not an ongoing scraping operation. For large, publicly listed GCC/MENA banks, annual reports are a legal shareholder-communication requirement — they're free, public PDFs on the institution's own site for the overwhelming majority of cases. “Buying reports” and “creating accounts” are edge cases for a handful of specific years or smaller institutions, not the default. The plan below treats them that way: automate the free/public path, fall back to manual only where it's genuinely needed.</w:t>
      </w:r>
    </w:p>
    <w:p>
      <w:pPr>
        <w:pStyle w:val="Heading1"/>
        <w:spacing w:after="160" w:before="300"/>
      </w:pPr>
      <w:r>
        <w:rPr>
          <w:color w:val="1F4E79"/>
        </w:rPr>
        <w:t xml:space="preserve">Sourcing Tiers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0"/>
        <w:gridCol w:w="3300"/>
        <w:gridCol w:w="1800"/>
        <w:gridCol w:w="3176"/>
      </w:tblGrid>
      <w:tr>
        <w:trPr>
          <w:tblHeader/>
        </w:trPr>
        <w:tc>
          <w:tcPr>
            <w:tcW w:type="dxa" w:w="750"/>
            <w:shd w:fill="1F4E7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Tier</w:t>
            </w:r>
          </w:p>
        </w:tc>
        <w:tc>
          <w:tcPr>
            <w:tcW w:type="dxa" w:w="3300"/>
            <w:shd w:fill="1F4E7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  <w:tc>
          <w:tcPr>
            <w:tcW w:type="dxa" w:w="1800"/>
            <w:shd w:fill="1F4E7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Access</w:t>
            </w:r>
          </w:p>
        </w:tc>
        <w:tc>
          <w:tcPr>
            <w:tcW w:type="dxa" w:w="3176"/>
            <w:shd w:fill="1F4E7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Use when</w:t>
            </w:r>
          </w:p>
        </w:tc>
      </w:tr>
      <w:tr>
        <w:tc>
          <w:tcPr>
            <w:tcW w:type="dxa" w:w="7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33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Institution's own Investor Relations page</w:t>
            </w:r>
          </w:p>
        </w:tc>
        <w:tc>
          <w:tcPr>
            <w:tcW w:type="dxa" w:w="18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Free, public, no login</w:t>
            </w:r>
          </w:p>
        </w:tc>
        <w:tc>
          <w:tcPr>
            <w:tcW w:type="dxa" w:w="317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Default first stop — finds most reports directly</w:t>
            </w:r>
          </w:p>
        </w:tc>
      </w:tr>
      <w:tr>
        <w:tc>
          <w:tcPr>
            <w:tcW w:type="dxa" w:w="750"/>
            <w:shd w:fill="EDF2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3300"/>
            <w:shd w:fill="EDF2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Exchange disclosure portal (Tadawul, ADX, DFM, QSE, Bahrain Bourse, Boursa Kuwait, EGX)</w:t>
            </w:r>
          </w:p>
        </w:tc>
        <w:tc>
          <w:tcPr>
            <w:tcW w:type="dxa" w:w="1800"/>
            <w:shd w:fill="EDF2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Free, public</w:t>
            </w:r>
          </w:p>
        </w:tc>
        <w:tc>
          <w:tcPr>
            <w:tcW w:type="dxa" w:w="3176"/>
            <w:shd w:fill="EDF2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Backup when the IR page is thin, reorganized, or archived</w:t>
            </w:r>
          </w:p>
        </w:tc>
      </w:tr>
      <w:tr>
        <w:tc>
          <w:tcPr>
            <w:tcW w:type="dxa" w:w="7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33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Wayback Machine (web.archive.org)</w:t>
            </w:r>
          </w:p>
        </w:tc>
        <w:tc>
          <w:tcPr>
            <w:tcW w:type="dxa" w:w="18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Free, public</w:t>
            </w:r>
          </w:p>
        </w:tc>
        <w:tc>
          <w:tcPr>
            <w:tcW w:type="dxa" w:w="317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Older years no longer live on the current site</w:t>
            </w:r>
          </w:p>
        </w:tc>
      </w:tr>
      <w:tr>
        <w:tc>
          <w:tcPr>
            <w:tcW w:type="dxa" w:w="750"/>
            <w:shd w:fill="EDF2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3300"/>
            <w:shd w:fill="EDF2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Direct email to the institution's IR department</w:t>
            </w:r>
          </w:p>
        </w:tc>
        <w:tc>
          <w:tcPr>
            <w:tcW w:type="dxa" w:w="1800"/>
            <w:shd w:fill="EDF2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Free, standard practice</w:t>
            </w:r>
          </w:p>
        </w:tc>
        <w:tc>
          <w:tcPr>
            <w:tcW w:type="dxa" w:w="3176"/>
            <w:shd w:fill="EDF2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 specific year is genuinely missing from all of the above</w:t>
            </w:r>
          </w:p>
        </w:tc>
      </w:tr>
    </w:tbl>
    <w:p>
      <w:pPr>
        <w:shd w:fill="FDF2E9" w:val="clear"/>
        <w:spacing w:after="200" w:before="160"/>
      </w:pPr>
      <w:r>
        <w:rPr>
          <w:i/>
          <w:iCs/>
          <w:sz w:val="20"/>
          <w:szCs w:val="20"/>
        </w:rPr>
        <w:t xml:space="preserve">Not used: paid aggregators (Mergent, premium AnnualReports.com tiers), automated account creation, or bypassing any paywall/login. If a report genuinely can't be reached through Tiers 1–4, it's logged as a gap, not forced.</w:t>
      </w:r>
    </w:p>
    <w:p>
      <w:pPr>
        <w:pStyle w:val="Heading1"/>
        <w:spacing w:after="160" w:before="300"/>
      </w:pPr>
      <w:r>
        <w:rPr>
          <w:color w:val="1F4E79"/>
        </w:rPr>
        <w:t xml:space="preserve">What the Automation Actually Does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2"/>
          <w:szCs w:val="22"/>
        </w:rPr>
        <w:t xml:space="preserve">A Python crawler visits the ~12–15 curated public URLs (Tier 1 + Tier 2 only) — no login, no authentication involved anywhere in this step.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2"/>
          <w:szCs w:val="22"/>
        </w:rPr>
        <w:t xml:space="preserve">Auto-detects and downloads PDF links matching “annual report” + year patterns on each page.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2"/>
          <w:szCs w:val="22"/>
        </w:rPr>
        <w:t xml:space="preserve">Auto-tags each downloaded file with institution + year and feeds it straight into the existing ingestion pipeline — no manual renaming or filing.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2"/>
          <w:szCs w:val="22"/>
        </w:rPr>
        <w:t xml:space="preserve">Flags anything it can't confidently match for a quick manual check — expect roughly 10–20% of the ~60–75 reports to need this, not zero.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2"/>
          <w:szCs w:val="22"/>
        </w:rPr>
        <w:t xml:space="preserve">Does not create accounts, log in, or touch anything behind authentication. That line doesn't move even if a Tier 4 request is needed — it's a human sending an email, not the agent.</w:t>
      </w:r>
    </w:p>
    <w:p>
      <w:pPr>
        <w:pStyle w:val="Heading1"/>
        <w:spacing w:after="160" w:before="300"/>
      </w:pPr>
      <w:r>
        <w:rPr>
          <w:color w:val="1F4E79"/>
        </w:rPr>
        <w:t xml:space="preserve">Realistic Expectations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2"/>
          <w:szCs w:val="22"/>
        </w:rPr>
        <w:t xml:space="preserve">Bilingual (AR/EN) and scanned older PDFs — already handled by the OCR fallback already built into the pipeline.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2"/>
          <w:szCs w:val="22"/>
        </w:rPr>
        <w:t xml:space="preserve">Smaller or less digitally mature institutions may have gaps in older years. That's an acceptable, documented limitation, not a blocker to force around.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2"/>
          <w:szCs w:val="22"/>
        </w:rPr>
        <w:t xml:space="preserve">One-time setup cost: curating the initial 12–15 IR/exchange URLs is roughly the effort of collecting 12–15 bookmarks — can be done in one pass.</w:t>
      </w:r>
    </w:p>
    <w:p>
      <w:pPr>
        <w:pStyle w:val="Heading1"/>
        <w:spacing w:after="160" w:before="300"/>
      </w:pPr>
      <w:r>
        <w:rPr>
          <w:color w:val="1F4E79"/>
        </w:rPr>
        <w:t xml:space="preserve">Next Step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2"/>
          <w:szCs w:val="22"/>
        </w:rPr>
        <w:t xml:space="preserve">Confirm the 12–15 institution list (reuse the names already proposed, or swap any).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2"/>
          <w:szCs w:val="22"/>
        </w:rPr>
        <w:t xml:space="preserve">I build the crawler script next — can be paired with the E/S/G taxonomy rebuild in the same pass if you want both done together.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2026-09-09T09:00:30.417Z</dcterms:created>
  <dcterms:modified xsi:type="dcterms:W3CDTF">2026-09-09T09:00:30.418Z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