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4E79"/>
          <w:sz w:val="36"/>
          <w:szCs w:val="36"/>
        </w:rPr>
        <w:t xml:space="preserve">ESG Disclosure Scoring — Execution Plan</w:t>
      </w:r>
    </w:p>
    <w:p>
      <w:pPr>
        <w:spacing w:after="800" w:before="200"/>
        <w:jc w:val="center"/>
      </w:pPr>
      <w:r>
        <w:rPr>
          <w:i/>
          <w:iCs/>
          <w:color w:val="555555"/>
          <w:sz w:val="24"/>
          <w:szCs w:val="24"/>
        </w:rPr>
        <w:t xml:space="preserve">Hybrid Approach (A: Benchmark Data + B: Self-Constructed Score)</w:t>
      </w:r>
    </w:p>
    <w:p>
      <w:pPr>
        <w:pStyle w:val="Heading1"/>
        <w:spacing w:after="180" w:before="340"/>
      </w:pPr>
      <w:r>
        <w:rPr>
          <w:color w:val="1F4E79"/>
        </w:rPr>
        <w:t xml:space="preserve">1. Decisions This Plan Assumes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826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 scope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12–15 real institutions (proposed list: QNB, Al Rajhi, SNB, Riyad Bank, Emirates NBD, FAB, Dubai Islamic Bank, Qatar Islamic Bank, NBK, KFH, Bank ABC, GIB, Bank Muscat, CIB Egypt)</w:t>
            </w:r>
          </w:p>
        </w:tc>
      </w:tr>
      <w:tr>
        <w:tc>
          <w:tcPr>
            <w:tcW w:type="dxa" w:w="22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 window</w:t>
            </w:r>
          </w:p>
        </w:tc>
        <w:tc>
          <w:tcPr>
            <w:tcW w:type="dxa" w:w="68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to last 5 fiscal years (was 2 years in the initial pilot scoping — confirm this before Phase 2 data collection begins)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Scoring logic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Density-based (matches per 1,000 words), no sentiment layer — disclosure/coverage score, not favorability</w:t>
            </w:r>
          </w:p>
        </w:tc>
      </w:tr>
      <w:tr>
        <w:tc>
          <w:tcPr>
            <w:tcW w:type="dxa" w:w="22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Taxonomy</w:t>
            </w:r>
          </w:p>
        </w:tc>
        <w:tc>
          <w:tcPr>
            <w:tcW w:type="dxa" w:w="68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REBUILD REQUIRED — original categories (Governance/ICOFR/ITGC/Treasury) need restructuring into E/S/G pillars (see Phase 3)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Python/FastAPI backend (built), React dashboard (pending)</w:t>
            </w:r>
          </w:p>
        </w:tc>
      </w:tr>
      <w:tr>
        <w:tc>
          <w:tcPr>
            <w:tcW w:type="dxa" w:w="22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Benchmark data</w:t>
            </w:r>
          </w:p>
        </w:tc>
        <w:tc>
          <w:tcPr>
            <w:tcW w:type="dxa" w:w="68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Legitimate sources only — see Problem Statement doc, Section 3</w:t>
            </w:r>
          </w:p>
        </w:tc>
      </w:tr>
    </w:tbl>
    <w:p>
      <w:pPr>
        <w:pStyle w:val="Heading1"/>
        <w:spacing w:after="180" w:before="340"/>
      </w:pPr>
      <w:r>
        <w:rPr>
          <w:color w:val="1F4E79"/>
        </w:rPr>
        <w:t xml:space="preserve">2. Phase Plan</w:t>
      </w:r>
    </w:p>
    <w:p>
      <w:pPr>
        <w:spacing w:after="140" w:line="276"/>
      </w:pPr>
      <w:r>
        <w:rPr>
          <w:sz w:val="22"/>
          <w:szCs w:val="22"/>
        </w:rPr>
        <w:t xml:space="preserve">Phases 1 and 2 run in parallel — benchmark hunting doesn't block report collection.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4300"/>
        <w:gridCol w:w="2526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43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tasks</w:t>
            </w:r>
          </w:p>
        </w:tc>
        <w:tc>
          <w:tcPr>
            <w:tcW w:type="dxa" w:w="2526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 Setup &amp; scoping</w:t>
            </w:r>
          </w:p>
        </w:tc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pilot list + 5-yr window with supervisor; flag data-sourcing plan for ethics sign-off if required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Locked scope</w:t>
            </w:r>
          </w:p>
        </w:tc>
      </w:tr>
      <w:tr>
        <w:tc>
          <w:tcPr>
            <w:tcW w:type="dxa" w:w="15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Benchmark collection</w:t>
            </w:r>
          </w:p>
        </w:tc>
        <w:tc>
          <w:tcPr>
            <w:tcW w:type="dxa" w:w="7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4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university WRDS/Bloomberg access first; query MSCI free tool + Sustainalytics/Morningstar; submit academic data requests for gaps</w:t>
            </w:r>
          </w:p>
        </w:tc>
        <w:tc>
          <w:tcPr>
            <w:tcW w:type="dxa" w:w="25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Coverage matrix (institution × year × agency)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Report collection</w:t>
            </w:r>
          </w:p>
        </w:tc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 last 5 years of annual reports per institution from IR pages / exchange portals; log source + language + page count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~60–75 PDF annual reports</w:t>
            </w:r>
          </w:p>
        </w:tc>
      </w:tr>
      <w:tr>
        <w:tc>
          <w:tcPr>
            <w:tcW w:type="dxa" w:w="15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Taxonomy redesign</w:t>
            </w:r>
          </w:p>
        </w:tc>
        <w:tc>
          <w:tcPr>
            <w:tcW w:type="dxa" w:w="7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Restructure to E / S / G pillars; source each term from GRI/SASB/agency methodology docs for defensibility</w:t>
            </w:r>
          </w:p>
        </w:tc>
        <w:tc>
          <w:tcPr>
            <w:tcW w:type="dxa" w:w="25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E/S/G taxonomy JSON, documented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Platform adaptation</w:t>
            </w:r>
          </w:p>
        </w:tc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Reuse existing extraction/matching/scoring engine; add pillar-level aggregation above category-level; re-seed taxonomy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backend</w:t>
            </w:r>
          </w:p>
        </w:tc>
      </w:tr>
      <w:tr>
        <w:tc>
          <w:tcPr>
            <w:tcW w:type="dxa" w:w="15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Scoring run</w:t>
            </w:r>
          </w:p>
        </w:tc>
        <w:tc>
          <w:tcPr>
            <w:tcW w:type="dxa" w:w="7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all collected reports through the pipeline</w:t>
            </w:r>
          </w:p>
        </w:tc>
        <w:tc>
          <w:tcPr>
            <w:tcW w:type="dxa" w:w="25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Institution × year × pillar × composite scores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Validation analysis</w:t>
            </w:r>
          </w:p>
        </w:tc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A+B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Merge B scores with A benchmark data where available; Spearman/Pearson correlation, overall and per pillar; taxonomy-weight sensitivity check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 results chapter draft</w:t>
            </w:r>
          </w:p>
        </w:tc>
      </w:tr>
      <w:tr>
        <w:tc>
          <w:tcPr>
            <w:tcW w:type="dxa" w:w="15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 Dashboard</w:t>
            </w:r>
          </w:p>
        </w:tc>
        <w:tc>
          <w:tcPr>
            <w:tcW w:type="dxa" w:w="7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Ranking table, radar chart, YoY trend, benchmark scatter, evidence drill-down</w:t>
            </w:r>
          </w:p>
        </w:tc>
        <w:tc>
          <w:tcPr>
            <w:tcW w:type="dxa" w:w="25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dashboard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 Write-up</w:t>
            </w:r>
          </w:p>
        </w:tc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Methodology, data, results, limitations/threats-to-validity chapters</w:t>
            </w:r>
          </w:p>
        </w:tc>
        <w:tc>
          <w:tcPr>
            <w:tcW w:type="dxa" w:w="25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Thesis chapter drafts</w:t>
            </w:r>
          </w:p>
        </w:tc>
      </w:tr>
    </w:tbl>
    <w:p>
      <w:pPr>
        <w:pStyle w:val="Heading1"/>
        <w:spacing w:after="180" w:before="340"/>
      </w:pPr>
      <w:r>
        <w:rPr>
          <w:color w:val="1F4E79"/>
        </w:rPr>
        <w:t xml:space="preserve">3.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726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Benchmark data coverage is sparse (Approach A)</w:t>
            </w:r>
          </w:p>
        </w:tc>
        <w:tc>
          <w:tcPr>
            <w:tcW w:type="dxa" w:w="57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the thesis so B stands alone as the primary contribution; treat A as enrichment, not a dependency. Report coverage gaps transparently rather than forcing full coverage.</w:t>
            </w:r>
          </w:p>
        </w:tc>
      </w:tr>
      <w:tr>
        <w:tc>
          <w:tcPr>
            <w:tcW w:type="dxa" w:w="3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Bilingual / scanned PDFs reduce extraction quality</w:t>
            </w:r>
          </w:p>
        </w:tc>
        <w:tc>
          <w:tcPr>
            <w:tcW w:type="dxa" w:w="57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OCR fallback is already built; budget manual QA time on a sample of extracted pages per institution.</w:t>
            </w:r>
          </w:p>
        </w:tc>
      </w:tr>
      <w:tr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Taxonomy term choice looks subjective to a committee</w:t>
            </w:r>
          </w:p>
        </w:tc>
        <w:tc>
          <w:tcPr>
            <w:tcW w:type="dxa" w:w="57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a sourcing justification per term (GRI/SASB/agency doc reference) — turns “why this word list” into a defensible, citable decision.</w:t>
            </w:r>
          </w:p>
        </w:tc>
      </w:tr>
      <w:tr>
        <w:tc>
          <w:tcPr>
            <w:tcW w:type="dxa" w:w="3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 correlation with agency benchmarks</w:t>
            </w:r>
          </w:p>
        </w:tc>
        <w:tc>
          <w:tcPr>
            <w:tcW w:type="dxa" w:w="572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This is a valid and publishable finding, not a failure — frame it against the Aggregate Confusion literature (agencies disagree with each other too).</w:t>
            </w:r>
          </w:p>
        </w:tc>
      </w:tr>
      <w:tr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creep toward full 100-institution build</w:t>
            </w:r>
          </w:p>
        </w:tc>
        <w:tc>
          <w:tcPr>
            <w:tcW w:type="dxa" w:w="57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Explicitly out of scope for the PhD pilot; note it as future work / practical extension.</w:t>
            </w:r>
          </w:p>
        </w:tc>
      </w:tr>
    </w:tbl>
    <w:p>
      <w:pPr>
        <w:pStyle w:val="Heading1"/>
        <w:spacing w:after="180" w:before="340"/>
      </w:pPr>
      <w:r>
        <w:rPr>
          <w:color w:val="1F4E79"/>
        </w:rPr>
        <w:t xml:space="preserve">4. Open Decisions Needed From You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Confirm the 5-year window (this plan assumes it supersedes the earlier 2-year pilot decision — flag if that's wrong).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Confirm the 12–15 institution pilot list, or swap any names.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Should I proceed now with the E/S/G taxonomy rebuild and backend adaptation (Phases 3–4), or do you want to review this plan with your supervisor first?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2026-08-21T05:03:57.220Z</dcterms:created>
  <dcterms:modified xsi:type="dcterms:W3CDTF">2026-08-21T05:03:57.220Z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