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40"/>
          <w:szCs w:val="40"/>
        </w:rPr>
        <w:t xml:space="preserve">Text-Based ESG Disclosure Scoring</w:t>
      </w:r>
    </w:p>
    <w:p>
      <w:pPr>
        <w:spacing w:after="120" w:before="120"/>
        <w:jc w:val="center"/>
      </w:pPr>
      <w:r>
        <w:rPr>
          <w:b/>
          <w:bCs/>
          <w:color w:val="1F4E79"/>
          <w:sz w:val="40"/>
          <w:szCs w:val="40"/>
        </w:rPr>
        <w:t xml:space="preserve">for Middle East Financial Institutions</w:t>
      </w:r>
    </w:p>
    <w:p>
      <w:pPr>
        <w:spacing w:after="1200" w:before="240"/>
        <w:jc w:val="center"/>
      </w:pPr>
      <w:r>
        <w:rPr>
          <w:i/>
          <w:iCs/>
          <w:color w:val="555555"/>
          <w:sz w:val="26"/>
          <w:szCs w:val="26"/>
        </w:rPr>
        <w:t xml:space="preserve">Problem Statement &amp; Expected Output Specification</w:t>
      </w:r>
    </w:p>
    <w:p>
      <w:pPr>
        <w:jc w:val="center"/>
      </w:pPr>
      <w:r>
        <w:rPr>
          <w:color w:val="888888"/>
          <w:sz w:val="20"/>
          <w:szCs w:val="20"/>
        </w:rPr>
        <w:t xml:space="preserve">PhD Research Document — Draft v1</w:t>
      </w:r>
    </w:p>
    <w:p>
      <w:r>
        <w:br w:type="page"/>
      </w:r>
    </w:p>
    <w:p>
      <w:pPr>
        <w:pStyle w:val="Heading1"/>
        <w:spacing w:after="200" w:before="360"/>
      </w:pPr>
      <w:r>
        <w:rPr>
          <w:color w:val="1F4E79"/>
        </w:rPr>
        <w:t xml:space="preserve">1. Background &amp; Motivation</w:t>
      </w:r>
    </w:p>
    <w:p>
      <w:pPr>
        <w:spacing w:after="160" w:line="276"/>
      </w:pPr>
      <w:r>
        <w:rPr>
          <w:sz w:val="22"/>
          <w:szCs w:val="22"/>
        </w:rPr>
        <w:t xml:space="preserve">ESG (Environmental, Social, and Governance) considerations have become central to institutional investment and regulatory expectations across Gulf and wider MENA capital markets. Regional exchanges (Tadawul, ADX, DFM, QSE, Bahrain Bourse, Boursa Kuwait) have introduced ESG disclosure guidance for listed companies, and financial institutions in particular face growing pressure to demonstrate governance quality, risk oversight, and social/environmental responsibility in their annual reporting.</w:t>
      </w:r>
    </w:p>
    <w:p>
      <w:pPr>
        <w:spacing w:after="160" w:line="276"/>
      </w:pPr>
      <w:r>
        <w:rPr>
          <w:sz w:val="22"/>
          <w:szCs w:val="22"/>
        </w:rPr>
        <w:t xml:space="preserve">The dominant reference point for ESG assessment is third-party agency ratings — MSCI, Sustainalytics, Refinitiv/LSEG, and Bloomberg being the most prominent. These ratings are proprietary, methodologically opaque, and — critically for this research — empirically documented to diverge significantly across providers. Berg, Kölbel, and Rigobon ("Aggregate Confusion: The Divergence of ESG Ratings," Review of Finance, 2022) analyzed six major agencies and found average pairwise correlations between their ratings ranging from only 38% to 71%, with measurement methodology (56%) and category scope (38%) as the dominant sources of disagreement — not weighting choices. In other words, "the ESG score" of a given institution genuinely depends on who you ask.</w:t>
      </w:r>
    </w:p>
    <w:p>
      <w:pPr>
        <w:spacing w:after="160" w:line="276"/>
      </w:pPr>
      <w:r>
        <w:rPr>
          <w:sz w:val="22"/>
          <w:szCs w:val="22"/>
        </w:rPr>
        <w:t xml:space="preserve">This creates a legitimate and current research opportunity: construct a transparent, reproducible, text-based ESG disclosure score directly from primary-source annual reports, and examine empirically how it relates to existing agency ratings where those are legitimately available. This is an active area of NLP/finance research (e.g. Schimanski et al., "Bridging the gap in ESG measurement: Using NLP to quantify environmental, social and governance communication," Finance Research Letters, 2024), and recent papers in the space explicitly flag insufficient validation against external agency ratings as a gap this design directly addresses.</w:t>
      </w:r>
    </w:p>
    <w:p>
      <w:pPr>
        <w:pStyle w:val="Heading1"/>
        <w:spacing w:after="200" w:before="360"/>
      </w:pPr>
      <w:r>
        <w:rPr>
          <w:color w:val="1F4E79"/>
        </w:rPr>
        <w:t xml:space="preserve">2. Problem Statement</w:t>
      </w:r>
    </w:p>
    <w:p>
      <w:pPr>
        <w:spacing w:after="160" w:line="276"/>
      </w:pPr>
      <w:r>
        <w:rPr>
          <w:sz w:val="22"/>
          <w:szCs w:val="22"/>
        </w:rPr>
        <w:t xml:space="preserve">Given a pilot set of Middle East financial institutions and their last five years of published annual reports, construct a defensible, reproducible ESG disclosure score for each institution, broken down across Environmental, Social, and Governance pillars, based on the frequency and density of defined terms and phrases within each report.</w:t>
      </w:r>
    </w:p>
    <w:p>
      <w:pPr>
        <w:spacing w:after="160" w:line="276"/>
      </w:pPr>
      <w:r>
        <w:rPr>
          <w:sz w:val="22"/>
          <w:szCs w:val="22"/>
        </w:rPr>
        <w:t xml:space="preserve">A specific methodological requirement drives the scoring logic: a sentence such as “governance needs to be improved” must be counted the same as a sentence expressing governance positively. This is not a sentiment-scoring problem — it is a disclosure/coverage problem. The score measures how thoroughly an institution discusses a topic, not how favorably. This design choice is deliberate and is discussed further in Section 4.</w:t>
      </w:r>
    </w:p>
    <w:p>
      <w:pPr>
        <w:spacing w:after="160" w:line="276"/>
      </w:pPr>
      <w:r>
        <w:rPr>
          <w:sz w:val="22"/>
          <w:szCs w:val="22"/>
        </w:rPr>
        <w:t xml:space="preserve">The research question this supports: does a transparent, rules-based text score constructed from public disclosures correlate meaningfully with existing (opaque, proprietary) agency ESG ratings — and where it doesn't, what does that reveal about what agency ratings are actually measuring versus what institutions are actually disclosing?</w:t>
      </w:r>
    </w:p>
    <w:p>
      <w:pPr>
        <w:pStyle w:val="Heading1"/>
        <w:spacing w:after="200" w:before="360"/>
      </w:pPr>
      <w:r>
        <w:rPr>
          <w:color w:val="1F4E79"/>
        </w:rPr>
        <w:t xml:space="preserve">3. Approach A — Benchmark Reference Scores</w:t>
      </w:r>
    </w:p>
    <w:p>
      <w:pPr>
        <w:spacing w:after="160" w:line="276"/>
      </w:pPr>
      <w:r>
        <w:rPr>
          <w:b w:val="false"/>
          <w:bCs w:val="false"/>
          <w:sz w:val="22"/>
          <w:szCs w:val="22"/>
        </w:rPr>
        <w:t xml:space="preserve">Purpose: obtain existing third-party ESG ratings for the same pilot institutions and years, to use as an external validation benchmark for the self-constructed score. This is supporting data, not the thesis's primary output.</w:t>
      </w:r>
    </w:p>
    <w:p>
      <w:pPr>
        <w:pStyle w:val="Heading2"/>
        <w:spacing w:after="140" w:before="240"/>
      </w:pPr>
      <w:r>
        <w:t xml:space="preserve">3.1 Legitimate acquisition channels only</w:t>
      </w:r>
    </w:p>
    <w:p>
      <w:pPr>
        <w:pStyle w:val="ListParagraph"/>
        <w:numPr>
          <w:ilvl w:val="0"/>
          <w:numId w:val="2"/>
        </w:numPr>
        <w:spacing w:after="100" w:line="276"/>
      </w:pPr>
      <w:r>
        <w:rPr>
          <w:sz w:val="22"/>
          <w:szCs w:val="22"/>
        </w:rPr>
        <w:t xml:space="preserve">University library / WRDS (Wharton Research Data Services) subscription — check this first; many PhD programs already have institutional access to MSCI, Refinitiv, and/or Trucost ESG datasets at no cost to the student.</w:t>
      </w:r>
    </w:p>
    <w:p>
      <w:pPr>
        <w:pStyle w:val="ListParagraph"/>
        <w:numPr>
          <w:ilvl w:val="0"/>
          <w:numId w:val="2"/>
        </w:numPr>
        <w:spacing w:after="100" w:line="276"/>
      </w:pPr>
      <w:r>
        <w:rPr>
          <w:sz w:val="22"/>
          <w:szCs w:val="22"/>
        </w:rPr>
        <w:t xml:space="preserve">Bloomberg Terminal, if available through the university's finance department or library.</w:t>
      </w:r>
    </w:p>
    <w:p>
      <w:pPr>
        <w:pStyle w:val="ListParagraph"/>
        <w:numPr>
          <w:ilvl w:val="0"/>
          <w:numId w:val="2"/>
        </w:numPr>
        <w:spacing w:after="100" w:line="276"/>
      </w:pPr>
      <w:r>
        <w:rPr>
          <w:sz w:val="22"/>
          <w:szCs w:val="22"/>
        </w:rPr>
        <w:t xml:space="preserve">MSCI's free public ESG Ratings &amp; Climate Search Tool (covers ~2,900 companies — MSCI ACWI constituents; GCC bank coverage needs to be checked individually).</w:t>
      </w:r>
    </w:p>
    <w:p>
      <w:pPr>
        <w:pStyle w:val="ListParagraph"/>
        <w:numPr>
          <w:ilvl w:val="0"/>
          <w:numId w:val="2"/>
        </w:numPr>
        <w:spacing w:after="100" w:line="276"/>
      </w:pPr>
      <w:r>
        <w:rPr>
          <w:sz w:val="22"/>
          <w:szCs w:val="22"/>
        </w:rPr>
        <w:t xml:space="preserve">Sustainalytics' freely searchable ESG Risk Ratings (via Morningstar).</w:t>
      </w:r>
    </w:p>
    <w:p>
      <w:pPr>
        <w:pStyle w:val="ListParagraph"/>
        <w:numPr>
          <w:ilvl w:val="0"/>
          <w:numId w:val="2"/>
        </w:numPr>
        <w:spacing w:after="100" w:line="276"/>
      </w:pPr>
      <w:r>
        <w:rPr>
          <w:sz w:val="22"/>
          <w:szCs w:val="22"/>
        </w:rPr>
        <w:t xml:space="preserve">A formal academic data request submitted directly to the agency (MSCI, Sustainalytics, LSEG/Refinitiv all have research/academic outreach channels and will often provide free or discounted access for accredited PhD work).</w:t>
      </w:r>
    </w:p>
    <w:p>
      <w:pPr>
        <w:pStyle w:val="Heading2"/>
        <w:spacing w:after="140" w:before="240"/>
      </w:pPr>
      <w:r>
        <w:t xml:space="preserve">3.2 Explicitly excluded</w:t>
      </w:r>
    </w:p>
    <w:p>
      <w:pPr>
        <w:pStyle w:val="ListParagraph"/>
        <w:numPr>
          <w:ilvl w:val="0"/>
          <w:numId w:val="2"/>
        </w:numPr>
        <w:spacing w:after="100" w:line="276"/>
      </w:pPr>
      <w:r>
        <w:rPr>
          <w:sz w:val="22"/>
          <w:szCs w:val="22"/>
        </w:rPr>
        <w:t xml:space="preserve">Scraping or automating access behind a login/paywall using unauthorized or shared credentials.</w:t>
      </w:r>
    </w:p>
    <w:p>
      <w:pPr>
        <w:pStyle w:val="ListParagraph"/>
        <w:numPr>
          <w:ilvl w:val="0"/>
          <w:numId w:val="2"/>
        </w:numPr>
        <w:spacing w:after="100" w:line="276"/>
      </w:pPr>
      <w:r>
        <w:rPr>
          <w:sz w:val="22"/>
          <w:szCs w:val="22"/>
        </w:rPr>
        <w:t xml:space="preserve">Any method that circumvents a provider's technical access controls or violates its terms of service.</w:t>
      </w:r>
    </w:p>
    <w:p>
      <w:pPr>
        <w:spacing w:after="160" w:line="276"/>
      </w:pPr>
      <w:r>
        <w:rPr>
          <w:sz w:val="22"/>
          <w:szCs w:val="22"/>
        </w:rPr>
        <w:t xml:space="preserve">Rationale: beyond the legal exposure, a PhD thesis's data provenance is scrutinized directly by the committee. Data obtained in violation of a provider's terms undermines the defensibility of the entire empirical chapter, independent of how sound the analysis built on top of it is.</w:t>
      </w:r>
    </w:p>
    <w:p>
      <w:pPr>
        <w:pStyle w:val="Heading2"/>
        <w:spacing w:after="140" w:before="240"/>
      </w:pPr>
      <w:r>
        <w:t xml:space="preserve">3.3 Expected coverage</w:t>
      </w:r>
    </w:p>
    <w:p>
      <w:pPr>
        <w:spacing w:after="160" w:line="276"/>
      </w:pPr>
      <w:r>
        <w:rPr>
          <w:sz w:val="22"/>
          <w:szCs w:val="22"/>
        </w:rPr>
        <w:t xml:space="preserve">Full five-year, full-pilot coverage from free sources alone is unlikely. Expect partial coverage — some institutions and years will have benchmark data, others won't. This is normal and should be documented as a coverage matrix (Section 5) rather than treated as a blocking issue; Approach B does not depend on Approach A being complete.</w:t>
      </w:r>
    </w:p>
    <w:p>
      <w:pPr>
        <w:pStyle w:val="Heading1"/>
        <w:spacing w:after="200" w:before="360"/>
      </w:pPr>
      <w:r>
        <w:rPr>
          <w:color w:val="1F4E79"/>
        </w:rPr>
        <w:t xml:space="preserve">4. Approach B — Self-Constructed Text-Based ESG Disclosure Score</w:t>
      </w:r>
    </w:p>
    <w:p>
      <w:pPr>
        <w:spacing w:after="160" w:line="276"/>
      </w:pPr>
      <w:r>
        <w:rPr>
          <w:sz w:val="22"/>
          <w:szCs w:val="22"/>
        </w:rPr>
        <w:t xml:space="preserve">This is the thesis's primary methodological contribution. Each institution's annual report is scored on disclosure density across a defined Environmental / Social / Governance taxonomy of terms and phrases, using density-normalized frequency (matches per 1,000 words) rather than raw counts — so a 300-page report cannot out-score a 150-page one purely on length.</w:t>
      </w:r>
    </w:p>
    <w:p>
      <w:pPr>
        <w:pStyle w:val="Heading2"/>
        <w:spacing w:after="140" w:before="240"/>
      </w:pPr>
      <w:r>
        <w:t xml:space="preserve">4.1 Why density, not sentiment</w:t>
      </w:r>
    </w:p>
    <w:p>
      <w:pPr>
        <w:spacing w:after="160" w:line="276"/>
      </w:pPr>
      <w:r>
        <w:rPr>
          <w:sz w:val="22"/>
          <w:szCs w:val="22"/>
        </w:rPr>
        <w:t xml:space="preserve">Generic sentiment dictionaries misclassify ordinary words in financial text (Loughran &amp; McDonald, 2011 found roughly three-quarters of words flagged “negative” by the widely-used Harvard Dictionary aren't negative in a financial context). Rather than build or fine-tune a finance-specific sentiment model, this design sidesteps the problem entirely: presence and density of a term is what's measured, not the polarity of the sentence it appears in. This directly resolves the “governance needs to be improved” edge case — it scores identically to a positive mention, because disclosure of the topic, not the verdict on it, is the construct being measured.</w:t>
      </w:r>
    </w:p>
    <w:p>
      <w:pPr>
        <w:pStyle w:val="Heading2"/>
        <w:spacing w:after="140" w:before="240"/>
      </w:pPr>
      <w:r>
        <w:t xml:space="preserve">4.2 Positioning relative to existing literature</w:t>
      </w:r>
    </w:p>
    <w:p>
      <w:pPr>
        <w:spacing w:after="160" w:line="276"/>
      </w:pPr>
      <w:r>
        <w:rPr>
          <w:sz w:val="22"/>
          <w:szCs w:val="22"/>
        </w:rPr>
        <w:t xml:space="preserve">NLP-based ESG scoring from corporate disclosures is an active, current research area (Schimanski et al. 2024; work applying BERT/BERTopic to sustainability reports; keyword- and dictionary-based approaches going back to the Loughran-McDonald tradition in accounting/finance). This thesis's specific contribution is twofold: (a) applying the methodology to an under-studied regional context — Middle East financial institutions — rather than the more commonly studied US/EU large-cap universe, and (b) empirically validating the resulting score against agency benchmarks where available, which recent papers in this space explicitly identify as commonly missing from prior work.</w:t>
      </w:r>
    </w:p>
    <w:p>
      <w:pPr>
        <w:pStyle w:val="Heading1"/>
        <w:spacing w:after="200" w:before="360"/>
      </w:pPr>
      <w:r>
        <w:rPr>
          <w:color w:val="1F4E79"/>
        </w:rPr>
        <w:t xml:space="preserve">5. Expected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79" w:val="clear"/>
            <w:tcMar>
              <w:top w:type="dxa" w:w="100"/>
              <w:left w:type="dxa" w:w="120"/>
              <w:bottom w:type="dxa" w:w="100"/>
              <w:right w:type="dxa" w:w="120"/>
            </w:tcMar>
            <w:vAlign w:val="center"/>
          </w:tcPr>
          <w:p>
            <w:r>
              <w:rPr>
                <w:b/>
                <w:bCs/>
                <w:color w:val="FFFFFF"/>
                <w:sz w:val="20"/>
                <w:szCs w:val="20"/>
              </w:rPr>
              <w:t xml:space="preserve">Deliverable</w:t>
            </w:r>
          </w:p>
        </w:tc>
        <w:tc>
          <w:tcPr>
            <w:tcW w:type="dxa" w:w="6226"/>
            <w:shd w:fill="1F4E79"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Software platform</w:t>
            </w:r>
          </w:p>
        </w:tc>
        <w:tc>
          <w:tcPr>
            <w:tcW w:type="dxa" w:w="6226"/>
            <w:tcMar>
              <w:top w:type="dxa" w:w="100"/>
              <w:left w:type="dxa" w:w="120"/>
              <w:bottom w:type="dxa" w:w="100"/>
              <w:right w:type="dxa" w:w="120"/>
            </w:tcMar>
            <w:vAlign w:val="center"/>
          </w:tcPr>
          <w:p>
            <w:r>
              <w:rPr>
                <w:b w:val="false"/>
                <w:bCs w:val="false"/>
                <w:color w:val="000000"/>
                <w:sz w:val="20"/>
                <w:szCs w:val="20"/>
              </w:rPr>
              <w:t xml:space="preserve">Working pipeline: PDF ingestion → OCR fallback → phrase matching → density scoring → API/dashboard. (Backend already built and tested — see accompanying Execution Plan.)</w:t>
            </w:r>
          </w:p>
        </w:tc>
      </w:tr>
      <w:tr>
        <w:tc>
          <w:tcPr>
            <w:tcW w:type="dxa" w:w="2800"/>
            <w:shd w:fill="EDF2F7" w:val="clear"/>
            <w:tcMar>
              <w:top w:type="dxa" w:w="100"/>
              <w:left w:type="dxa" w:w="120"/>
              <w:bottom w:type="dxa" w:w="100"/>
              <w:right w:type="dxa" w:w="120"/>
            </w:tcMar>
            <w:vAlign w:val="center"/>
          </w:tcPr>
          <w:p>
            <w:r>
              <w:rPr>
                <w:b w:val="false"/>
                <w:bCs w:val="false"/>
                <w:color w:val="000000"/>
                <w:sz w:val="20"/>
                <w:szCs w:val="20"/>
              </w:rPr>
              <w:t xml:space="preserve">E/S/G taxonomy dictionary</w:t>
            </w:r>
          </w:p>
        </w:tc>
        <w:tc>
          <w:tcPr>
            <w:tcW w:type="dxa" w:w="6226"/>
            <w:shd w:fill="EDF2F7" w:val="clear"/>
            <w:tcMar>
              <w:top w:type="dxa" w:w="100"/>
              <w:left w:type="dxa" w:w="120"/>
              <w:bottom w:type="dxa" w:w="100"/>
              <w:right w:type="dxa" w:w="120"/>
            </w:tcMar>
            <w:vAlign w:val="center"/>
          </w:tcPr>
          <w:p>
            <w:r>
              <w:rPr>
                <w:b w:val="false"/>
                <w:bCs w:val="false"/>
                <w:color w:val="000000"/>
                <w:sz w:val="20"/>
                <w:szCs w:val="20"/>
              </w:rPr>
              <w:t xml:space="preserve">Documented term list per pillar, with sourcing justification for each term (e.g. GRI Standards, SASB Financial Sector Standard, agency methodology summaries).</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Institution × year scored dataset</w:t>
            </w:r>
          </w:p>
        </w:tc>
        <w:tc>
          <w:tcPr>
            <w:tcW w:type="dxa" w:w="6226"/>
            <w:tcMar>
              <w:top w:type="dxa" w:w="100"/>
              <w:left w:type="dxa" w:w="120"/>
              <w:bottom w:type="dxa" w:w="100"/>
              <w:right w:type="dxa" w:w="120"/>
            </w:tcMar>
            <w:vAlign w:val="center"/>
          </w:tcPr>
          <w:p>
            <w:r>
              <w:rPr>
                <w:b w:val="false"/>
                <w:bCs w:val="false"/>
                <w:color w:val="000000"/>
                <w:sz w:val="20"/>
                <w:szCs w:val="20"/>
              </w:rPr>
              <w:t xml:space="preserve">Composite and per-pillar scores for every pilot institution / report-year processed.</w:t>
            </w:r>
          </w:p>
        </w:tc>
      </w:tr>
      <w:tr>
        <w:tc>
          <w:tcPr>
            <w:tcW w:type="dxa" w:w="2800"/>
            <w:shd w:fill="EDF2F7" w:val="clear"/>
            <w:tcMar>
              <w:top w:type="dxa" w:w="100"/>
              <w:left w:type="dxa" w:w="120"/>
              <w:bottom w:type="dxa" w:w="100"/>
              <w:right w:type="dxa" w:w="120"/>
            </w:tcMar>
            <w:vAlign w:val="center"/>
          </w:tcPr>
          <w:p>
            <w:r>
              <w:rPr>
                <w:b w:val="false"/>
                <w:bCs w:val="false"/>
                <w:color w:val="000000"/>
                <w:sz w:val="20"/>
                <w:szCs w:val="20"/>
              </w:rPr>
              <w:t xml:space="preserve">Benchmark coverage matrix</w:t>
            </w:r>
          </w:p>
        </w:tc>
        <w:tc>
          <w:tcPr>
            <w:tcW w:type="dxa" w:w="6226"/>
            <w:shd w:fill="EDF2F7" w:val="clear"/>
            <w:tcMar>
              <w:top w:type="dxa" w:w="100"/>
              <w:left w:type="dxa" w:w="120"/>
              <w:bottom w:type="dxa" w:w="100"/>
              <w:right w:type="dxa" w:w="120"/>
            </w:tcMar>
            <w:vAlign w:val="center"/>
          </w:tcPr>
          <w:p>
            <w:r>
              <w:rPr>
                <w:b w:val="false"/>
                <w:bCs w:val="false"/>
                <w:color w:val="000000"/>
                <w:sz w:val="20"/>
                <w:szCs w:val="20"/>
              </w:rPr>
              <w:t xml:space="preserve">Institution × year × agency table documenting what Approach A data was legitimately obtainable.</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Validation analysis</w:t>
            </w:r>
          </w:p>
        </w:tc>
        <w:tc>
          <w:tcPr>
            <w:tcW w:type="dxa" w:w="6226"/>
            <w:tcMar>
              <w:top w:type="dxa" w:w="100"/>
              <w:left w:type="dxa" w:w="120"/>
              <w:bottom w:type="dxa" w:w="100"/>
              <w:right w:type="dxa" w:w="120"/>
            </w:tcMar>
            <w:vAlign w:val="center"/>
          </w:tcPr>
          <w:p>
            <w:r>
              <w:rPr>
                <w:b w:val="false"/>
                <w:bCs w:val="false"/>
                <w:color w:val="000000"/>
                <w:sz w:val="20"/>
                <w:szCs w:val="20"/>
              </w:rPr>
              <w:t xml:space="preserve">Correlation (Spearman/Pearson) between self-computed scores and available agency benchmarks, overall and per pillar.</w:t>
            </w:r>
          </w:p>
        </w:tc>
      </w:tr>
      <w:tr>
        <w:tc>
          <w:tcPr>
            <w:tcW w:type="dxa" w:w="2800"/>
            <w:shd w:fill="EDF2F7" w:val="clear"/>
            <w:tcMar>
              <w:top w:type="dxa" w:w="100"/>
              <w:left w:type="dxa" w:w="120"/>
              <w:bottom w:type="dxa" w:w="100"/>
              <w:right w:type="dxa" w:w="120"/>
            </w:tcMar>
            <w:vAlign w:val="center"/>
          </w:tcPr>
          <w:p>
            <w:r>
              <w:rPr>
                <w:b w:val="false"/>
                <w:bCs w:val="false"/>
                <w:color w:val="000000"/>
                <w:sz w:val="20"/>
                <w:szCs w:val="20"/>
              </w:rPr>
              <w:t xml:space="preserve">Visualizations</w:t>
            </w:r>
          </w:p>
        </w:tc>
        <w:tc>
          <w:tcPr>
            <w:tcW w:type="dxa" w:w="6226"/>
            <w:shd w:fill="EDF2F7" w:val="clear"/>
            <w:tcMar>
              <w:top w:type="dxa" w:w="100"/>
              <w:left w:type="dxa" w:w="120"/>
              <w:bottom w:type="dxa" w:w="100"/>
              <w:right w:type="dxa" w:w="120"/>
            </w:tcMar>
            <w:vAlign w:val="center"/>
          </w:tcPr>
          <w:p>
            <w:r>
              <w:rPr>
                <w:b w:val="false"/>
                <w:bCs w:val="false"/>
                <w:color w:val="000000"/>
                <w:sz w:val="20"/>
                <w:szCs w:val="20"/>
              </w:rPr>
              <w:t xml:space="preserve">Ranking table, per-institution radar chart, year-over-year trend, benchmark comparison scatter plot.</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Evidence log</w:t>
            </w:r>
          </w:p>
        </w:tc>
        <w:tc>
          <w:tcPr>
            <w:tcW w:type="dxa" w:w="6226"/>
            <w:tcMar>
              <w:top w:type="dxa" w:w="100"/>
              <w:left w:type="dxa" w:w="120"/>
              <w:bottom w:type="dxa" w:w="100"/>
              <w:right w:type="dxa" w:w="120"/>
            </w:tcMar>
            <w:vAlign w:val="center"/>
          </w:tcPr>
          <w:p>
            <w:r>
              <w:rPr>
                <w:b w:val="false"/>
                <w:bCs w:val="false"/>
                <w:color w:val="000000"/>
                <w:sz w:val="20"/>
                <w:szCs w:val="20"/>
              </w:rPr>
              <w:t xml:space="preserve">Sentence-level traceability — every score is backed by the actual matched sentences, for spot-checking and thesis appendix material.</w:t>
            </w:r>
          </w:p>
        </w:tc>
      </w:tr>
    </w:tbl>
    <w:p>
      <w:pPr>
        <w:pStyle w:val="Heading1"/>
        <w:spacing w:after="200" w:before="360"/>
      </w:pPr>
      <w:r>
        <w:rPr>
          <w:color w:val="1F4E79"/>
        </w:rPr>
        <w:t xml:space="preserve">6. Success Criteria &amp; Evaluation</w:t>
      </w:r>
    </w:p>
    <w:p>
      <w:pPr>
        <w:pStyle w:val="ListParagraph"/>
        <w:numPr>
          <w:ilvl w:val="0"/>
          <w:numId w:val="2"/>
        </w:numPr>
        <w:spacing w:after="100" w:line="276"/>
      </w:pPr>
      <w:r>
        <w:rPr>
          <w:sz w:val="22"/>
          <w:szCs w:val="22"/>
        </w:rPr>
        <w:t xml:space="preserve">Methodological transparency: every score component is traceable to a specific sentence in a specific report — in explicit contrast to opaque agency methodologies.</w:t>
      </w:r>
    </w:p>
    <w:p>
      <w:pPr>
        <w:pStyle w:val="ListParagraph"/>
        <w:numPr>
          <w:ilvl w:val="0"/>
          <w:numId w:val="2"/>
        </w:numPr>
        <w:spacing w:after="100" w:line="276"/>
      </w:pPr>
      <w:r>
        <w:rPr>
          <w:sz w:val="22"/>
          <w:szCs w:val="22"/>
        </w:rPr>
        <w:t xml:space="preserve">Correlation strength and pattern against available benchmark data, discussed pillar-by-pillar (expect Governance to correlate most strongly, given it's most textually explicit; Environmental/Social may correlate more weakly — that divergence is itself a finding worth discussing).</w:t>
      </w:r>
    </w:p>
    <w:p>
      <w:pPr>
        <w:pStyle w:val="ListParagraph"/>
        <w:numPr>
          <w:ilvl w:val="0"/>
          <w:numId w:val="2"/>
        </w:numPr>
        <w:spacing w:after="100" w:line="276"/>
      </w:pPr>
      <w:r>
        <w:rPr>
          <w:sz w:val="22"/>
          <w:szCs w:val="22"/>
        </w:rPr>
        <w:t xml:space="preserve">Face validity: a sample of evidence sentences reviewed by the supervisor or a domain expert to confirm matches are meaningful, not spurious.</w:t>
      </w:r>
    </w:p>
    <w:p>
      <w:pPr>
        <w:pStyle w:val="ListParagraph"/>
        <w:numPr>
          <w:ilvl w:val="0"/>
          <w:numId w:val="2"/>
        </w:numPr>
        <w:spacing w:after="100" w:line="276"/>
      </w:pPr>
      <w:r>
        <w:rPr>
          <w:sz w:val="22"/>
          <w:szCs w:val="22"/>
        </w:rPr>
        <w:t xml:space="preserve">Robustness: sensitivity analysis showing how rankings shift (or don't) under reasonable perturbations to term weights and category weights.</w:t>
      </w:r>
    </w:p>
    <w:p>
      <w:pPr>
        <w:pStyle w:val="Heading1"/>
        <w:spacing w:after="200" w:before="360"/>
      </w:pPr>
      <w:r>
        <w:rPr>
          <w:color w:val="1F4E79"/>
        </w:rPr>
        <w:t xml:space="preserve">7. Data Sourcing &amp; Research Ethics Statement</w:t>
      </w:r>
    </w:p>
    <w:p>
      <w:pPr>
        <w:spacing w:after="160" w:line="276"/>
      </w:pPr>
      <w:r>
        <w:rPr>
          <w:sz w:val="22"/>
          <w:szCs w:val="22"/>
        </w:rPr>
        <w:t xml:space="preserve">All input data will be sourced from (a) publicly available annual reports, self-published by institutions or filed with regional exchanges, and (b) legitimately licensed or free-tier third-party ESG data obtained through university library access, agency free-access tools, or formal academic data requests. No data will be obtained by circumventing paywalls, scraping behind authentication, or using unauthorized credentials.</w:t>
      </w:r>
    </w:p>
    <w:p>
      <w:pPr>
        <w:spacing w:after="160" w:line="276"/>
      </w:pPr>
      <w:r>
        <w:rPr>
          <w:sz w:val="22"/>
          <w:szCs w:val="22"/>
        </w:rPr>
        <w:t xml:space="preserve">This data-sourcing plan should be flagged to your supervisor and, if your institution requires it, your ethics review process, as part of the standard research proposal — particularly if any third-party licensed data ends up being used.</w:t>
      </w:r>
    </w:p>
    <w:p>
      <w:pPr>
        <w:pStyle w:val="Heading1"/>
        <w:spacing w:after="200" w:before="360"/>
      </w:pPr>
      <w:r>
        <w:rPr>
          <w:color w:val="1F4E79"/>
        </w:rPr>
        <w:t xml:space="preserve">8. Scope Boundaries</w:t>
      </w:r>
    </w:p>
    <w:p>
      <w:pPr>
        <w:pStyle w:val="ListParagraph"/>
        <w:numPr>
          <w:ilvl w:val="0"/>
          <w:numId w:val="2"/>
        </w:numPr>
        <w:spacing w:after="100" w:line="276"/>
      </w:pPr>
      <w:r>
        <w:rPr>
          <w:sz w:val="22"/>
          <w:szCs w:val="22"/>
        </w:rPr>
        <w:t xml:space="preserve">This is a disclosure/communication proxy, not a full ESG performance assessment — it measures what institutions say, not independently verified environmental or social outcomes. This distinction should be stated explicitly in the thesis to preempt validity critiques.</w:t>
      </w:r>
    </w:p>
    <w:p>
      <w:pPr>
        <w:pStyle w:val="ListParagraph"/>
        <w:numPr>
          <w:ilvl w:val="0"/>
          <w:numId w:val="2"/>
        </w:numPr>
        <w:spacing w:after="100" w:line="276"/>
      </w:pPr>
      <w:r>
        <w:rPr>
          <w:sz w:val="22"/>
          <w:szCs w:val="22"/>
        </w:rPr>
        <w:t xml:space="preserve">Not an investment recommendation tool.</w:t>
      </w:r>
    </w:p>
    <w:p>
      <w:pPr>
        <w:pStyle w:val="ListParagraph"/>
        <w:numPr>
          <w:ilvl w:val="0"/>
          <w:numId w:val="2"/>
        </w:numPr>
        <w:spacing w:after="100" w:line="276"/>
      </w:pPr>
      <w:r>
        <w:rPr>
          <w:sz w:val="22"/>
          <w:szCs w:val="22"/>
        </w:rPr>
        <w:t xml:space="preserve">Not an attempt to reverse-engineer or replicate any specific agency's proprietary methodology — the taxonomy is independently constructed and documented.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2026-08-21T05:03:24.953Z</dcterms:created>
  <dcterms:modified xsi:type="dcterms:W3CDTF">2026-08-21T05:03:24.971Z</dcterms:modified>
</cp:coreProperties>
</file>

<file path=docProps/custom.xml><?xml version="1.0" encoding="utf-8"?>
<Properties xmlns="http://schemas.openxmlformats.org/officeDocument/2006/custom-properties" xmlns:vt="http://schemas.openxmlformats.org/officeDocument/2006/docPropsVTypes"/>
</file>