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AccessAI</w:t>
      </w:r>
    </w:p>
    <w:p>
      <w:pPr>
        <w:pStyle w:val="Subtitle"/>
        <w:pBdr>
          <w:bottom w:val="single" w:sz="18" w:space="7" w:color="1F614A"/>
        </w:pBdr>
      </w:pPr>
      <w:r>
        <w:t>A bilingual, voice-accessible public-service discovery and eligibility platform for Bangladesh</w:t>
      </w:r>
    </w:p>
    <w:p>
      <w:pPr>
        <w:spacing w:after="120"/>
      </w:pPr>
      <w:r>
        <w:rPr>
          <w:rFonts w:ascii="Aptos" w:hAnsi="Aptos"/>
          <w:b w:val="0"/>
          <w:color w:val="17211D"/>
          <w:sz w:val="20"/>
        </w:rPr>
        <w:t>AccessAI helps citizens discover public programmes, understand whether they qualify, and complete the next steps without navigating fragmented circulars, offices, and forms. It combines deterministic eligibility decisions with conversational guidance, clear evidence, and a low-literacy-first interface in Bangla and English.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shd w:fill="F3F9F6"/>
          </w:tcPr>
          <w:p>
            <w:pPr>
              <w:spacing w:after="0"/>
            </w:pPr>
            <w:r>
              <w:rPr>
                <w:rFonts w:ascii="Aptos" w:hAnsi="Aptos"/>
                <w:b/>
                <w:color w:val="1F614A"/>
                <w:sz w:val="17"/>
              </w:rPr>
              <w:t xml:space="preserve">PRODUCT PROMISE  </w:t>
            </w:r>
            <w:r>
              <w:rPr>
                <w:rFonts w:ascii="Aptos" w:hAnsi="Aptos"/>
                <w:b w:val="0"/>
                <w:color w:val="17211D"/>
                <w:sz w:val="18"/>
              </w:rPr>
              <w:t>Tell us what happened in everyday language; receive relevant programmes, an explainable eligibility result, cited evidence, and a practical action plan — with no AI model allowed to invent the decision.</w:t>
            </w:r>
          </w:p>
        </w:tc>
      </w:tr>
    </w:tbl>
    <w:p>
      <w:pPr>
        <w:spacing w:after="0"/>
      </w:pPr>
    </w:p>
    <w:p>
      <w:pPr>
        <w:pStyle w:val="Heading1"/>
      </w:pPr>
      <w:r>
        <w:t>What citizens can do</w:t>
      </w:r>
    </w:p>
    <w:p>
      <w:pPr>
        <w:pStyle w:val="ListBullet"/>
        <w:spacing w:after="50" w:line="252" w:lineRule="auto"/>
      </w:pPr>
      <w:r>
        <w:rPr>
          <w:rFonts w:ascii="Aptos" w:hAnsi="Aptos"/>
          <w:b/>
          <w:color w:val="17211D"/>
          <w:sz w:val="19"/>
        </w:rPr>
        <w:t xml:space="preserve">Discover and ask. </w:t>
      </w:r>
      <w:r>
        <w:rPr>
          <w:rFonts w:ascii="Aptos" w:hAnsi="Aptos"/>
          <w:b w:val="0"/>
          <w:color w:val="17211D"/>
          <w:sz w:val="19"/>
        </w:rPr>
        <w:t>Search, filter, browse by life event, or describe a need in Bangla, English, or Banglish through chat and voice.</w:t>
      </w:r>
    </w:p>
    <w:p>
      <w:pPr>
        <w:pStyle w:val="ListBullet"/>
        <w:spacing w:after="50" w:line="252" w:lineRule="auto"/>
      </w:pPr>
      <w:r>
        <w:rPr>
          <w:rFonts w:ascii="Aptos" w:hAnsi="Aptos"/>
          <w:b/>
          <w:color w:val="17211D"/>
          <w:sz w:val="19"/>
        </w:rPr>
        <w:t xml:space="preserve">Check eligibility. </w:t>
      </w:r>
      <w:r>
        <w:rPr>
          <w:rFonts w:ascii="Aptos" w:hAnsi="Aptos"/>
          <w:b w:val="0"/>
          <w:color w:val="17211D"/>
          <w:sz w:val="19"/>
        </w:rPr>
        <w:t>See eligible, partially eligible, not eligible, or unknown — including the exact conditions, missing information, and confidence level.</w:t>
      </w:r>
    </w:p>
    <w:p>
      <w:pPr>
        <w:pStyle w:val="ListBullet"/>
        <w:spacing w:after="50" w:line="252" w:lineRule="auto"/>
      </w:pPr>
      <w:r>
        <w:rPr>
          <w:rFonts w:ascii="Aptos" w:hAnsi="Aptos"/>
          <w:b/>
          <w:color w:val="17211D"/>
          <w:sz w:val="19"/>
        </w:rPr>
        <w:t xml:space="preserve">Act and track. </w:t>
      </w:r>
      <w:r>
        <w:rPr>
          <w:rFonts w:ascii="Aptos" w:hAnsi="Aptos"/>
          <w:b w:val="0"/>
          <w:color w:val="17211D"/>
          <w:sz w:val="19"/>
        </w:rPr>
        <w:t>Save programmes, build an action plan, check off documents and tasks, record applications, and follow a personal timeline.</w:t>
      </w:r>
    </w:p>
    <w:p>
      <w:pPr>
        <w:pStyle w:val="ListBullet"/>
        <w:spacing w:after="50" w:line="252" w:lineRule="auto"/>
      </w:pPr>
      <w:r>
        <w:rPr>
          <w:rFonts w:ascii="Aptos" w:hAnsi="Aptos"/>
          <w:b/>
          <w:color w:val="17211D"/>
          <w:sz w:val="19"/>
        </w:rPr>
        <w:t xml:space="preserve">Find real help nearby. </w:t>
      </w:r>
      <w:r>
        <w:rPr>
          <w:rFonts w:ascii="Aptos" w:hAnsi="Aptos"/>
          <w:b w:val="0"/>
          <w:color w:val="17211D"/>
          <w:sz w:val="19"/>
        </w:rPr>
        <w:t>Use an OpenStreetMap view and distance-ordered list for hospitals, police stations, courts, government offices, NGOs, and other service points.</w:t>
      </w:r>
    </w:p>
    <w:p>
      <w:pPr>
        <w:pStyle w:val="ListBullet"/>
        <w:spacing w:after="50" w:line="252" w:lineRule="auto"/>
      </w:pPr>
      <w:r>
        <w:rPr>
          <w:rFonts w:ascii="Aptos" w:hAnsi="Aptos"/>
          <w:b/>
          <w:color w:val="17211D"/>
          <w:sz w:val="19"/>
        </w:rPr>
        <w:t xml:space="preserve">Use the whole app by voice. </w:t>
      </w:r>
      <w:r>
        <w:rPr>
          <w:rFonts w:ascii="Aptos" w:hAnsi="Aptos"/>
          <w:b w:val="0"/>
          <w:color w:val="17211D"/>
          <w:sz w:val="19"/>
        </w:rPr>
        <w:t>Navigate, dictate, confirm consequential actions, and listen to key content. Server transcription supports Firefox and Bangla without browser speech recognition.</w:t>
      </w:r>
    </w:p>
    <w:p>
      <w:pPr>
        <w:pStyle w:val="Heading1"/>
      </w:pPr>
      <w:r>
        <w:t>End-to-end citizen journey</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872"/>
            <w:tcMar>
              <w:top w:w="90" w:type="dxa"/>
              <w:start w:w="120" w:type="dxa"/>
              <w:bottom w:w="90" w:type="dxa"/>
              <w:end w:w="120" w:type="dxa"/>
            </w:tcMar>
            <w:shd w:fill="DDEFE7"/>
            <w:vAlign w:val="center"/>
          </w:tcPr>
          <w:p>
            <w:pPr>
              <w:spacing w:after="20"/>
              <w:jc w:val="center"/>
            </w:pPr>
            <w:r>
              <w:rPr>
                <w:rFonts w:ascii="Aptos" w:hAnsi="Aptos"/>
                <w:b/>
                <w:color w:val="174B3A"/>
                <w:sz w:val="18"/>
              </w:rPr>
              <w:t>1</w:t>
            </w:r>
          </w:p>
          <w:p>
            <w:pPr>
              <w:spacing w:after="20"/>
              <w:jc w:val="center"/>
            </w:pPr>
            <w:r>
              <w:rPr>
                <w:rFonts w:ascii="Aptos" w:hAnsi="Aptos"/>
                <w:b/>
                <w:color w:val="174B3A"/>
                <w:sz w:val="18"/>
              </w:rPr>
              <w:t>Sign in</w:t>
            </w:r>
          </w:p>
          <w:p>
            <w:pPr>
              <w:spacing w:after="0"/>
              <w:jc w:val="center"/>
            </w:pPr>
            <w:r>
              <w:rPr>
                <w:rFonts w:ascii="Aptos" w:hAnsi="Aptos"/>
                <w:b w:val="0"/>
                <w:color w:val="53615B"/>
                <w:sz w:val="15"/>
              </w:rPr>
              <w:t>Phone + OTP + PIN</w:t>
            </w:r>
          </w:p>
        </w:tc>
        <w:tc>
          <w:tcPr>
            <w:tcW w:type="dxa" w:w="1872"/>
            <w:tcMar>
              <w:top w:w="90" w:type="dxa"/>
              <w:start w:w="120" w:type="dxa"/>
              <w:bottom w:w="90" w:type="dxa"/>
              <w:end w:w="120" w:type="dxa"/>
            </w:tcMar>
            <w:shd w:fill="DDEFE7"/>
            <w:vAlign w:val="center"/>
          </w:tcPr>
          <w:p>
            <w:pPr>
              <w:spacing w:after="20"/>
              <w:jc w:val="center"/>
            </w:pPr>
            <w:r>
              <w:rPr>
                <w:rFonts w:ascii="Aptos" w:hAnsi="Aptos"/>
                <w:b/>
                <w:color w:val="174B3A"/>
                <w:sz w:val="18"/>
              </w:rPr>
              <w:t>2</w:t>
            </w:r>
          </w:p>
          <w:p>
            <w:pPr>
              <w:spacing w:after="20"/>
              <w:jc w:val="center"/>
            </w:pPr>
            <w:r>
              <w:rPr>
                <w:rFonts w:ascii="Aptos" w:hAnsi="Aptos"/>
                <w:b/>
                <w:color w:val="174B3A"/>
                <w:sz w:val="18"/>
              </w:rPr>
              <w:t>Describe</w:t>
            </w:r>
          </w:p>
          <w:p>
            <w:pPr>
              <w:spacing w:after="0"/>
              <w:jc w:val="center"/>
            </w:pPr>
            <w:r>
              <w:rPr>
                <w:rFonts w:ascii="Aptos" w:hAnsi="Aptos"/>
                <w:b w:val="0"/>
                <w:color w:val="53615B"/>
                <w:sz w:val="15"/>
              </w:rPr>
              <w:t>Chat, search, or voice</w:t>
            </w:r>
          </w:p>
        </w:tc>
        <w:tc>
          <w:tcPr>
            <w:tcW w:type="dxa" w:w="1872"/>
            <w:tcMar>
              <w:top w:w="90" w:type="dxa"/>
              <w:start w:w="120" w:type="dxa"/>
              <w:bottom w:w="90" w:type="dxa"/>
              <w:end w:w="120" w:type="dxa"/>
            </w:tcMar>
            <w:shd w:fill="DDEFE7"/>
            <w:vAlign w:val="center"/>
          </w:tcPr>
          <w:p>
            <w:pPr>
              <w:spacing w:after="20"/>
              <w:jc w:val="center"/>
            </w:pPr>
            <w:r>
              <w:rPr>
                <w:rFonts w:ascii="Aptos" w:hAnsi="Aptos"/>
                <w:b/>
                <w:color w:val="174B3A"/>
                <w:sz w:val="18"/>
              </w:rPr>
              <w:t>3</w:t>
            </w:r>
          </w:p>
          <w:p>
            <w:pPr>
              <w:spacing w:after="20"/>
              <w:jc w:val="center"/>
            </w:pPr>
            <w:r>
              <w:rPr>
                <w:rFonts w:ascii="Aptos" w:hAnsi="Aptos"/>
                <w:b/>
                <w:color w:val="174B3A"/>
                <w:sz w:val="18"/>
              </w:rPr>
              <w:t>Decide</w:t>
            </w:r>
          </w:p>
          <w:p>
            <w:pPr>
              <w:spacing w:after="0"/>
              <w:jc w:val="center"/>
            </w:pPr>
            <w:r>
              <w:rPr>
                <w:rFonts w:ascii="Aptos" w:hAnsi="Aptos"/>
                <w:b w:val="0"/>
                <w:color w:val="53615B"/>
                <w:sz w:val="15"/>
              </w:rPr>
              <w:t>Rules + evidence</w:t>
            </w:r>
          </w:p>
        </w:tc>
        <w:tc>
          <w:tcPr>
            <w:tcW w:type="dxa" w:w="1872"/>
            <w:tcMar>
              <w:top w:w="90" w:type="dxa"/>
              <w:start w:w="120" w:type="dxa"/>
              <w:bottom w:w="90" w:type="dxa"/>
              <w:end w:w="120" w:type="dxa"/>
            </w:tcMar>
            <w:shd w:fill="DDEFE7"/>
            <w:vAlign w:val="center"/>
          </w:tcPr>
          <w:p>
            <w:pPr>
              <w:spacing w:after="20"/>
              <w:jc w:val="center"/>
            </w:pPr>
            <w:r>
              <w:rPr>
                <w:rFonts w:ascii="Aptos" w:hAnsi="Aptos"/>
                <w:b/>
                <w:color w:val="174B3A"/>
                <w:sz w:val="18"/>
              </w:rPr>
              <w:t>4</w:t>
            </w:r>
          </w:p>
          <w:p>
            <w:pPr>
              <w:spacing w:after="20"/>
              <w:jc w:val="center"/>
            </w:pPr>
            <w:r>
              <w:rPr>
                <w:rFonts w:ascii="Aptos" w:hAnsi="Aptos"/>
                <w:b/>
                <w:color w:val="174B3A"/>
                <w:sz w:val="18"/>
              </w:rPr>
              <w:t>Prepare</w:t>
            </w:r>
          </w:p>
          <w:p>
            <w:pPr>
              <w:spacing w:after="0"/>
              <w:jc w:val="center"/>
            </w:pPr>
            <w:r>
              <w:rPr>
                <w:rFonts w:ascii="Aptos" w:hAnsi="Aptos"/>
                <w:b w:val="0"/>
                <w:color w:val="53615B"/>
                <w:sz w:val="15"/>
              </w:rPr>
              <w:t>Documents + tasks</w:t>
            </w:r>
          </w:p>
        </w:tc>
        <w:tc>
          <w:tcPr>
            <w:tcW w:type="dxa" w:w="1872"/>
            <w:tcMar>
              <w:top w:w="90" w:type="dxa"/>
              <w:start w:w="120" w:type="dxa"/>
              <w:bottom w:w="90" w:type="dxa"/>
              <w:end w:w="120" w:type="dxa"/>
            </w:tcMar>
            <w:shd w:fill="DDEFE7"/>
            <w:vAlign w:val="center"/>
          </w:tcPr>
          <w:p>
            <w:pPr>
              <w:spacing w:after="20"/>
              <w:jc w:val="center"/>
            </w:pPr>
            <w:r>
              <w:rPr>
                <w:rFonts w:ascii="Aptos" w:hAnsi="Aptos"/>
                <w:b/>
                <w:color w:val="174B3A"/>
                <w:sz w:val="18"/>
              </w:rPr>
              <w:t>5</w:t>
            </w:r>
          </w:p>
          <w:p>
            <w:pPr>
              <w:spacing w:after="20"/>
              <w:jc w:val="center"/>
            </w:pPr>
            <w:r>
              <w:rPr>
                <w:rFonts w:ascii="Aptos" w:hAnsi="Aptos"/>
                <w:b/>
                <w:color w:val="174B3A"/>
                <w:sz w:val="18"/>
              </w:rPr>
              <w:t>Follow</w:t>
            </w:r>
          </w:p>
          <w:p>
            <w:pPr>
              <w:spacing w:after="0"/>
              <w:jc w:val="center"/>
            </w:pPr>
            <w:r>
              <w:rPr>
                <w:rFonts w:ascii="Aptos" w:hAnsi="Aptos"/>
                <w:b w:val="0"/>
                <w:color w:val="53615B"/>
                <w:sz w:val="15"/>
              </w:rPr>
              <w:t>Timeline + alerts</w:t>
            </w:r>
          </w:p>
        </w:tc>
      </w:tr>
    </w:tbl>
    <w:p>
      <w:pPr>
        <w:pStyle w:val="Heading1"/>
      </w:pPr>
      <w:r>
        <w:t>Operating roles</w:t>
      </w:r>
    </w:p>
    <w:p>
      <w:pPr>
        <w:pStyle w:val="ListBullet"/>
        <w:spacing w:after="50" w:line="252" w:lineRule="auto"/>
      </w:pPr>
      <w:r>
        <w:rPr>
          <w:rFonts w:ascii="Aptos" w:hAnsi="Aptos"/>
          <w:b/>
          <w:color w:val="17211D"/>
          <w:sz w:val="19"/>
        </w:rPr>
        <w:t xml:space="preserve">Citizen. </w:t>
      </w:r>
      <w:r>
        <w:rPr>
          <w:rFonts w:ascii="Aptos" w:hAnsi="Aptos"/>
          <w:b w:val="0"/>
          <w:color w:val="17211D"/>
          <w:sz w:val="19"/>
        </w:rPr>
        <w:t>Owns profile, consent, saved programmes, action plans, applications, feedback, notifications, and accessibility settings.</w:t>
      </w:r>
    </w:p>
    <w:p>
      <w:pPr>
        <w:pStyle w:val="ListBullet"/>
        <w:spacing w:after="50" w:line="252" w:lineRule="auto"/>
      </w:pPr>
      <w:r>
        <w:rPr>
          <w:rFonts w:ascii="Aptos" w:hAnsi="Aptos"/>
          <w:b/>
          <w:color w:val="17211D"/>
          <w:sz w:val="19"/>
        </w:rPr>
        <w:t xml:space="preserve">Moderator. </w:t>
      </w:r>
      <w:r>
        <w:rPr>
          <w:rFonts w:ascii="Aptos" w:hAnsi="Aptos"/>
          <w:b w:val="0"/>
          <w:color w:val="17211D"/>
          <w:sz w:val="19"/>
        </w:rPr>
        <w:t>Authors programmes and organisations, publishes versioned rules, triages feedback, and reviews system health.</w:t>
      </w:r>
    </w:p>
    <w:p>
      <w:pPr>
        <w:pStyle w:val="ListBullet"/>
        <w:spacing w:after="50" w:line="252" w:lineRule="auto"/>
      </w:pPr>
      <w:r>
        <w:rPr>
          <w:rFonts w:ascii="Aptos" w:hAnsi="Aptos"/>
          <w:b/>
          <w:color w:val="17211D"/>
          <w:sz w:val="19"/>
        </w:rPr>
        <w:t xml:space="preserve">Administrator. </w:t>
      </w:r>
      <w:r>
        <w:rPr>
          <w:rFonts w:ascii="Aptos" w:hAnsi="Aptos"/>
          <w:b w:val="0"/>
          <w:color w:val="17211D"/>
          <w:sz w:val="19"/>
        </w:rPr>
        <w:t>Verifies records, approves knowledge changes, manages roles and suspensions, archives programmes, and runs operations jobs.</w:t>
      </w:r>
    </w:p>
    <w:p>
      <w:r>
        <w:br w:type="page"/>
      </w:r>
    </w:p>
    <w:p>
      <w:pPr>
        <w:pStyle w:val="Title"/>
        <w:spacing w:after="80"/>
      </w:pPr>
      <w:r>
        <w:t>How the system works</w:t>
      </w:r>
    </w:p>
    <w:p>
      <w:pPr>
        <w:pStyle w:val="Subtitle"/>
      </w:pPr>
      <w:r>
        <w:t>A modular monolith with clean boundaries: one deployable Next.js application today, with services and repositories that can move behind dedicated APIs later.</w:t>
      </w:r>
    </w:p>
    <w:tbl>
      <w:tblPr>
        <w:tblStyle w:val="TableGrid"/>
        <w:tblW w:type="dxa" w:w="9360"/>
        <w:jc w:val="left"/>
        <w:tblLayout w:type="fixed"/>
        <w:tblLook w:firstColumn="1" w:firstRow="1" w:lastColumn="0" w:lastRow="0" w:noHBand="0" w:noVBand="1" w:val="04A0"/>
        <w:tblInd w:w="120" w:type="dxa"/>
      </w:tblPr>
      <w:tblGrid>
        <w:gridCol w:w="1900"/>
        <w:gridCol w:w="3100"/>
        <w:gridCol w:w="4360"/>
      </w:tblGrid>
      <w:tr>
        <w:trPr>
          <w:tblHeader w:val="true"/>
        </w:trPr>
        <w:tc>
          <w:tcPr>
            <w:tcW w:type="dxa" w:w="1900"/>
            <w:tcMar>
              <w:top w:w="90" w:type="dxa"/>
              <w:start w:w="120" w:type="dxa"/>
              <w:bottom w:w="90" w:type="dxa"/>
              <w:end w:w="120" w:type="dxa"/>
            </w:tcMar>
            <w:shd w:fill="174B3A"/>
            <w:vAlign w:val="center"/>
          </w:tcPr>
          <w:p>
            <w:pPr>
              <w:spacing w:after="0"/>
            </w:pPr>
            <w:r>
              <w:rPr>
                <w:rFonts w:ascii="Aptos" w:hAnsi="Aptos"/>
                <w:b/>
                <w:color w:val="FFFFFF"/>
                <w:sz w:val="17"/>
              </w:rPr>
              <w:t>Layer</w:t>
            </w:r>
          </w:p>
        </w:tc>
        <w:tc>
          <w:tcPr>
            <w:tcW w:type="dxa" w:w="3100"/>
            <w:tcMar>
              <w:top w:w="90" w:type="dxa"/>
              <w:start w:w="120" w:type="dxa"/>
              <w:bottom w:w="90" w:type="dxa"/>
              <w:end w:w="120" w:type="dxa"/>
            </w:tcMar>
            <w:shd w:fill="174B3A"/>
            <w:vAlign w:val="center"/>
          </w:tcPr>
          <w:p>
            <w:pPr>
              <w:spacing w:after="0"/>
            </w:pPr>
            <w:r>
              <w:rPr>
                <w:rFonts w:ascii="Aptos" w:hAnsi="Aptos"/>
                <w:b/>
                <w:color w:val="FFFFFF"/>
                <w:sz w:val="17"/>
              </w:rPr>
              <w:t>Technology</w:t>
            </w:r>
          </w:p>
        </w:tc>
        <w:tc>
          <w:tcPr>
            <w:tcW w:type="dxa" w:w="4360"/>
            <w:tcMar>
              <w:top w:w="90" w:type="dxa"/>
              <w:start w:w="120" w:type="dxa"/>
              <w:bottom w:w="90" w:type="dxa"/>
              <w:end w:w="120" w:type="dxa"/>
            </w:tcMar>
            <w:shd w:fill="174B3A"/>
            <w:vAlign w:val="center"/>
          </w:tcPr>
          <w:p>
            <w:pPr>
              <w:spacing w:after="0"/>
            </w:pPr>
            <w:r>
              <w:rPr>
                <w:rFonts w:ascii="Aptos" w:hAnsi="Aptos"/>
                <w:b/>
                <w:color w:val="FFFFFF"/>
                <w:sz w:val="17"/>
              </w:rPr>
              <w:t>Responsibility</w:t>
            </w:r>
          </w:p>
        </w:tc>
      </w:tr>
      <w:tr>
        <w:tc>
          <w:tcPr>
            <w:tcW w:type="dxa" w:w="1900"/>
            <w:vAlign w:val="center"/>
            <w:tcMar>
              <w:top w:w="90" w:type="dxa"/>
              <w:start w:w="120" w:type="dxa"/>
              <w:bottom w:w="90" w:type="dxa"/>
              <w:end w:w="120" w:type="dxa"/>
            </w:tcMar>
          </w:tcPr>
          <w:p>
            <w:pPr>
              <w:spacing w:after="0"/>
            </w:pPr>
            <w:r>
              <w:rPr>
                <w:rFonts w:ascii="Aptos" w:hAnsi="Aptos"/>
                <w:b/>
                <w:color w:val="17211D"/>
                <w:sz w:val="16"/>
              </w:rPr>
              <w:t>Experience</w:t>
            </w:r>
          </w:p>
        </w:tc>
        <w:tc>
          <w:tcPr>
            <w:tcW w:type="dxa" w:w="3100"/>
            <w:vAlign w:val="center"/>
            <w:tcMar>
              <w:top w:w="90" w:type="dxa"/>
              <w:start w:w="120" w:type="dxa"/>
              <w:bottom w:w="90" w:type="dxa"/>
              <w:end w:w="120" w:type="dxa"/>
            </w:tcMar>
          </w:tcPr>
          <w:p>
            <w:pPr>
              <w:spacing w:after="0"/>
            </w:pPr>
            <w:r>
              <w:rPr>
                <w:rFonts w:ascii="Aptos" w:hAnsi="Aptos"/>
                <w:b w:val="0"/>
                <w:color w:val="17211D"/>
                <w:sz w:val="16"/>
              </w:rPr>
              <w:t>Next.js 15, React 19, next-intl</w:t>
            </w:r>
          </w:p>
        </w:tc>
        <w:tc>
          <w:tcPr>
            <w:tcW w:type="dxa" w:w="4360"/>
            <w:vAlign w:val="center"/>
            <w:tcMar>
              <w:top w:w="90" w:type="dxa"/>
              <w:start w:w="120" w:type="dxa"/>
              <w:bottom w:w="90" w:type="dxa"/>
              <w:end w:w="120" w:type="dxa"/>
            </w:tcMar>
          </w:tcPr>
          <w:p>
            <w:pPr>
              <w:spacing w:after="0"/>
            </w:pPr>
            <w:r>
              <w:rPr>
                <w:rFonts w:ascii="Aptos" w:hAnsi="Aptos"/>
                <w:b w:val="0"/>
                <w:color w:val="17211D"/>
                <w:sz w:val="16"/>
              </w:rPr>
              <w:t>Responsive citizen and staff interfaces; bn-BD default with full en-BD parity.</w:t>
            </w:r>
          </w:p>
        </w:tc>
      </w:tr>
      <w:tr>
        <w:tc>
          <w:tcPr>
            <w:tcW w:type="dxa" w:w="1900"/>
            <w:vAlign w:val="center"/>
            <w:shd w:fill="F3F9F6"/>
            <w:tcMar>
              <w:top w:w="90" w:type="dxa"/>
              <w:start w:w="120" w:type="dxa"/>
              <w:bottom w:w="90" w:type="dxa"/>
              <w:end w:w="120" w:type="dxa"/>
            </w:tcMar>
          </w:tcPr>
          <w:p>
            <w:pPr>
              <w:spacing w:after="0"/>
            </w:pPr>
            <w:r>
              <w:rPr>
                <w:rFonts w:ascii="Aptos" w:hAnsi="Aptos"/>
                <w:b/>
                <w:color w:val="17211D"/>
                <w:sz w:val="16"/>
              </w:rPr>
              <w:t>Application</w:t>
            </w:r>
          </w:p>
        </w:tc>
        <w:tc>
          <w:tcPr>
            <w:tcW w:type="dxa" w:w="3100"/>
            <w:vAlign w:val="center"/>
            <w:shd w:fill="F3F9F6"/>
            <w:tcMar>
              <w:top w:w="90" w:type="dxa"/>
              <w:start w:w="120" w:type="dxa"/>
              <w:bottom w:w="90" w:type="dxa"/>
              <w:end w:w="120" w:type="dxa"/>
            </w:tcMar>
          </w:tcPr>
          <w:p>
            <w:pPr>
              <w:spacing w:after="0"/>
            </w:pPr>
            <w:r>
              <w:rPr>
                <w:rFonts w:ascii="Aptos" w:hAnsi="Aptos"/>
                <w:b w:val="0"/>
                <w:color w:val="17211D"/>
                <w:sz w:val="16"/>
              </w:rPr>
              <w:t>Route Handlers + typed services</w:t>
            </w:r>
          </w:p>
        </w:tc>
        <w:tc>
          <w:tcPr>
            <w:tcW w:type="dxa" w:w="4360"/>
            <w:vAlign w:val="center"/>
            <w:shd w:fill="F3F9F6"/>
            <w:tcMar>
              <w:top w:w="90" w:type="dxa"/>
              <w:start w:w="120" w:type="dxa"/>
              <w:bottom w:w="90" w:type="dxa"/>
              <w:end w:w="120" w:type="dxa"/>
            </w:tcMar>
          </w:tcPr>
          <w:p>
            <w:pPr>
              <w:spacing w:after="0"/>
            </w:pPr>
            <w:r>
              <w:rPr>
                <w:rFonts w:ascii="Aptos" w:hAnsi="Aptos"/>
                <w:b w:val="0"/>
                <w:color w:val="17211D"/>
                <w:sz w:val="16"/>
              </w:rPr>
              <w:t>Authentication, profiles, chat, programmes, plans, notifications, moderation, jobs, maps, and voice.</w:t>
            </w:r>
          </w:p>
        </w:tc>
      </w:tr>
      <w:tr>
        <w:tc>
          <w:tcPr>
            <w:tcW w:type="dxa" w:w="1900"/>
            <w:vAlign w:val="center"/>
            <w:tcMar>
              <w:top w:w="90" w:type="dxa"/>
              <w:start w:w="120" w:type="dxa"/>
              <w:bottom w:w="90" w:type="dxa"/>
              <w:end w:w="120" w:type="dxa"/>
            </w:tcMar>
          </w:tcPr>
          <w:p>
            <w:pPr>
              <w:spacing w:after="0"/>
            </w:pPr>
            <w:r>
              <w:rPr>
                <w:rFonts w:ascii="Aptos" w:hAnsi="Aptos"/>
                <w:b/>
                <w:color w:val="17211D"/>
                <w:sz w:val="16"/>
              </w:rPr>
              <w:t>Decisioning</w:t>
            </w:r>
          </w:p>
        </w:tc>
        <w:tc>
          <w:tcPr>
            <w:tcW w:type="dxa" w:w="3100"/>
            <w:vAlign w:val="center"/>
            <w:tcMar>
              <w:top w:w="90" w:type="dxa"/>
              <w:start w:w="120" w:type="dxa"/>
              <w:bottom w:w="90" w:type="dxa"/>
              <w:end w:w="120" w:type="dxa"/>
            </w:tcMar>
          </w:tcPr>
          <w:p>
            <w:pPr>
              <w:spacing w:after="0"/>
            </w:pPr>
            <w:r>
              <w:rPr>
                <w:rFonts w:ascii="Aptos" w:hAnsi="Aptos"/>
                <w:b w:val="0"/>
                <w:color w:val="17211D"/>
                <w:sz w:val="16"/>
              </w:rPr>
              <w:t>Pure rule engine + ResponsePlan</w:t>
            </w:r>
          </w:p>
        </w:tc>
        <w:tc>
          <w:tcPr>
            <w:tcW w:type="dxa" w:w="4360"/>
            <w:vAlign w:val="center"/>
            <w:tcMar>
              <w:top w:w="90" w:type="dxa"/>
              <w:start w:w="120" w:type="dxa"/>
              <w:bottom w:w="90" w:type="dxa"/>
              <w:end w:w="120" w:type="dxa"/>
            </w:tcMar>
          </w:tcPr>
          <w:p>
            <w:pPr>
              <w:spacing w:after="0"/>
            </w:pPr>
            <w:r>
              <w:rPr>
                <w:rFonts w:ascii="Aptos" w:hAnsi="Aptos"/>
                <w:b w:val="0"/>
                <w:color w:val="17211D"/>
                <w:sz w:val="16"/>
              </w:rPr>
              <w:t>Three-valued eligibility; deterministic programmes, reasons, next steps, and citations before prose generation.</w:t>
            </w:r>
          </w:p>
        </w:tc>
      </w:tr>
      <w:tr>
        <w:tc>
          <w:tcPr>
            <w:tcW w:type="dxa" w:w="1900"/>
            <w:vAlign w:val="center"/>
            <w:shd w:fill="F3F9F6"/>
            <w:tcMar>
              <w:top w:w="90" w:type="dxa"/>
              <w:start w:w="120" w:type="dxa"/>
              <w:bottom w:w="90" w:type="dxa"/>
              <w:end w:w="120" w:type="dxa"/>
            </w:tcMar>
          </w:tcPr>
          <w:p>
            <w:pPr>
              <w:spacing w:after="0"/>
            </w:pPr>
            <w:r>
              <w:rPr>
                <w:rFonts w:ascii="Aptos" w:hAnsi="Aptos"/>
                <w:b/>
                <w:color w:val="17211D"/>
                <w:sz w:val="16"/>
              </w:rPr>
              <w:t>Knowledge</w:t>
            </w:r>
          </w:p>
        </w:tc>
        <w:tc>
          <w:tcPr>
            <w:tcW w:type="dxa" w:w="3100"/>
            <w:vAlign w:val="center"/>
            <w:shd w:fill="F3F9F6"/>
            <w:tcMar>
              <w:top w:w="90" w:type="dxa"/>
              <w:start w:w="120" w:type="dxa"/>
              <w:bottom w:w="90" w:type="dxa"/>
              <w:end w:w="120" w:type="dxa"/>
            </w:tcMar>
          </w:tcPr>
          <w:p>
            <w:pPr>
              <w:spacing w:after="0"/>
            </w:pPr>
            <w:r>
              <w:rPr>
                <w:rFonts w:ascii="Aptos" w:hAnsi="Aptos"/>
                <w:b w:val="0"/>
                <w:color w:val="17211D"/>
                <w:sz w:val="16"/>
              </w:rPr>
              <w:t>BM25 + optional embeddings</w:t>
            </w:r>
          </w:p>
        </w:tc>
        <w:tc>
          <w:tcPr>
            <w:tcW w:type="dxa" w:w="4360"/>
            <w:vAlign w:val="center"/>
            <w:shd w:fill="F3F9F6"/>
            <w:tcMar>
              <w:top w:w="90" w:type="dxa"/>
              <w:start w:w="120" w:type="dxa"/>
              <w:bottom w:w="90" w:type="dxa"/>
              <w:end w:w="120" w:type="dxa"/>
            </w:tcMar>
          </w:tcPr>
          <w:p>
            <w:pPr>
              <w:spacing w:after="0"/>
            </w:pPr>
            <w:r>
              <w:rPr>
                <w:rFonts w:ascii="Aptos" w:hAnsi="Aptos"/>
                <w:b w:val="0"/>
                <w:color w:val="17211D"/>
                <w:sz w:val="16"/>
              </w:rPr>
              <w:t>Metadata filtering, hybrid retrieval, provenance, versioning, verification, stale-link review, and grounding checks.</w:t>
            </w:r>
          </w:p>
        </w:tc>
      </w:tr>
      <w:tr>
        <w:tc>
          <w:tcPr>
            <w:tcW w:type="dxa" w:w="1900"/>
            <w:vAlign w:val="center"/>
            <w:tcMar>
              <w:top w:w="90" w:type="dxa"/>
              <w:start w:w="120" w:type="dxa"/>
              <w:bottom w:w="90" w:type="dxa"/>
              <w:end w:w="120" w:type="dxa"/>
            </w:tcMar>
          </w:tcPr>
          <w:p>
            <w:pPr>
              <w:spacing w:after="0"/>
            </w:pPr>
            <w:r>
              <w:rPr>
                <w:rFonts w:ascii="Aptos" w:hAnsi="Aptos"/>
                <w:b/>
                <w:color w:val="17211D"/>
                <w:sz w:val="16"/>
              </w:rPr>
              <w:t>Data</w:t>
            </w:r>
          </w:p>
        </w:tc>
        <w:tc>
          <w:tcPr>
            <w:tcW w:type="dxa" w:w="3100"/>
            <w:vAlign w:val="center"/>
            <w:tcMar>
              <w:top w:w="90" w:type="dxa"/>
              <w:start w:w="120" w:type="dxa"/>
              <w:bottom w:w="90" w:type="dxa"/>
              <w:end w:w="120" w:type="dxa"/>
            </w:tcMar>
          </w:tcPr>
          <w:p>
            <w:pPr>
              <w:spacing w:after="0"/>
            </w:pPr>
            <w:r>
              <w:rPr>
                <w:rFonts w:ascii="Aptos" w:hAnsi="Aptos"/>
                <w:b w:val="0"/>
                <w:color w:val="17211D"/>
                <w:sz w:val="16"/>
              </w:rPr>
              <w:t>Drizzle ORM + SQLite/libSQL</w:t>
            </w:r>
          </w:p>
        </w:tc>
        <w:tc>
          <w:tcPr>
            <w:tcW w:type="dxa" w:w="4360"/>
            <w:vAlign w:val="center"/>
            <w:tcMar>
              <w:top w:w="90" w:type="dxa"/>
              <w:start w:w="120" w:type="dxa"/>
              <w:bottom w:w="90" w:type="dxa"/>
              <w:end w:w="120" w:type="dxa"/>
            </w:tcMar>
          </w:tcPr>
          <w:p>
            <w:pPr>
              <w:spacing w:after="0"/>
            </w:pPr>
            <w:r>
              <w:rPr>
                <w:rFonts w:ascii="Aptos" w:hAnsi="Aptos"/>
                <w:b w:val="0"/>
                <w:color w:val="17211D"/>
                <w:sz w:val="16"/>
              </w:rPr>
              <w:t>Thirty-plus relational tables; replayable decisions store profile snapshots and rule versions.</w:t>
            </w:r>
          </w:p>
        </w:tc>
      </w:tr>
      <w:tr>
        <w:tc>
          <w:tcPr>
            <w:tcW w:type="dxa" w:w="1900"/>
            <w:vAlign w:val="center"/>
            <w:shd w:fill="F3F9F6"/>
            <w:tcMar>
              <w:top w:w="90" w:type="dxa"/>
              <w:start w:w="120" w:type="dxa"/>
              <w:bottom w:w="90" w:type="dxa"/>
              <w:end w:w="120" w:type="dxa"/>
            </w:tcMar>
          </w:tcPr>
          <w:p>
            <w:pPr>
              <w:spacing w:after="0"/>
            </w:pPr>
            <w:r>
              <w:rPr>
                <w:rFonts w:ascii="Aptos" w:hAnsi="Aptos"/>
                <w:b/>
                <w:color w:val="17211D"/>
                <w:sz w:val="16"/>
              </w:rPr>
              <w:t>Integrations</w:t>
            </w:r>
          </w:p>
        </w:tc>
        <w:tc>
          <w:tcPr>
            <w:tcW w:type="dxa" w:w="3100"/>
            <w:vAlign w:val="center"/>
            <w:shd w:fill="F3F9F6"/>
            <w:tcMar>
              <w:top w:w="90" w:type="dxa"/>
              <w:start w:w="120" w:type="dxa"/>
              <w:bottom w:w="90" w:type="dxa"/>
              <w:end w:w="120" w:type="dxa"/>
            </w:tcMar>
          </w:tcPr>
          <w:p>
            <w:pPr>
              <w:spacing w:after="0"/>
            </w:pPr>
            <w:r>
              <w:rPr>
                <w:rFonts w:ascii="Aptos" w:hAnsi="Aptos"/>
                <w:b w:val="0"/>
                <w:color w:val="17211D"/>
                <w:sz w:val="16"/>
              </w:rPr>
              <w:t>Provider adapters</w:t>
            </w:r>
          </w:p>
        </w:tc>
        <w:tc>
          <w:tcPr>
            <w:tcW w:type="dxa" w:w="4360"/>
            <w:vAlign w:val="center"/>
            <w:shd w:fill="F3F9F6"/>
            <w:tcMar>
              <w:top w:w="90" w:type="dxa"/>
              <w:start w:w="120" w:type="dxa"/>
              <w:bottom w:w="90" w:type="dxa"/>
              <w:end w:w="120" w:type="dxa"/>
            </w:tcMar>
          </w:tcPr>
          <w:p>
            <w:pPr>
              <w:spacing w:after="0"/>
            </w:pPr>
            <w:r>
              <w:rPr>
                <w:rFonts w:ascii="Aptos" w:hAnsi="Aptos"/>
                <w:b w:val="0"/>
                <w:color w:val="17211D"/>
                <w:sz w:val="16"/>
              </w:rPr>
              <w:t>DeepSeek/OpenAI/Anthropic, Groq or self-hosted Whisper, TTS, SMS, SMTP, object storage, and OpenStreetMap.</w:t>
            </w:r>
          </w:p>
        </w:tc>
      </w:tr>
    </w:tbl>
    <w:p>
      <w:pPr>
        <w:pStyle w:val="Heading1"/>
      </w:pPr>
      <w:r>
        <w:t>Trust, safety, and accessibility</w:t>
      </w:r>
    </w:p>
    <w:p>
      <w:pPr>
        <w:pStyle w:val="ListBullet"/>
        <w:spacing w:after="50" w:line="252" w:lineRule="auto"/>
      </w:pPr>
      <w:r>
        <w:rPr>
          <w:rFonts w:ascii="Aptos" w:hAnsi="Aptos"/>
          <w:b/>
          <w:color w:val="17211D"/>
          <w:sz w:val="19"/>
        </w:rPr>
        <w:t xml:space="preserve">Explainability by construction. </w:t>
      </w:r>
      <w:r>
        <w:rPr>
          <w:rFonts w:ascii="Aptos" w:hAnsi="Aptos"/>
          <w:b w:val="0"/>
          <w:color w:val="17211D"/>
          <w:sz w:val="19"/>
        </w:rPr>
        <w:t>The LLM may render fluent prose but cannot select a programme, change a rule outcome, or create a citation.</w:t>
      </w:r>
    </w:p>
    <w:p>
      <w:pPr>
        <w:pStyle w:val="ListBullet"/>
        <w:spacing w:after="50" w:line="252" w:lineRule="auto"/>
      </w:pPr>
      <w:r>
        <w:rPr>
          <w:rFonts w:ascii="Aptos" w:hAnsi="Aptos"/>
          <w:b/>
          <w:color w:val="17211D"/>
          <w:sz w:val="19"/>
        </w:rPr>
        <w:t xml:space="preserve">Unknown is not denial. </w:t>
      </w:r>
      <w:r>
        <w:rPr>
          <w:rFonts w:ascii="Aptos" w:hAnsi="Aptos"/>
          <w:b w:val="0"/>
          <w:color w:val="17211D"/>
          <w:sz w:val="19"/>
        </w:rPr>
        <w:t>Missing required information produces an explicit unknown result and a follow-up question instead of a guessed rejection.</w:t>
      </w:r>
    </w:p>
    <w:p>
      <w:pPr>
        <w:pStyle w:val="ListBullet"/>
        <w:spacing w:after="50" w:line="252" w:lineRule="auto"/>
      </w:pPr>
      <w:r>
        <w:rPr>
          <w:rFonts w:ascii="Aptos" w:hAnsi="Aptos"/>
          <w:b/>
          <w:color w:val="17211D"/>
          <w:sz w:val="19"/>
        </w:rPr>
        <w:t xml:space="preserve">Honest confidence. </w:t>
      </w:r>
      <w:r>
        <w:rPr>
          <w:rFonts w:ascii="Aptos" w:hAnsi="Aptos"/>
          <w:b w:val="0"/>
          <w:color w:val="17211D"/>
          <w:sz w:val="19"/>
        </w:rPr>
        <w:t>Unverified sample records are visibly labelled and capped at 65%; verification raises trust without changing the eligibility rules.</w:t>
      </w:r>
    </w:p>
    <w:p>
      <w:pPr>
        <w:pStyle w:val="ListBullet"/>
        <w:spacing w:after="50" w:line="252" w:lineRule="auto"/>
      </w:pPr>
      <w:r>
        <w:rPr>
          <w:rFonts w:ascii="Aptos" w:hAnsi="Aptos"/>
          <w:b/>
          <w:color w:val="17211D"/>
          <w:sz w:val="19"/>
        </w:rPr>
        <w:t xml:space="preserve">Security controls. </w:t>
      </w:r>
      <w:r>
        <w:rPr>
          <w:rFonts w:ascii="Aptos" w:hAnsi="Aptos"/>
          <w:b w:val="0"/>
          <w:color w:val="17211D"/>
          <w:sz w:val="19"/>
        </w:rPr>
        <w:t>Rotating refresh tokens, reuse detection with race tolerance, rank-based authorization, rate limits, audit trails, Zod validation, and production boot safety checks.</w:t>
      </w:r>
    </w:p>
    <w:p>
      <w:pPr>
        <w:pStyle w:val="ListBullet"/>
        <w:spacing w:after="50" w:line="252" w:lineRule="auto"/>
      </w:pPr>
      <w:r>
        <w:rPr>
          <w:rFonts w:ascii="Aptos" w:hAnsi="Aptos"/>
          <w:b/>
          <w:color w:val="17211D"/>
          <w:sz w:val="19"/>
        </w:rPr>
        <w:t xml:space="preserve">Inclusive interaction. </w:t>
      </w:r>
      <w:r>
        <w:rPr>
          <w:rFonts w:ascii="Aptos" w:hAnsi="Aptos"/>
          <w:b w:val="0"/>
          <w:color w:val="17211D"/>
          <w:sz w:val="19"/>
        </w:rPr>
        <w:t>WCAG 2.2 AA baseline, high-contrast themes, Bangla typography rules, screen-reader semantics, keyboard support, voice confirmation, and readable loading/error/empty states.</w:t>
      </w:r>
    </w:p>
    <w:p>
      <w:pPr>
        <w:pStyle w:val="Heading1"/>
      </w:pPr>
      <w:r>
        <w:t>Deployment and operating model</w:t>
      </w:r>
    </w:p>
    <w:p>
      <w:r>
        <w:rPr>
          <w:rFonts w:ascii="Aptos" w:hAnsi="Aptos"/>
          <w:b/>
          <w:color w:val="17211D"/>
          <w:sz w:val="19"/>
        </w:rPr>
        <w:t xml:space="preserve">Prototype setup: </w:t>
      </w:r>
      <w:r>
        <w:rPr>
          <w:rFonts w:ascii="Aptos" w:hAnsi="Aptos"/>
          <w:b w:val="0"/>
          <w:color w:val="17211D"/>
          <w:sz w:val="19"/>
        </w:rPr>
        <w:t>clone, install, copy .env.example to .env.local, migrate and seed the database, then run the development server. SQLite and simulated AI make the core journey work without paid infrastructure. Add provider keys only for live prose, server speech, SMS, email, or production hosting.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shd w:fill="F3F9F6"/>
          </w:tcPr>
          <w:p>
            <w:pPr>
              <w:spacing w:after="0"/>
            </w:pPr>
            <w:r>
              <w:rPr>
                <w:rFonts w:ascii="Aptos" w:hAnsi="Aptos"/>
                <w:b/>
                <w:color w:val="1F614A"/>
                <w:sz w:val="17"/>
              </w:rPr>
              <w:t xml:space="preserve">WHAT IS REAL TODAY  </w:t>
            </w:r>
            <w:r>
              <w:rPr>
                <w:rFonts w:ascii="Aptos" w:hAnsi="Aptos"/>
                <w:b w:val="0"/>
                <w:color w:val="17211D"/>
                <w:sz w:val="18"/>
              </w:rPr>
              <w:t>The complete product flow, deterministic eligibility, authorization, administration, auditability, bilingual UX, voice command layer, and OpenStreetMap integration are implemented. The seed corpus contains 42 representative programmes and must not be presented as verified government advice.</w:t>
            </w:r>
          </w:p>
        </w:tc>
      </w:tr>
    </w:tbl>
    <w:p>
      <w:pPr>
        <w:spacing w:after="0"/>
      </w:pPr>
    </w:p>
    <w:p>
      <w:pPr>
        <w:pStyle w:val="Heading1"/>
      </w:pPr>
      <w:r>
        <w:t>Production gaps and next decisions</w:t>
      </w:r>
    </w:p>
    <w:p>
      <w:pPr>
        <w:pStyle w:val="ListBullet"/>
        <w:spacing w:after="50" w:line="252" w:lineRule="auto"/>
      </w:pPr>
      <w:r>
        <w:rPr>
          <w:rFonts w:ascii="Aptos" w:hAnsi="Aptos"/>
          <w:b/>
          <w:color w:val="17211D"/>
          <w:sz w:val="19"/>
        </w:rPr>
        <w:t xml:space="preserve">Verified content operations. </w:t>
      </w:r>
      <w:r>
        <w:rPr>
          <w:rFonts w:ascii="Aptos" w:hAnsi="Aptos"/>
          <w:b w:val="0"/>
          <w:color w:val="17211D"/>
          <w:sz w:val="19"/>
        </w:rPr>
        <w:t>Replace or formally verify the sample corpus, name accountable reviewers, and define refresh SLAs before public release.</w:t>
      </w:r>
    </w:p>
    <w:p>
      <w:pPr>
        <w:pStyle w:val="ListBullet"/>
        <w:spacing w:after="50" w:line="252" w:lineRule="auto"/>
      </w:pPr>
      <w:r>
        <w:rPr>
          <w:rFonts w:ascii="Aptos" w:hAnsi="Aptos"/>
          <w:b/>
          <w:color w:val="17211D"/>
          <w:sz w:val="19"/>
        </w:rPr>
        <w:t xml:space="preserve">Infrastructure scale-up. </w:t>
      </w:r>
      <w:r>
        <w:rPr>
          <w:rFonts w:ascii="Aptos" w:hAnsi="Aptos"/>
          <w:b w:val="0"/>
          <w:color w:val="17211D"/>
          <w:sz w:val="19"/>
        </w:rPr>
        <w:t>Move to managed PostgreSQL, Redis-backed rate limits/queues, durable object storage, monitoring, backups, and a deployment-grade map/Overpass provider.</w:t>
      </w:r>
    </w:p>
    <w:p>
      <w:pPr>
        <w:pStyle w:val="ListBullet"/>
        <w:spacing w:after="50" w:line="252" w:lineRule="auto"/>
      </w:pPr>
      <w:r>
        <w:rPr>
          <w:rFonts w:ascii="Aptos" w:hAnsi="Aptos"/>
          <w:b/>
          <w:color w:val="17211D"/>
          <w:sz w:val="19"/>
        </w:rPr>
        <w:t xml:space="preserve">External delivery. </w:t>
      </w:r>
      <w:r>
        <w:rPr>
          <w:rFonts w:ascii="Aptos" w:hAnsi="Aptos"/>
          <w:b w:val="0"/>
          <w:color w:val="17211D"/>
          <w:sz w:val="19"/>
        </w:rPr>
        <w:t>Select compliant Bangladeshi SMS/voice providers, configure SMTP, and decide audio/text retention and data-residency policy.</w:t>
      </w:r>
    </w:p>
    <w:p>
      <w:pPr>
        <w:pStyle w:val="ListBullet"/>
        <w:spacing w:after="50" w:line="252" w:lineRule="auto"/>
      </w:pPr>
      <w:r>
        <w:rPr>
          <w:rFonts w:ascii="Aptos" w:hAnsi="Aptos"/>
          <w:b/>
          <w:color w:val="17211D"/>
          <w:sz w:val="19"/>
        </w:rPr>
        <w:t xml:space="preserve">Assurance. </w:t>
      </w:r>
      <w:r>
        <w:rPr>
          <w:rFonts w:ascii="Aptos" w:hAnsi="Aptos"/>
          <w:b w:val="0"/>
          <w:color w:val="17211D"/>
          <w:sz w:val="19"/>
        </w:rPr>
        <w:t>Add API integration tests, browser end-to-end tests on low-end devices and 2G, security review, load testing, and usability validation with Bangla-speaking citizens.</w:t>
      </w:r>
    </w:p>
    <w:sectPr w:rsidR="00FC693F" w:rsidRPr="0006063C" w:rsidSect="00034616">
      <w:headerReference w:type="default" r:id="rId9"/>
      <w:footerReference w:type="default" r:id="rId10"/>
      <w:pgSz w:w="12240" w:h="15840"/>
      <w:pgMar w:top="936" w:right="1123" w:bottom="893"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b w:val="0"/>
        <w:color w:val="53615B"/>
        <w:sz w:val="16"/>
      </w:rPr>
      <w:t xml:space="preserve">Production-grade prototype  |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1F614A"/>
        <w:sz w:val="16"/>
      </w:rPr>
      <w:t>ACCESSAI  /  SYSTEM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1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614A"/>
      <w:sz w:val="31"/>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1F61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Aptos Display" w:hAnsi="Aptos Display"/>
      <w:b/>
      <w:color w:val="174B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ptos" w:hAnsi="Aptos"/>
      <w:i/>
      <w:iCs/>
      <w:color w:val="53615B"/>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461" w:hanging="23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AccessAI System Overview</dc:title>
  <dc:subject>Two-page overview of the AccessAI product, architecture, controls, and operating model</dc:subject>
  <dc:creator>AccessAI</dc:creator>
  <cp:keywords>AccessAI, Bangladesh, public services, eligibility, voice, OpenStreetMap</cp:keywords>
  <dc:description>generated by python-docx</dc:description>
  <cp:lastModifiedBy/>
  <cp:revision>1</cp:revision>
  <dcterms:created xsi:type="dcterms:W3CDTF">2013-12-23T23:15:00Z</dcterms:created>
  <dcterms:modified xsi:type="dcterms:W3CDTF">2013-12-23T23:15:00Z</dcterms:modified>
  <cp:category/>
</cp:coreProperties>
</file>