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Calibri" w:cs="Calibri" w:eastAsia="Calibri" w:hAnsi="Calibri"/>
          <w:b/>
          <w:bCs/>
          <w:color w:val="1F3864"/>
          <w:sz w:val="64"/>
          <w:szCs w:val="64"/>
        </w:rPr>
        <w:t xml:space="preserve">REMMINEXT</w:t>
      </w:r>
    </w:p>
    <w:p>
      <w:pPr>
        <w:spacing w:after="600"/>
        <w:jc w:val="center"/>
      </w:pPr>
      <w:r>
        <w:rPr>
          <w:rFonts w:ascii="Calibri" w:cs="Calibri" w:eastAsia="Calibri" w:hAnsi="Calibri"/>
          <w:i/>
          <w:iCs/>
          <w:color w:val="0F6B72"/>
          <w:sz w:val="26"/>
          <w:szCs w:val="26"/>
        </w:rPr>
        <w:t xml:space="preserve">Malaysia → Bangladesh Remittance &amp; Financial Consolidation Platform</w:t>
      </w:r>
    </w:p>
    <w:p>
      <w:pPr>
        <w:pBdr>
          <w:top w:val="single" w:color="1F3864" w:sz="8" w:space="12"/>
          <w:bottom w:val="single" w:color="1F3864" w:sz="8" w:space="12"/>
        </w:pBdr>
        <w:spacing w:after="120"/>
        <w:jc w:val="center"/>
      </w:pPr>
      <w:r>
        <w:rPr>
          <w:rFonts w:ascii="Calibri" w:cs="Calibri" w:eastAsia="Calibri" w:hAnsi="Calibri"/>
          <w:b/>
          <w:bCs/>
          <w:color w:val="222222"/>
          <w:sz w:val="32"/>
          <w:szCs w:val="32"/>
        </w:rPr>
        <w:t xml:space="preserve">BUSINESS REQUIREMENTS DOCUMENT</w:t>
      </w:r>
    </w:p>
    <w:p>
      <w:pPr>
        <w:spacing w:before="1200"/>
      </w:pPr>
    </w:p>
    <w:p>
      <w:pPr>
        <w:spacing w:after="60"/>
        <w:jc w:val="center"/>
      </w:pPr>
      <w:r>
        <w:rPr>
          <w:rFonts w:ascii="Calibri" w:cs="Calibri" w:eastAsia="Calibri" w:hAnsi="Calibri"/>
          <w:color w:val="595959"/>
          <w:sz w:val="20"/>
          <w:szCs w:val="20"/>
        </w:rPr>
        <w:t xml:space="preserve">Prepared for</w:t>
      </w:r>
    </w:p>
    <w:p>
      <w:pPr>
        <w:spacing w:after="300"/>
        <w:jc w:val="center"/>
      </w:pPr>
      <w:r>
        <w:rPr>
          <w:rFonts w:ascii="Calibri" w:cs="Calibri" w:eastAsia="Calibri" w:hAnsi="Calibri"/>
          <w:b/>
          <w:bCs/>
          <w:color w:val="222222"/>
          <w:sz w:val="24"/>
          <w:szCs w:val="24"/>
        </w:rPr>
        <w:t xml:space="preserve">RemmiNext Sdn. Bhd.</w:t>
      </w:r>
    </w:p>
    <w:p>
      <w:pPr>
        <w:spacing w:after="60"/>
        <w:jc w:val="center"/>
      </w:pPr>
      <w:r>
        <w:rPr>
          <w:rFonts w:ascii="Calibri" w:cs="Calibri" w:eastAsia="Calibri" w:hAnsi="Calibri"/>
          <w:color w:val="595959"/>
          <w:sz w:val="20"/>
          <w:szCs w:val="20"/>
        </w:rPr>
        <w:t xml:space="preserve">Document Classification</w:t>
      </w:r>
    </w:p>
    <w:p>
      <w:pPr>
        <w:spacing w:after="900"/>
        <w:jc w:val="center"/>
      </w:pPr>
      <w:r>
        <w:rPr>
          <w:rFonts w:ascii="Calibri" w:cs="Calibri" w:eastAsia="Calibri" w:hAnsi="Calibri"/>
          <w:b/>
          <w:bCs/>
          <w:color w:val="B7791F"/>
          <w:sz w:val="22"/>
          <w:szCs w:val="22"/>
        </w:rPr>
        <w:t xml:space="preserve">CONFIDENTIAL — Internal &amp; Regulatory Use Only</w:t>
      </w:r>
    </w:p>
    <w:p>
      <w:pPr>
        <w:spacing w:after="40"/>
        <w:jc w:val="center"/>
      </w:pPr>
      <w:r>
        <w:rPr>
          <w:rFonts w:ascii="Calibri" w:cs="Calibri" w:eastAsia="Calibri" w:hAnsi="Calibri"/>
          <w:color w:val="222222"/>
          <w:sz w:val="20"/>
          <w:szCs w:val="20"/>
        </w:rPr>
        <w:t xml:space="preserve">Version 1.0</w:t>
      </w:r>
    </w:p>
    <w:p>
      <w:pPr>
        <w:spacing w:after="40"/>
        <w:jc w:val="center"/>
      </w:pPr>
      <w:r>
        <w:rPr>
          <w:rFonts w:ascii="Calibri" w:cs="Calibri" w:eastAsia="Calibri" w:hAnsi="Calibri"/>
          <w:color w:val="222222"/>
          <w:sz w:val="20"/>
          <w:szCs w:val="20"/>
        </w:rPr>
        <w:t xml:space="preserve">16 July 2026</w:t>
      </w:r>
    </w:p>
    <w:p>
      <w:r>
        <w:br w:type="page"/>
      </w:r>
    </w:p>
    <w:p>
      <w:pPr>
        <w:pStyle w:val="Heading1"/>
        <w:pBdr>
          <w:bottom w:val="single" w:color="1F3864" w:sz="6" w:space="4"/>
        </w:pBdr>
        <w:spacing w:after="240" w:before="480"/>
      </w:pPr>
      <w:r>
        <w:rPr>
          <w:rFonts w:ascii="Calibri" w:cs="Calibri" w:eastAsia="Calibri" w:hAnsi="Calibri"/>
          <w:b/>
          <w:bCs/>
          <w:color w:val="1F3864"/>
          <w:sz w:val="32"/>
          <w:szCs w:val="32"/>
        </w:rPr>
        <w:t xml:space="preserve">Document Control</w:t>
      </w:r>
    </w:p>
    <w:p>
      <w:pPr>
        <w:pStyle w:val="Heading2"/>
        <w:spacing w:after="160" w:before="360"/>
      </w:pPr>
      <w:r>
        <w:rPr>
          <w:rFonts w:ascii="Calibri" w:cs="Calibri" w:eastAsia="Calibri" w:hAnsi="Calibri"/>
          <w:b/>
          <w:bCs/>
          <w:color w:val="1F3864"/>
          <w:sz w:val="26"/>
          <w:szCs w:val="26"/>
        </w:rPr>
        <w:t xml:space="preserve">Version History</w:t>
      </w:r>
    </w:p>
    <w:tbl>
      <w:tblPr>
        <w:tblW w:type="dxa" w:w="1000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1800"/>
        <w:gridCol w:w="3200"/>
        <w:gridCol w:w="3600"/>
      </w:tblGrid>
      <w:tr>
        <w:trPr>
          <w:tblHeader/>
        </w:trPr>
        <w:tc>
          <w:tcPr>
            <w:tcW w:type="dxa" w:w="14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Version</w:t>
            </w:r>
          </w:p>
        </w:tc>
        <w:tc>
          <w:tcPr>
            <w:tcW w:type="dxa" w:w="18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Date</w:t>
            </w:r>
          </w:p>
        </w:tc>
        <w:tc>
          <w:tcPr>
            <w:tcW w:type="dxa" w:w="32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Author</w:t>
            </w:r>
          </w:p>
        </w:tc>
        <w:tc>
          <w:tcPr>
            <w:tcW w:type="dxa" w:w="36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Description of Change</w:t>
            </w:r>
          </w:p>
        </w:tc>
      </w:tr>
      <w:tr>
        <w:tc>
          <w:tcPr>
            <w:tcW w:type="dxa" w:w="1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0.1</w:t>
            </w:r>
          </w:p>
        </w:tc>
        <w:tc>
          <w:tcPr>
            <w:tcW w:type="dxa" w:w="18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01-Jul-2026</w:t>
            </w:r>
          </w:p>
        </w:tc>
        <w:tc>
          <w:tcPr>
            <w:tcW w:type="dxa" w:w="3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Business Analysis Team</w:t>
            </w:r>
          </w:p>
        </w:tc>
        <w:tc>
          <w:tcPr>
            <w:tcW w:type="dxa" w:w="3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Initial draft structure based on discovery workshops</w:t>
            </w:r>
          </w:p>
        </w:tc>
      </w:tr>
      <w:tr>
        <w:tc>
          <w:tcPr>
            <w:tcW w:type="dxa" w:w="1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0.5</w:t>
            </w:r>
          </w:p>
        </w:tc>
        <w:tc>
          <w:tcPr>
            <w:tcW w:type="dxa" w:w="18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08-Jul-2026</w:t>
            </w:r>
          </w:p>
        </w:tc>
        <w:tc>
          <w:tcPr>
            <w:tcW w:type="dxa" w:w="3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Business Analysis Team</w:t>
            </w:r>
          </w:p>
        </w:tc>
        <w:tc>
          <w:tcPr>
            <w:tcW w:type="dxa" w:w="3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Added remittance, bill payment and savings/DPS scope</w:t>
            </w:r>
          </w:p>
        </w:tc>
      </w:tr>
      <w:tr>
        <w:tc>
          <w:tcPr>
            <w:tcW w:type="dxa" w:w="1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1.0</w:t>
            </w:r>
          </w:p>
        </w:tc>
        <w:tc>
          <w:tcPr>
            <w:tcW w:type="dxa" w:w="18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16-Jul-2026</w:t>
            </w:r>
          </w:p>
        </w:tc>
        <w:tc>
          <w:tcPr>
            <w:tcW w:type="dxa" w:w="3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Business Analysis Team</w:t>
            </w:r>
          </w:p>
        </w:tc>
        <w:tc>
          <w:tcPr>
            <w:tcW w:type="dxa" w:w="3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First baseline issued for stakeholder review and sign-off</w:t>
            </w:r>
          </w:p>
        </w:tc>
      </w:tr>
    </w:tbl>
    <w:p>
      <w:pPr>
        <w:pStyle w:val="Heading2"/>
        <w:spacing w:after="160" w:before="360"/>
      </w:pPr>
      <w:r>
        <w:rPr>
          <w:rFonts w:ascii="Calibri" w:cs="Calibri" w:eastAsia="Calibri" w:hAnsi="Calibri"/>
          <w:b/>
          <w:bCs/>
          <w:color w:val="1F3864"/>
          <w:sz w:val="26"/>
          <w:szCs w:val="26"/>
        </w:rPr>
        <w:t xml:space="preserve">Distribution List</w:t>
      </w:r>
    </w:p>
    <w:tbl>
      <w:tblPr>
        <w:tblW w:type="dxa" w:w="100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3600"/>
        <w:gridCol w:w="3200"/>
      </w:tblGrid>
      <w:tr>
        <w:trPr>
          <w:tblHeader/>
        </w:trPr>
        <w:tc>
          <w:tcPr>
            <w:tcW w:type="dxa" w:w="32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Name / Role</w:t>
            </w:r>
          </w:p>
        </w:tc>
        <w:tc>
          <w:tcPr>
            <w:tcW w:type="dxa" w:w="36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Organisation</w:t>
            </w:r>
          </w:p>
        </w:tc>
        <w:tc>
          <w:tcPr>
            <w:tcW w:type="dxa" w:w="32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Purpose</w:t>
            </w:r>
          </w:p>
        </w:tc>
      </w:tr>
      <w:tr>
        <w:tc>
          <w:tcPr>
            <w:tcW w:type="dxa" w:w="3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Chief Executive Officer</w:t>
            </w:r>
          </w:p>
        </w:tc>
        <w:tc>
          <w:tcPr>
            <w:tcW w:type="dxa" w:w="3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RemmiNext Sdn. Bhd.</w:t>
            </w:r>
          </w:p>
        </w:tc>
        <w:tc>
          <w:tcPr>
            <w:tcW w:type="dxa" w:w="3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Business sponsor / final approval</w:t>
            </w:r>
          </w:p>
        </w:tc>
      </w:tr>
      <w:tr>
        <w:tc>
          <w:tcPr>
            <w:tcW w:type="dxa" w:w="3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Head of Compliance (MLRO)</w:t>
            </w:r>
          </w:p>
        </w:tc>
        <w:tc>
          <w:tcPr>
            <w:tcW w:type="dxa" w:w="3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RemmiNext Sdn. Bhd.</w:t>
            </w:r>
          </w:p>
        </w:tc>
        <w:tc>
          <w:tcPr>
            <w:tcW w:type="dxa" w:w="3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AML/CTF and regulatory sign-off</w:t>
            </w:r>
          </w:p>
        </w:tc>
      </w:tr>
      <w:tr>
        <w:tc>
          <w:tcPr>
            <w:tcW w:type="dxa" w:w="3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Head of Product</w:t>
            </w:r>
          </w:p>
        </w:tc>
        <w:tc>
          <w:tcPr>
            <w:tcW w:type="dxa" w:w="3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RemmiNext Sdn. Bhd.</w:t>
            </w:r>
          </w:p>
        </w:tc>
        <w:tc>
          <w:tcPr>
            <w:tcW w:type="dxa" w:w="3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Requirement ownership</w:t>
            </w:r>
          </w:p>
        </w:tc>
      </w:tr>
      <w:tr>
        <w:tc>
          <w:tcPr>
            <w:tcW w:type="dxa" w:w="3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Head of Treasury</w:t>
            </w:r>
          </w:p>
        </w:tc>
        <w:tc>
          <w:tcPr>
            <w:tcW w:type="dxa" w:w="3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RemmiNext Sdn. Bhd.</w:t>
            </w:r>
          </w:p>
        </w:tc>
        <w:tc>
          <w:tcPr>
            <w:tcW w:type="dxa" w:w="3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FX, settlement and liquidity sign-off</w:t>
            </w:r>
          </w:p>
        </w:tc>
      </w:tr>
      <w:tr>
        <w:tc>
          <w:tcPr>
            <w:tcW w:type="dxa" w:w="3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Project Manager</w:t>
            </w:r>
          </w:p>
        </w:tc>
        <w:tc>
          <w:tcPr>
            <w:tcW w:type="dxa" w:w="3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Software Development Partner</w:t>
            </w:r>
          </w:p>
        </w:tc>
        <w:tc>
          <w:tcPr>
            <w:tcW w:type="dxa" w:w="3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Delivery planning</w:t>
            </w:r>
          </w:p>
        </w:tc>
      </w:tr>
      <w:tr>
        <w:tc>
          <w:tcPr>
            <w:tcW w:type="dxa" w:w="3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Solution Architect</w:t>
            </w:r>
          </w:p>
        </w:tc>
        <w:tc>
          <w:tcPr>
            <w:tcW w:type="dxa" w:w="3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Software Development Partner</w:t>
            </w:r>
          </w:p>
        </w:tc>
        <w:tc>
          <w:tcPr>
            <w:tcW w:type="dxa" w:w="3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Technical feasibility review</w:t>
            </w:r>
          </w:p>
        </w:tc>
      </w:tr>
      <w:tr>
        <w:tc>
          <w:tcPr>
            <w:tcW w:type="dxa" w:w="3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QA Lead</w:t>
            </w:r>
          </w:p>
        </w:tc>
        <w:tc>
          <w:tcPr>
            <w:tcW w:type="dxa" w:w="3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Software Development Partner</w:t>
            </w:r>
          </w:p>
        </w:tc>
        <w:tc>
          <w:tcPr>
            <w:tcW w:type="dxa" w:w="3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Test strategy and RTM alignment</w:t>
            </w:r>
          </w:p>
        </w:tc>
      </w:tr>
    </w:tbl>
    <w:p>
      <w:pPr>
        <w:pStyle w:val="Heading2"/>
        <w:spacing w:after="160" w:before="360"/>
      </w:pPr>
      <w:r>
        <w:rPr>
          <w:rFonts w:ascii="Calibri" w:cs="Calibri" w:eastAsia="Calibri" w:hAnsi="Calibri"/>
          <w:b/>
          <w:bCs/>
          <w:color w:val="1F3864"/>
          <w:sz w:val="26"/>
          <w:szCs w:val="26"/>
        </w:rPr>
        <w:t xml:space="preserve">Related Documents</w:t>
      </w:r>
    </w:p>
    <w:tbl>
      <w:tblPr>
        <w:tblW w:type="dxa" w:w="1000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5800"/>
      </w:tblGrid>
      <w:tr>
        <w:trPr>
          <w:tblHeader/>
        </w:trPr>
        <w:tc>
          <w:tcPr>
            <w:tcW w:type="dxa" w:w="42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Document</w:t>
            </w:r>
          </w:p>
        </w:tc>
        <w:tc>
          <w:tcPr>
            <w:tcW w:type="dxa" w:w="58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Purpose</w:t>
            </w:r>
          </w:p>
        </w:tc>
      </w:tr>
      <w:tr>
        <w:tc>
          <w:tcPr>
            <w:tcW w:type="dxa" w:w="4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RemmiNext UI/UX Design File (Figma)</w:t>
            </w:r>
          </w:p>
        </w:tc>
        <w:tc>
          <w:tcPr>
            <w:tcW w:type="dxa" w:w="58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Wireframes and thematic UI guide for the customer mobile app</w:t>
            </w:r>
          </w:p>
        </w:tc>
      </w:tr>
      <w:tr>
        <w:tc>
          <w:tcPr>
            <w:tcW w:type="dxa" w:w="4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RemmiNext Back-Office Design File (Figma)</w:t>
            </w:r>
          </w:p>
        </w:tc>
        <w:tc>
          <w:tcPr>
            <w:tcW w:type="dxa" w:w="58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Wireframes for the internal Ops Console</w:t>
            </w:r>
          </w:p>
        </w:tc>
      </w:tr>
      <w:tr>
        <w:tc>
          <w:tcPr>
            <w:tcW w:type="dxa" w:w="4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Requirement Traceability Matrix (RTM)</w:t>
            </w:r>
          </w:p>
        </w:tc>
        <w:tc>
          <w:tcPr>
            <w:tcW w:type="dxa" w:w="58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Live mapping of BPIDs to test cases and acceptance criteria</w:t>
            </w:r>
          </w:p>
        </w:tc>
      </w:tr>
      <w:tr>
        <w:tc>
          <w:tcPr>
            <w:tcW w:type="dxa" w:w="4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Technical SRS / Architecture Document</w:t>
            </w:r>
          </w:p>
        </w:tc>
        <w:tc>
          <w:tcPr>
            <w:tcW w:type="dxa" w:w="58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System design, API contracts, and data flow diagrams</w:t>
            </w:r>
          </w:p>
        </w:tc>
      </w:tr>
      <w:tr>
        <w:tc>
          <w:tcPr>
            <w:tcW w:type="dxa" w:w="4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Compliance Policy Manual</w:t>
            </w:r>
          </w:p>
        </w:tc>
        <w:tc>
          <w:tcPr>
            <w:tcW w:type="dxa" w:w="58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AML/CTF, KYC, and sanctions screening policy detail</w:t>
            </w:r>
          </w:p>
        </w:tc>
      </w:tr>
    </w:tbl>
    <w:p>
      <w:r>
        <w:br w:type="page"/>
      </w:r>
    </w:p>
    <w:p>
      <w:pPr>
        <w:pStyle w:val="Heading1"/>
        <w:pBdr>
          <w:bottom w:val="single" w:color="1F3864" w:sz="6" w:space="4"/>
        </w:pBdr>
        <w:spacing w:after="240" w:before="480"/>
      </w:pPr>
      <w:r>
        <w:rPr>
          <w:rFonts w:ascii="Calibri" w:cs="Calibri" w:eastAsia="Calibri" w:hAnsi="Calibri"/>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Bdr>
          <w:bottom w:val="single" w:color="1F3864" w:sz="6" w:space="4"/>
        </w:pBdr>
        <w:spacing w:after="240" w:before="480"/>
      </w:pPr>
      <w:r>
        <w:rPr>
          <w:rFonts w:ascii="Calibri" w:cs="Calibri" w:eastAsia="Calibri" w:hAnsi="Calibri"/>
          <w:b/>
          <w:bCs/>
          <w:color w:val="1F3864"/>
          <w:sz w:val="32"/>
          <w:szCs w:val="32"/>
        </w:rPr>
        <w:t xml:space="preserve">1. Introduction</w:t>
      </w:r>
    </w:p>
    <w:p>
      <w:pPr>
        <w:pStyle w:val="Heading2"/>
        <w:spacing w:after="160" w:before="360"/>
      </w:pPr>
      <w:r>
        <w:rPr>
          <w:rFonts w:ascii="Calibri" w:cs="Calibri" w:eastAsia="Calibri" w:hAnsi="Calibri"/>
          <w:b/>
          <w:bCs/>
          <w:color w:val="1F3864"/>
          <w:sz w:val="26"/>
          <w:szCs w:val="26"/>
        </w:rPr>
        <w:t xml:space="preserve">1.1 Purpose of this Document</w:t>
      </w:r>
    </w:p>
    <w:p>
      <w:pPr>
        <w:spacing w:after="160" w:line="276"/>
      </w:pPr>
      <w:r>
        <w:rPr>
          <w:rFonts w:ascii="Calibri" w:cs="Calibri" w:eastAsia="Calibri" w:hAnsi="Calibri"/>
          <w:b w:val="false"/>
          <w:bCs w:val="false"/>
          <w:i w:val="false"/>
          <w:iCs w:val="false"/>
          <w:color w:val="222222"/>
          <w:sz w:val="21"/>
          <w:szCs w:val="21"/>
        </w:rPr>
        <w:t xml:space="preserve">This Business Requirements Document (BRD) defines the complete scope, business rules, functional requirements and acceptance approach for RemmiNext, a purpose-built financial platform connecting Bangladeshi migrant workers in Malaysia with their financial life back home in Bangladesh. This document is the single source of truth for the software development partner, compliance stakeholders and quality assurance team during design, build and test of the platform.</w:t>
      </w:r>
    </w:p>
    <w:p>
      <w:pPr>
        <w:spacing w:after="160" w:line="276"/>
      </w:pPr>
      <w:r>
        <w:rPr>
          <w:rFonts w:ascii="Calibri" w:cs="Calibri" w:eastAsia="Calibri" w:hAnsi="Calibri"/>
          <w:b w:val="false"/>
          <w:bCs w:val="false"/>
          <w:i w:val="false"/>
          <w:iCs w:val="false"/>
          <w:color w:val="222222"/>
          <w:sz w:val="21"/>
          <w:szCs w:val="21"/>
        </w:rPr>
        <w:t xml:space="preserve">This document should be read together with the UI/UX design files, the technical SRS, and the Requirement Traceability Matrix (RTM), which together form the complete requirements package for the project.</w:t>
      </w:r>
    </w:p>
    <w:p>
      <w:pPr>
        <w:pStyle w:val="Heading2"/>
        <w:spacing w:after="160" w:before="360"/>
      </w:pPr>
      <w:r>
        <w:rPr>
          <w:rFonts w:ascii="Calibri" w:cs="Calibri" w:eastAsia="Calibri" w:hAnsi="Calibri"/>
          <w:b/>
          <w:bCs/>
          <w:color w:val="1F3864"/>
          <w:sz w:val="26"/>
          <w:szCs w:val="26"/>
        </w:rPr>
        <w:t xml:space="preserve">1.2 Company Background</w:t>
      </w:r>
    </w:p>
    <w:p>
      <w:pPr>
        <w:spacing w:after="160" w:line="276"/>
      </w:pPr>
      <w:r>
        <w:rPr>
          <w:rFonts w:ascii="Calibri" w:cs="Calibri" w:eastAsia="Calibri" w:hAnsi="Calibri"/>
          <w:b w:val="false"/>
          <w:bCs w:val="false"/>
          <w:i w:val="false"/>
          <w:iCs w:val="false"/>
          <w:color w:val="222222"/>
          <w:sz w:val="21"/>
          <w:szCs w:val="21"/>
        </w:rPr>
        <w:t xml:space="preserve">RemmiNext Sdn. Bhd. ("RemmiNext", "the Company") is a financial technology company incorporated and registered in Malaysia. RemmiNext intends to operate as a licensed remittance / money services business under the oversight of Bank Negara Malaysia (BNM), operating exclusively within the Malaysia–Bangladesh financial corridor. RemmiNext does not intend to offer general-purpose banking, multi-corridor remittance, or unrelated consumer financial products.</w:t>
      </w:r>
    </w:p>
    <w:p>
      <w:pPr>
        <w:pStyle w:val="Heading2"/>
        <w:spacing w:after="160" w:before="360"/>
      </w:pPr>
      <w:r>
        <w:rPr>
          <w:rFonts w:ascii="Calibri" w:cs="Calibri" w:eastAsia="Calibri" w:hAnsi="Calibri"/>
          <w:b/>
          <w:bCs/>
          <w:color w:val="1F3864"/>
          <w:sz w:val="26"/>
          <w:szCs w:val="26"/>
        </w:rPr>
        <w:t xml:space="preserve">1.3 Target User Persona</w:t>
      </w:r>
    </w:p>
    <w:p>
      <w:pPr>
        <w:spacing w:after="160" w:line="276"/>
      </w:pPr>
      <w:r>
        <w:rPr>
          <w:rFonts w:ascii="Calibri" w:cs="Calibri" w:eastAsia="Calibri" w:hAnsi="Calibri"/>
          <w:b w:val="false"/>
          <w:bCs w:val="false"/>
          <w:i w:val="false"/>
          <w:iCs w:val="false"/>
          <w:color w:val="222222"/>
          <w:sz w:val="21"/>
          <w:szCs w:val="21"/>
        </w:rPr>
        <w:t xml:space="preserve">RemmiNext is designed around a single, clearly defined persona, and every feature in this document must be evaluated against how it serves this persona:</w:t>
      </w:r>
    </w:p>
    <w:tbl>
      <w:tblPr>
        <w:tblW w:type="dxa" w:w="100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800"/>
      </w:tblGrid>
      <w:tr>
        <w:trPr>
          <w:tblHeader/>
        </w:trPr>
        <w:tc>
          <w:tcPr>
            <w:tcW w:type="dxa" w:w="32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Attribute</w:t>
            </w:r>
          </w:p>
        </w:tc>
        <w:tc>
          <w:tcPr>
            <w:tcW w:type="dxa" w:w="68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Description</w:t>
            </w:r>
          </w:p>
        </w:tc>
      </w:tr>
      <w:tr>
        <w:tc>
          <w:tcPr>
            <w:tcW w:type="dxa" w:w="3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Name (archetype)</w:t>
            </w:r>
          </w:p>
        </w:tc>
        <w:tc>
          <w:tcPr>
            <w:tcW w:type="dxa" w:w="68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Md. Rahim — a composite persona representative of the target user base</w:t>
            </w:r>
          </w:p>
        </w:tc>
      </w:tr>
      <w:tr>
        <w:tc>
          <w:tcPr>
            <w:tcW w:type="dxa" w:w="3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Nationality</w:t>
            </w:r>
          </w:p>
        </w:tc>
        <w:tc>
          <w:tcPr>
            <w:tcW w:type="dxa" w:w="68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Bangladeshi</w:t>
            </w:r>
          </w:p>
        </w:tc>
      </w:tr>
      <w:tr>
        <w:tc>
          <w:tcPr>
            <w:tcW w:type="dxa" w:w="3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Residency status</w:t>
            </w:r>
          </w:p>
        </w:tc>
        <w:tc>
          <w:tcPr>
            <w:tcW w:type="dxa" w:w="68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Legally employed in Malaysia under a valid work permit / employment pass</w:t>
            </w:r>
          </w:p>
        </w:tc>
      </w:tr>
      <w:tr>
        <w:tc>
          <w:tcPr>
            <w:tcW w:type="dxa" w:w="3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Occupation</w:t>
            </w:r>
          </w:p>
        </w:tc>
        <w:tc>
          <w:tcPr>
            <w:tcW w:type="dxa" w:w="68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Manufacturing, construction, plantation, or service-sector worker</w:t>
            </w:r>
          </w:p>
        </w:tc>
      </w:tr>
      <w:tr>
        <w:tc>
          <w:tcPr>
            <w:tcW w:type="dxa" w:w="3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Income</w:t>
            </w:r>
          </w:p>
        </w:tc>
        <w:tc>
          <w:tcPr>
            <w:tcW w:type="dxa" w:w="68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Earns and is paid in Malaysian Ringgit (MYR)</w:t>
            </w:r>
          </w:p>
        </w:tc>
      </w:tr>
      <w:tr>
        <w:tc>
          <w:tcPr>
            <w:tcW w:type="dxa" w:w="3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Family situation</w:t>
            </w:r>
          </w:p>
        </w:tc>
        <w:tc>
          <w:tcPr>
            <w:tcW w:type="dxa" w:w="68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Spouse, children, and/or parents residing in Bangladesh in the family home</w:t>
            </w:r>
          </w:p>
        </w:tc>
      </w:tr>
      <w:tr>
        <w:tc>
          <w:tcPr>
            <w:tcW w:type="dxa" w:w="3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Financial obligations in Bangladesh</w:t>
            </w:r>
          </w:p>
        </w:tc>
        <w:tc>
          <w:tcPr>
            <w:tcW w:type="dxa" w:w="68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Monthly household remittance, recurring utility bills, occasional lump-sum needs (health, education, festivals)</w:t>
            </w:r>
          </w:p>
        </w:tc>
      </w:tr>
      <w:tr>
        <w:tc>
          <w:tcPr>
            <w:tcW w:type="dxa" w:w="3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Financial goals</w:t>
            </w:r>
          </w:p>
        </w:tc>
        <w:tc>
          <w:tcPr>
            <w:tcW w:type="dxa" w:w="68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Build savings and a Deposit Pension Scheme (DPS) corpus in Bangladesh in preparation for permanent return</w:t>
            </w:r>
          </w:p>
        </w:tc>
      </w:tr>
      <w:tr>
        <w:tc>
          <w:tcPr>
            <w:tcW w:type="dxa" w:w="3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Digital literacy</w:t>
            </w:r>
          </w:p>
        </w:tc>
        <w:tc>
          <w:tcPr>
            <w:tcW w:type="dxa" w:w="68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Comfortable with smartphone apps (WhatsApp, Facebook, MFS apps) but not necessarily with complex financial products</w:t>
            </w:r>
          </w:p>
        </w:tc>
      </w:tr>
      <w:tr>
        <w:tc>
          <w:tcPr>
            <w:tcW w:type="dxa" w:w="3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Language</w:t>
            </w:r>
          </w:p>
        </w:tc>
        <w:tc>
          <w:tcPr>
            <w:tcW w:type="dxa" w:w="68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Primary: Bengali. Working knowledge of English and/or Bahasa Malaysia</w:t>
            </w:r>
          </w:p>
        </w:tc>
      </w:tr>
      <w:tr>
        <w:tc>
          <w:tcPr>
            <w:tcW w:type="dxa" w:w="3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Device</w:t>
            </w:r>
          </w:p>
        </w:tc>
        <w:tc>
          <w:tcPr>
            <w:tcW w:type="dxa" w:w="68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Mid-range Android smartphone (majority); a smaller segment on iOS</w:t>
            </w:r>
          </w:p>
        </w:tc>
      </w:tr>
      <w:tr>
        <w:tc>
          <w:tcPr>
            <w:tcW w:type="dxa" w:w="3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Time horizon</w:t>
            </w:r>
          </w:p>
        </w:tc>
        <w:tc>
          <w:tcPr>
            <w:tcW w:type="dxa" w:w="68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Plans to work in Malaysia for a finite period (typically 3–7 years) before permanently returning to Bangladesh</w:t>
            </w:r>
          </w:p>
        </w:tc>
      </w:tr>
    </w:tbl>
    <w:p>
      <w:pPr>
        <w:pBdr>
          <w:left w:val="single" w:color="0F6B72" w:sz="12" w:space="8"/>
        </w:pBdr>
        <w:spacing w:after="200" w:before="100"/>
        <w:ind w:left="200"/>
      </w:pPr>
      <w:r>
        <w:rPr>
          <w:rFonts w:ascii="Calibri" w:cs="Calibri" w:eastAsia="Calibri" w:hAnsi="Calibri"/>
          <w:i/>
          <w:iCs/>
          <w:color w:val="595959"/>
          <w:sz w:val="20"/>
          <w:szCs w:val="20"/>
        </w:rPr>
        <w:t xml:space="preserve">Note: Any feature proposed for RemmiNext that does not serve this persona's remittance, bill-payment, savings/DPS, or consolidation needs is out of scope by definition — see Section 3.</w:t>
      </w:r>
    </w:p>
    <w:p>
      <w:pPr>
        <w:pStyle w:val="Heading2"/>
        <w:spacing w:after="160" w:before="360"/>
      </w:pPr>
      <w:r>
        <w:rPr>
          <w:rFonts w:ascii="Calibri" w:cs="Calibri" w:eastAsia="Calibri" w:hAnsi="Calibri"/>
          <w:b/>
          <w:bCs/>
          <w:color w:val="1F3864"/>
          <w:sz w:val="26"/>
          <w:szCs w:val="26"/>
        </w:rPr>
        <w:t xml:space="preserve">1.4 Business Objectives</w:t>
      </w:r>
    </w:p>
    <w:p>
      <w:pPr>
        <w:pStyle w:val="ListParagraph"/>
        <w:numPr>
          <w:ilvl w:val="0"/>
          <w:numId w:val="2"/>
        </w:numPr>
        <w:spacing w:after="80" w:line="264"/>
      </w:pPr>
      <w:r>
        <w:rPr>
          <w:rFonts w:ascii="Calibri" w:cs="Calibri" w:eastAsia="Calibri" w:hAnsi="Calibri"/>
          <w:sz w:val="21"/>
          <w:szCs w:val="21"/>
        </w:rPr>
        <w:t xml:space="preserve">Provide a fast, transparent, and low-cost channel for remitting earned income from Malaysia to Bangladesh.</w:t>
      </w:r>
    </w:p>
    <w:p>
      <w:pPr>
        <w:pStyle w:val="ListParagraph"/>
        <w:numPr>
          <w:ilvl w:val="0"/>
          <w:numId w:val="2"/>
        </w:numPr>
        <w:spacing w:after="80" w:line="264"/>
      </w:pPr>
      <w:r>
        <w:rPr>
          <w:rFonts w:ascii="Calibri" w:cs="Calibri" w:eastAsia="Calibri" w:hAnsi="Calibri"/>
          <w:sz w:val="21"/>
          <w:szCs w:val="21"/>
        </w:rPr>
        <w:t xml:space="preserve">Enable the user to pay recurring utility and household bills for their family home in Bangladesh directly from the platform, without a second app or manual bank visit.</w:t>
      </w:r>
    </w:p>
    <w:p>
      <w:pPr>
        <w:pStyle w:val="ListParagraph"/>
        <w:numPr>
          <w:ilvl w:val="0"/>
          <w:numId w:val="2"/>
        </w:numPr>
        <w:spacing w:after="80" w:line="264"/>
      </w:pPr>
      <w:r>
        <w:rPr>
          <w:rFonts w:ascii="Calibri" w:cs="Calibri" w:eastAsia="Calibri" w:hAnsi="Calibri"/>
          <w:sz w:val="21"/>
          <w:szCs w:val="21"/>
        </w:rPr>
        <w:t xml:space="preserve">Enable the user to systematically build savings in Bangladesh, including enrolment and recurring contribution to a partner bank Deposit Pension Scheme (DPS).</w:t>
      </w:r>
    </w:p>
    <w:p>
      <w:pPr>
        <w:pStyle w:val="ListParagraph"/>
        <w:numPr>
          <w:ilvl w:val="0"/>
          <w:numId w:val="2"/>
        </w:numPr>
        <w:spacing w:after="80" w:line="264"/>
      </w:pPr>
      <w:r>
        <w:rPr>
          <w:rFonts w:ascii="Calibri" w:cs="Calibri" w:eastAsia="Calibri" w:hAnsi="Calibri"/>
          <w:sz w:val="21"/>
          <w:szCs w:val="21"/>
        </w:rPr>
        <w:t xml:space="preserve">Give the user a single consolidated view of everything they have sent, paid, and saved in Bangladesh — their financial "nest egg" — so they always know where they stand.</w:t>
      </w:r>
    </w:p>
    <w:p>
      <w:pPr>
        <w:pStyle w:val="ListParagraph"/>
        <w:numPr>
          <w:ilvl w:val="0"/>
          <w:numId w:val="2"/>
        </w:numPr>
        <w:spacing w:after="80" w:line="264"/>
      </w:pPr>
      <w:r>
        <w:rPr>
          <w:rFonts w:ascii="Calibri" w:cs="Calibri" w:eastAsia="Calibri" w:hAnsi="Calibri"/>
          <w:sz w:val="21"/>
          <w:szCs w:val="21"/>
        </w:rPr>
        <w:t xml:space="preserve">Ensure full compliance with Malaysian (BNM, AMLA) and Bangladeshi (Bangladesh Bank, BFIU) financial regulations across the entire user journey.</w:t>
      </w:r>
    </w:p>
    <w:p>
      <w:pPr>
        <w:pStyle w:val="ListParagraph"/>
        <w:numPr>
          <w:ilvl w:val="0"/>
          <w:numId w:val="2"/>
        </w:numPr>
        <w:spacing w:after="80" w:line="264"/>
      </w:pPr>
      <w:r>
        <w:rPr>
          <w:rFonts w:ascii="Calibri" w:cs="Calibri" w:eastAsia="Calibri" w:hAnsi="Calibri"/>
          <w:sz w:val="21"/>
          <w:szCs w:val="21"/>
        </w:rPr>
        <w:t xml:space="preserve">Support the user's eventual, permanent return to Bangladesh with a consolidated financial hand-off: a single report and account-closure journey that leaves them with a clear, well-managed financial position at home.</w:t>
      </w:r>
    </w:p>
    <w:p>
      <w:pPr>
        <w:pStyle w:val="Heading2"/>
        <w:spacing w:after="160" w:before="360"/>
      </w:pPr>
      <w:r>
        <w:rPr>
          <w:rFonts w:ascii="Calibri" w:cs="Calibri" w:eastAsia="Calibri" w:hAnsi="Calibri"/>
          <w:b/>
          <w:bCs/>
          <w:color w:val="1F3864"/>
          <w:sz w:val="26"/>
          <w:szCs w:val="26"/>
        </w:rPr>
        <w:t xml:space="preserve">1.5 Ultimate End Goal</w:t>
      </w:r>
    </w:p>
    <w:p>
      <w:pPr>
        <w:spacing w:after="160" w:line="276"/>
      </w:pPr>
      <w:r>
        <w:rPr>
          <w:rFonts w:ascii="Calibri" w:cs="Calibri" w:eastAsia="Calibri" w:hAnsi="Calibri"/>
          <w:b w:val="false"/>
          <w:bCs w:val="false"/>
          <w:i w:val="false"/>
          <w:iCs w:val="false"/>
          <w:color w:val="222222"/>
          <w:sz w:val="21"/>
          <w:szCs w:val="21"/>
        </w:rPr>
        <w:t xml:space="preserve">RemmiNext exists to ensure that by the time the user permanently returns to Bangladesh, every Ringgit they remitted, every bill they paid for their family home, and every Taka they saved or contributed to their DPS is accurately tracked, reconciled, and presented back to them as a single, consolidated financial position. The platform's defining success metric is not transaction volume alone, but the user's confidence, on the day they return home, that they know exactly what they have — and that what they have is meaningfully more than what they would have accumulated through fragmented, uncoordinated channels.</w:t>
      </w:r>
    </w:p>
    <w:p>
      <w:pPr>
        <w:pStyle w:val="Heading1"/>
        <w:pageBreakBefore/>
        <w:pBdr>
          <w:bottom w:val="single" w:color="1F3864" w:sz="6" w:space="4"/>
        </w:pBdr>
        <w:spacing w:after="240" w:before="480"/>
      </w:pPr>
      <w:r>
        <w:rPr>
          <w:rFonts w:ascii="Calibri" w:cs="Calibri" w:eastAsia="Calibri" w:hAnsi="Calibri"/>
          <w:b/>
          <w:bCs/>
          <w:color w:val="1F3864"/>
          <w:sz w:val="32"/>
          <w:szCs w:val="32"/>
        </w:rPr>
        <w:t xml:space="preserve">2. Useful Definitions</w:t>
      </w:r>
    </w:p>
    <w:p>
      <w:pPr>
        <w:spacing w:after="160" w:line="276"/>
      </w:pPr>
      <w:r>
        <w:rPr>
          <w:rFonts w:ascii="Calibri" w:cs="Calibri" w:eastAsia="Calibri" w:hAnsi="Calibri"/>
          <w:b w:val="false"/>
          <w:bCs w:val="false"/>
          <w:i w:val="false"/>
          <w:iCs w:val="false"/>
          <w:color w:val="222222"/>
          <w:sz w:val="21"/>
          <w:szCs w:val="21"/>
        </w:rPr>
        <w:t xml:space="preserve">The following terms are used consistently throughout this document and in all related design and technical documentation.</w:t>
      </w:r>
    </w:p>
    <w:tbl>
      <w:tblPr>
        <w:tblW w:type="dxa" w:w="100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400"/>
      </w:tblGrid>
      <w:tr>
        <w:trPr>
          <w:tblHeader/>
        </w:trPr>
        <w:tc>
          <w:tcPr>
            <w:tcW w:type="dxa" w:w="26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Term</w:t>
            </w:r>
          </w:p>
        </w:tc>
        <w:tc>
          <w:tcPr>
            <w:tcW w:type="dxa" w:w="74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Definition</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AML</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Anti-Money Laundering</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BB / Bangladesh Bank</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The central bank of Bangladesh, regulator for inward remittance, foreign exchange, and MFS interoperability</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Beneficiary / Recipient</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The person or entity in Bangladesh who receives funds, bill payment, or savings/DPS contribution initiated by the Remitter</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BFIU</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Bangladesh Financial Intelligence Unit — the receiving-country financial crime regulator</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BNM</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Bank Negara Malaysia — the central bank and remittance regulator in the sending country</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BPID</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Business Process ID — unique identifier assigned to each functional process in this document</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BRD</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Business Requirements Document</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CDD</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Customer Due Diligence</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Corridor</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The fixed money-transfer route covered by RemmiNext: Malaysia (sending) → Bangladesh (receiving)</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CTF</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Counter-Terrorism Financing</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DPS</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Deposit Pension Scheme — a recurring, fixed-tenure monthly savings/investment product offered by Bangladeshi partner banks</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eKYC</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Electronic Know Your Customer</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EDD</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Enhanced Due Diligence</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FX Rate</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The foreign exchange rate used to convert MYR to BDT for a given transaction, always displayed to 4 decimal places (e.g., 19.8452)</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FI</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Financial Institution (bank, MFS provider, or other licensed payout partner)</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KYC</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Know Your Customer</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MFS</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Mobile Financial Services — Bangladeshi mobile wallet operators such as bKash, Nagad, Rocket, and Upay</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MLRO</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Money Laundering Reporting Officer</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MYR</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Malaysian Ringgit — the send currency</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BDT</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Bangladeshi Taka — the receive currency</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Nest Egg</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The consolidated total of a user's remitted funds, paid bills, savings balance, and DPS contributions tracked by RemmiNext over time</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NID</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National Identity Card issued by the Government of Bangladesh</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NTDBW</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Not-To-Do-Business-With — internal library of prohibited counterparties</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Payout Partner</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A licensed Bangladeshi bank, MFS provider, or cash-pickup agent network that disburses funds on RemmiNext's behalf</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PEP</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Politically Exposed Person</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Receive Amount</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The amount the beneficiary receives in BDT, derived from the Send Amount multiplied by the FX Rate (or vice-versa, if Receive Amount is fixed by the user)</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Remitter / Sender</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A RemmiNext customer: a Bangladeshi worker legally resident and earning in Malaysia</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RemmiNext App</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The customer-facing mobile application (Android/iOS)</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RemmiNext Ops Console</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The internal back-office application used by RemmiNext staff for configuration, compliance, treasury and support</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Send Amount</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The amount the Remitter sends in MYR, before commission</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SAR / iSAR</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Suspicious Activity Report / Internal Suspicious Activity Report</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Total Amount</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Send Amount plus Commission — the total amount debited from the Remitter</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TVR</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Transaction Verification Rules</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TM</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Transaction Monitoring</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WEDB / Wage Earner Incentive</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The Government of Bangladesh's 2.5% cash incentive on eligible inward remittances, credited to the beneficiary alongside the remitted amount</w:t>
            </w:r>
          </w:p>
        </w:tc>
      </w:tr>
    </w:tbl>
    <w:p>
      <w:pPr>
        <w:pStyle w:val="Heading1"/>
        <w:pageBreakBefore/>
        <w:pBdr>
          <w:bottom w:val="single" w:color="1F3864" w:sz="6" w:space="4"/>
        </w:pBdr>
        <w:spacing w:after="240" w:before="480"/>
      </w:pPr>
      <w:r>
        <w:rPr>
          <w:rFonts w:ascii="Calibri" w:cs="Calibri" w:eastAsia="Calibri" w:hAnsi="Calibri"/>
          <w:b/>
          <w:bCs/>
          <w:color w:val="1F3864"/>
          <w:sz w:val="32"/>
          <w:szCs w:val="32"/>
        </w:rPr>
        <w:t xml:space="preserve">3. Scope of the Platform</w:t>
      </w:r>
    </w:p>
    <w:p>
      <w:pPr>
        <w:pStyle w:val="Heading2"/>
        <w:spacing w:after="160" w:before="360"/>
      </w:pPr>
      <w:r>
        <w:rPr>
          <w:rFonts w:ascii="Calibri" w:cs="Calibri" w:eastAsia="Calibri" w:hAnsi="Calibri"/>
          <w:b/>
          <w:bCs/>
          <w:color w:val="1F3864"/>
          <w:sz w:val="26"/>
          <w:szCs w:val="26"/>
        </w:rPr>
        <w:t xml:space="preserve">3.1 Core Use Case (Sole Function)</w:t>
      </w:r>
    </w:p>
    <w:p>
      <w:pPr>
        <w:spacing w:after="160" w:line="276"/>
      </w:pPr>
      <w:r>
        <w:rPr>
          <w:rFonts w:ascii="Calibri" w:cs="Calibri" w:eastAsia="Calibri" w:hAnsi="Calibri"/>
          <w:b w:val="false"/>
          <w:bCs w:val="false"/>
          <w:i w:val="false"/>
          <w:iCs w:val="false"/>
          <w:color w:val="222222"/>
          <w:sz w:val="21"/>
          <w:szCs w:val="21"/>
        </w:rPr>
        <w:t xml:space="preserve">RemmiNext has a single, non-negotiable purpose: to serve the complete financial lifecycle of a Bangladeshi expatriate worker in Malaysia, entirely within the Malaysia–Bangladesh corridor. Every requirement in this document maps to one of three pillars, unified by a fourth, consolidating pillar:</w:t>
      </w:r>
    </w:p>
    <w:tbl>
      <w:tblPr>
        <w:tblW w:type="dxa" w:w="1000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7000"/>
      </w:tblGrid>
      <w:tr>
        <w:trPr>
          <w:tblHeader/>
        </w:trPr>
        <w:tc>
          <w:tcPr>
            <w:tcW w:type="dxa" w:w="30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Pillar</w:t>
            </w:r>
          </w:p>
        </w:tc>
        <w:tc>
          <w:tcPr>
            <w:tcW w:type="dxa" w:w="70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Description</w:t>
            </w:r>
          </w:p>
        </w:tc>
      </w:tr>
      <w:tr>
        <w:tc>
          <w:tcPr>
            <w:tcW w:type="dxa" w:w="30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1. Seamless Remittance</w:t>
            </w:r>
          </w:p>
        </w:tc>
        <w:tc>
          <w:tcPr>
            <w:tcW w:type="dxa" w:w="70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Effortless transfer of earned income from Malaysia to Bangladesh, to a beneficiary's bank account, MFS wallet, or a cash-pickup point.</w:t>
            </w:r>
          </w:p>
        </w:tc>
      </w:tr>
      <w:tr>
        <w:tc>
          <w:tcPr>
            <w:tcW w:type="dxa" w:w="30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2. Local Bill Management</w:t>
            </w:r>
          </w:p>
        </w:tc>
        <w:tc>
          <w:tcPr>
            <w:tcW w:type="dxa" w:w="70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Payment of utility bills and household expenses for the user's residence/family in Bangladesh, directly from the platform.</w:t>
            </w:r>
          </w:p>
        </w:tc>
      </w:tr>
      <w:tr>
        <w:tc>
          <w:tcPr>
            <w:tcW w:type="dxa" w:w="30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3. Savings &amp; Investment Tools</w:t>
            </w:r>
          </w:p>
        </w:tc>
        <w:tc>
          <w:tcPr>
            <w:tcW w:type="dxa" w:w="70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Deposit into a Bangladeshi savings account and recurring contribution to a Deposit Pension Scheme (DPS).</w:t>
            </w:r>
          </w:p>
        </w:tc>
      </w:tr>
      <w:tr>
        <w:tc>
          <w:tcPr>
            <w:tcW w:type="dxa" w:w="30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4. Consolidation (cross-cutting)</w:t>
            </w:r>
          </w:p>
        </w:tc>
        <w:tc>
          <w:tcPr>
            <w:tcW w:type="dxa" w:w="70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A unified Nest Egg view that ties Pillars 1–3 together into a single, trackable financial position, culminating in a Return-to-Bangladesh consolidation report.</w:t>
            </w:r>
          </w:p>
        </w:tc>
      </w:tr>
    </w:tbl>
    <w:p>
      <w:pPr>
        <w:pStyle w:val="Heading2"/>
        <w:spacing w:after="160" w:before="360"/>
      </w:pPr>
      <w:r>
        <w:rPr>
          <w:rFonts w:ascii="Calibri" w:cs="Calibri" w:eastAsia="Calibri" w:hAnsi="Calibri"/>
          <w:b/>
          <w:bCs/>
          <w:color w:val="1F3864"/>
          <w:sz w:val="26"/>
          <w:szCs w:val="26"/>
        </w:rPr>
        <w:t xml:space="preserve">3.2 In-Scope Features</w:t>
      </w:r>
    </w:p>
    <w:p>
      <w:pPr>
        <w:pStyle w:val="ListParagraph"/>
        <w:numPr>
          <w:ilvl w:val="0"/>
          <w:numId w:val="2"/>
        </w:numPr>
        <w:spacing w:after="80" w:line="264"/>
      </w:pPr>
      <w:r>
        <w:rPr>
          <w:rFonts w:ascii="Calibri" w:cs="Calibri" w:eastAsia="Calibri" w:hAnsi="Calibri"/>
          <w:sz w:val="21"/>
          <w:szCs w:val="21"/>
        </w:rPr>
        <w:t xml:space="preserve">Individual customer registration and digital KYC for Bangladeshi nationals resident in Malaysia (passport/NID + Malaysian work permit / employment pass verification).</w:t>
      </w:r>
    </w:p>
    <w:p>
      <w:pPr>
        <w:pStyle w:val="ListParagraph"/>
        <w:numPr>
          <w:ilvl w:val="0"/>
          <w:numId w:val="2"/>
        </w:numPr>
        <w:spacing w:after="80" w:line="264"/>
      </w:pPr>
      <w:r>
        <w:rPr>
          <w:rFonts w:ascii="Calibri" w:cs="Calibri" w:eastAsia="Calibri" w:hAnsi="Calibri"/>
          <w:sz w:val="21"/>
          <w:szCs w:val="21"/>
        </w:rPr>
        <w:t xml:space="preserve">Single-corridor remittance: MYR (Malaysia) → BDT (Bangladesh) only.</w:t>
      </w:r>
    </w:p>
    <w:p>
      <w:pPr>
        <w:pStyle w:val="ListParagraph"/>
        <w:numPr>
          <w:ilvl w:val="0"/>
          <w:numId w:val="2"/>
        </w:numPr>
        <w:spacing w:after="80" w:line="264"/>
      </w:pPr>
      <w:r>
        <w:rPr>
          <w:rFonts w:ascii="Calibri" w:cs="Calibri" w:eastAsia="Calibri" w:hAnsi="Calibri"/>
          <w:sz w:val="21"/>
          <w:szCs w:val="21"/>
        </w:rPr>
        <w:t xml:space="preserve">Funding methods in Malaysia: online banking transfer (FPX/DuitNow), debit/credit card, and over-the-counter cash deposit at a partner outlet.</w:t>
      </w:r>
    </w:p>
    <w:p>
      <w:pPr>
        <w:pStyle w:val="ListParagraph"/>
        <w:numPr>
          <w:ilvl w:val="0"/>
          <w:numId w:val="2"/>
        </w:numPr>
        <w:spacing w:after="80" w:line="264"/>
      </w:pPr>
      <w:r>
        <w:rPr>
          <w:rFonts w:ascii="Calibri" w:cs="Calibri" w:eastAsia="Calibri" w:hAnsi="Calibri"/>
          <w:sz w:val="21"/>
          <w:szCs w:val="21"/>
        </w:rPr>
        <w:t xml:space="preserve">Payout methods in Bangladesh: bank account deposit (BEFTN/RTGS/NPSB), MFS wallet (bKash, Nagad, Rocket, Upay), and cash pickup at a partner agent location.</w:t>
      </w:r>
    </w:p>
    <w:p>
      <w:pPr>
        <w:pStyle w:val="ListParagraph"/>
        <w:numPr>
          <w:ilvl w:val="0"/>
          <w:numId w:val="2"/>
        </w:numPr>
        <w:spacing w:after="80" w:line="264"/>
      </w:pPr>
      <w:r>
        <w:rPr>
          <w:rFonts w:ascii="Calibri" w:cs="Calibri" w:eastAsia="Calibri" w:hAnsi="Calibri"/>
          <w:sz w:val="21"/>
          <w:szCs w:val="21"/>
        </w:rPr>
        <w:t xml:space="preserve">Beneficiary management for remittance recipients, billers, and savings/DPS nominees.</w:t>
      </w:r>
    </w:p>
    <w:p>
      <w:pPr>
        <w:pStyle w:val="ListParagraph"/>
        <w:numPr>
          <w:ilvl w:val="0"/>
          <w:numId w:val="2"/>
        </w:numPr>
        <w:spacing w:after="80" w:line="264"/>
      </w:pPr>
      <w:r>
        <w:rPr>
          <w:rFonts w:ascii="Calibri" w:cs="Calibri" w:eastAsia="Calibri" w:hAnsi="Calibri"/>
          <w:sz w:val="21"/>
          <w:szCs w:val="21"/>
        </w:rPr>
        <w:t xml:space="preserve">Bill payment for household utilities in Bangladesh: electricity, gas, water/WASA, internet/ISP, and mobile top-up for family members.</w:t>
      </w:r>
    </w:p>
    <w:p>
      <w:pPr>
        <w:pStyle w:val="ListParagraph"/>
        <w:numPr>
          <w:ilvl w:val="0"/>
          <w:numId w:val="2"/>
        </w:numPr>
        <w:spacing w:after="80" w:line="264"/>
      </w:pPr>
      <w:r>
        <w:rPr>
          <w:rFonts w:ascii="Calibri" w:cs="Calibri" w:eastAsia="Calibri" w:hAnsi="Calibri"/>
          <w:sz w:val="21"/>
          <w:szCs w:val="21"/>
        </w:rPr>
        <w:t xml:space="preserve">Recurring/scheduled remittance and recurring/auto bill payment.</w:t>
      </w:r>
    </w:p>
    <w:p>
      <w:pPr>
        <w:pStyle w:val="ListParagraph"/>
        <w:numPr>
          <w:ilvl w:val="0"/>
          <w:numId w:val="2"/>
        </w:numPr>
        <w:spacing w:after="80" w:line="264"/>
      </w:pPr>
      <w:r>
        <w:rPr>
          <w:rFonts w:ascii="Calibri" w:cs="Calibri" w:eastAsia="Calibri" w:hAnsi="Calibri"/>
          <w:sz w:val="21"/>
          <w:szCs w:val="21"/>
        </w:rPr>
        <w:t xml:space="preserve">Savings account linking/opening with Bangladeshi partner banks, and direct top-up from a remittance transaction.</w:t>
      </w:r>
    </w:p>
    <w:p>
      <w:pPr>
        <w:pStyle w:val="ListParagraph"/>
        <w:numPr>
          <w:ilvl w:val="0"/>
          <w:numId w:val="2"/>
        </w:numPr>
        <w:spacing w:after="80" w:line="264"/>
      </w:pPr>
      <w:r>
        <w:rPr>
          <w:rFonts w:ascii="Calibri" w:cs="Calibri" w:eastAsia="Calibri" w:hAnsi="Calibri"/>
          <w:sz w:val="21"/>
          <w:szCs w:val="21"/>
        </w:rPr>
        <w:t xml:space="preserve">DPS product discovery, enrolment, and recurring auto-contribution from Malaysia to a Bangladeshi partner bank DPS account.</w:t>
      </w:r>
    </w:p>
    <w:p>
      <w:pPr>
        <w:pStyle w:val="ListParagraph"/>
        <w:numPr>
          <w:ilvl w:val="0"/>
          <w:numId w:val="2"/>
        </w:numPr>
        <w:spacing w:after="80" w:line="264"/>
      </w:pPr>
      <w:r>
        <w:rPr>
          <w:rFonts w:ascii="Calibri" w:cs="Calibri" w:eastAsia="Calibri" w:hAnsi="Calibri"/>
          <w:sz w:val="21"/>
          <w:szCs w:val="21"/>
        </w:rPr>
        <w:t xml:space="preserve">Consolidated Nest Egg dashboard aggregating total remitted, total bills paid, and total savings/DPS balance and projected maturity value.</w:t>
      </w:r>
    </w:p>
    <w:p>
      <w:pPr>
        <w:pStyle w:val="ListParagraph"/>
        <w:numPr>
          <w:ilvl w:val="0"/>
          <w:numId w:val="2"/>
        </w:numPr>
        <w:spacing w:after="80" w:line="264"/>
      </w:pPr>
      <w:r>
        <w:rPr>
          <w:rFonts w:ascii="Calibri" w:cs="Calibri" w:eastAsia="Calibri" w:hAnsi="Calibri"/>
          <w:sz w:val="21"/>
          <w:szCs w:val="21"/>
        </w:rPr>
        <w:t xml:space="preserve">Return-to-Bangladesh planning tools and a final consolidation report at account closure.</w:t>
      </w:r>
    </w:p>
    <w:p>
      <w:pPr>
        <w:pStyle w:val="ListParagraph"/>
        <w:numPr>
          <w:ilvl w:val="0"/>
          <w:numId w:val="2"/>
        </w:numPr>
        <w:spacing w:after="80" w:line="264"/>
      </w:pPr>
      <w:r>
        <w:rPr>
          <w:rFonts w:ascii="Calibri" w:cs="Calibri" w:eastAsia="Calibri" w:hAnsi="Calibri"/>
          <w:sz w:val="21"/>
          <w:szCs w:val="21"/>
        </w:rPr>
        <w:t xml:space="preserve">Full AML/CTF compliance: KYC/eKYC, sanctions and PEP screening (sender and beneficiary/biller side), transaction monitoring, and regulatory reporting in both jurisdictions.</w:t>
      </w:r>
    </w:p>
    <w:p>
      <w:pPr>
        <w:pStyle w:val="ListParagraph"/>
        <w:numPr>
          <w:ilvl w:val="0"/>
          <w:numId w:val="2"/>
        </w:numPr>
        <w:spacing w:after="80" w:line="264"/>
      </w:pPr>
      <w:r>
        <w:rPr>
          <w:rFonts w:ascii="Calibri" w:cs="Calibri" w:eastAsia="Calibri" w:hAnsi="Calibri"/>
          <w:sz w:val="21"/>
          <w:szCs w:val="21"/>
        </w:rPr>
        <w:t xml:space="preserve">Customer notifications (push/SMS/email), in-app support, and complaint handling.</w:t>
      </w:r>
    </w:p>
    <w:p>
      <w:pPr>
        <w:pStyle w:val="ListParagraph"/>
        <w:numPr>
          <w:ilvl w:val="0"/>
          <w:numId w:val="2"/>
        </w:numPr>
        <w:spacing w:after="80" w:line="264"/>
      </w:pPr>
      <w:r>
        <w:rPr>
          <w:rFonts w:ascii="Calibri" w:cs="Calibri" w:eastAsia="Calibri" w:hAnsi="Calibri"/>
          <w:sz w:val="21"/>
          <w:szCs w:val="21"/>
        </w:rPr>
        <w:t xml:space="preserve">Bengali, English, and Bahasa Malaysia language support.</w:t>
      </w:r>
    </w:p>
    <w:p>
      <w:pPr>
        <w:pStyle w:val="Heading2"/>
        <w:spacing w:after="160" w:before="360"/>
      </w:pPr>
      <w:r>
        <w:rPr>
          <w:rFonts w:ascii="Calibri" w:cs="Calibri" w:eastAsia="Calibri" w:hAnsi="Calibri"/>
          <w:b/>
          <w:bCs/>
          <w:color w:val="1F3864"/>
          <w:sz w:val="26"/>
          <w:szCs w:val="26"/>
        </w:rPr>
        <w:t xml:space="preserve">3.3 Out-of-Scope (Explicitly Excluded)</w:t>
      </w:r>
    </w:p>
    <w:p>
      <w:pPr>
        <w:spacing w:after="160" w:line="276"/>
      </w:pPr>
      <w:r>
        <w:rPr>
          <w:rFonts w:ascii="Calibri" w:cs="Calibri" w:eastAsia="Calibri" w:hAnsi="Calibri"/>
          <w:b w:val="false"/>
          <w:bCs w:val="false"/>
          <w:i w:val="false"/>
          <w:iCs w:val="false"/>
          <w:color w:val="222222"/>
          <w:sz w:val="21"/>
          <w:szCs w:val="21"/>
        </w:rPr>
        <w:t xml:space="preserve">To protect RemmiNext's sole purpose and regulatory posture, the following are explicitly excluded from the platform, regardless of what may be technically feasible or commercially tempting to add later:</w:t>
      </w:r>
    </w:p>
    <w:p>
      <w:pPr>
        <w:pStyle w:val="ListParagraph"/>
        <w:numPr>
          <w:ilvl w:val="0"/>
          <w:numId w:val="2"/>
        </w:numPr>
        <w:spacing w:after="80" w:line="264"/>
      </w:pPr>
      <w:r>
        <w:rPr>
          <w:rFonts w:ascii="Calibri" w:cs="Calibri" w:eastAsia="Calibri" w:hAnsi="Calibri"/>
          <w:sz w:val="21"/>
          <w:szCs w:val="21"/>
        </w:rPr>
        <w:t xml:space="preserve">Multi-currency wallets or any currency pair other than MYR/BDT.</w:t>
      </w:r>
    </w:p>
    <w:p>
      <w:pPr>
        <w:pStyle w:val="ListParagraph"/>
        <w:numPr>
          <w:ilvl w:val="0"/>
          <w:numId w:val="2"/>
        </w:numPr>
        <w:spacing w:after="80" w:line="264"/>
      </w:pPr>
      <w:r>
        <w:rPr>
          <w:rFonts w:ascii="Calibri" w:cs="Calibri" w:eastAsia="Calibri" w:hAnsi="Calibri"/>
          <w:sz w:val="21"/>
          <w:szCs w:val="21"/>
        </w:rPr>
        <w:t xml:space="preserve">Cryptocurrency, digital assets, or any crypto-adjacent product.</w:t>
      </w:r>
    </w:p>
    <w:p>
      <w:pPr>
        <w:pStyle w:val="ListParagraph"/>
        <w:numPr>
          <w:ilvl w:val="0"/>
          <w:numId w:val="2"/>
        </w:numPr>
        <w:spacing w:after="80" w:line="264"/>
      </w:pPr>
      <w:r>
        <w:rPr>
          <w:rFonts w:ascii="Calibri" w:cs="Calibri" w:eastAsia="Calibri" w:hAnsi="Calibri"/>
          <w:sz w:val="21"/>
          <w:szCs w:val="21"/>
        </w:rPr>
        <w:t xml:space="preserve">General-purpose neo-banking features: lending, credit cards, general insurance, or trading/brokerage products.</w:t>
      </w:r>
    </w:p>
    <w:p>
      <w:pPr>
        <w:pStyle w:val="ListParagraph"/>
        <w:numPr>
          <w:ilvl w:val="0"/>
          <w:numId w:val="2"/>
        </w:numPr>
        <w:spacing w:after="80" w:line="264"/>
      </w:pPr>
      <w:r>
        <w:rPr>
          <w:rFonts w:ascii="Calibri" w:cs="Calibri" w:eastAsia="Calibri" w:hAnsi="Calibri"/>
          <w:sz w:val="21"/>
          <w:szCs w:val="21"/>
        </w:rPr>
        <w:t xml:space="preserve">Peer-to-peer payments to non-family / non-household counterparties, or general merchant payments unrelated to the user's Bangladesh household.</w:t>
      </w:r>
    </w:p>
    <w:p>
      <w:pPr>
        <w:pStyle w:val="ListParagraph"/>
        <w:numPr>
          <w:ilvl w:val="0"/>
          <w:numId w:val="2"/>
        </w:numPr>
        <w:spacing w:after="80" w:line="264"/>
      </w:pPr>
      <w:r>
        <w:rPr>
          <w:rFonts w:ascii="Calibri" w:cs="Calibri" w:eastAsia="Calibri" w:hAnsi="Calibri"/>
          <w:sz w:val="21"/>
          <w:szCs w:val="21"/>
        </w:rPr>
        <w:t xml:space="preserve">"Split bill" social payment features, gift cards, or loyalty/rewards marketplaces.</w:t>
      </w:r>
    </w:p>
    <w:p>
      <w:pPr>
        <w:pStyle w:val="ListParagraph"/>
        <w:numPr>
          <w:ilvl w:val="0"/>
          <w:numId w:val="2"/>
        </w:numPr>
        <w:spacing w:after="80" w:line="264"/>
      </w:pPr>
      <w:r>
        <w:rPr>
          <w:rFonts w:ascii="Calibri" w:cs="Calibri" w:eastAsia="Calibri" w:hAnsi="Calibri"/>
          <w:sz w:val="21"/>
          <w:szCs w:val="21"/>
        </w:rPr>
        <w:t xml:space="preserve">Business or corporate accounts, bulk salary disbursement, invoicing, or expense management modules.</w:t>
      </w:r>
    </w:p>
    <w:p>
      <w:pPr>
        <w:pStyle w:val="ListParagraph"/>
        <w:numPr>
          <w:ilvl w:val="0"/>
          <w:numId w:val="2"/>
        </w:numPr>
        <w:spacing w:after="80" w:line="264"/>
      </w:pPr>
      <w:r>
        <w:rPr>
          <w:rFonts w:ascii="Calibri" w:cs="Calibri" w:eastAsia="Calibri" w:hAnsi="Calibri"/>
          <w:sz w:val="21"/>
          <w:szCs w:val="21"/>
        </w:rPr>
        <w:t xml:space="preserve">Any remittance corridor other than Malaysia → Bangladesh (e.g., no Bangladesh → Malaysia reverse flow, no third-country corridors).</w:t>
      </w:r>
    </w:p>
    <w:p>
      <w:pPr>
        <w:pStyle w:val="ListParagraph"/>
        <w:numPr>
          <w:ilvl w:val="0"/>
          <w:numId w:val="2"/>
        </w:numPr>
        <w:spacing w:after="80" w:line="264"/>
      </w:pPr>
      <w:r>
        <w:rPr>
          <w:rFonts w:ascii="Calibri" w:cs="Calibri" w:eastAsia="Calibri" w:hAnsi="Calibri"/>
          <w:sz w:val="21"/>
          <w:szCs w:val="21"/>
        </w:rPr>
        <w:t xml:space="preserve">Domestic Malaysia-only payments unrelated to the Bangladesh household (e.g., Malaysian utility bills, Malaysian merchant QR payments).</w:t>
      </w:r>
    </w:p>
    <w:p>
      <w:pPr>
        <w:pStyle w:val="ListParagraph"/>
        <w:numPr>
          <w:ilvl w:val="0"/>
          <w:numId w:val="2"/>
        </w:numPr>
        <w:spacing w:after="80" w:line="264"/>
      </w:pPr>
      <w:r>
        <w:rPr>
          <w:rFonts w:ascii="Calibri" w:cs="Calibri" w:eastAsia="Calibri" w:hAnsi="Calibri"/>
          <w:sz w:val="21"/>
          <w:szCs w:val="21"/>
        </w:rPr>
        <w:t xml:space="preserve">Investment or trading products other than the Bangladeshi partner bank savings account and DPS.</w:t>
      </w:r>
    </w:p>
    <w:p>
      <w:pPr>
        <w:pStyle w:val="ListParagraph"/>
        <w:numPr>
          <w:ilvl w:val="0"/>
          <w:numId w:val="2"/>
        </w:numPr>
        <w:spacing w:after="80" w:line="264"/>
      </w:pPr>
      <w:r>
        <w:rPr>
          <w:rFonts w:ascii="Calibri" w:cs="Calibri" w:eastAsia="Calibri" w:hAnsi="Calibri"/>
          <w:sz w:val="21"/>
          <w:szCs w:val="21"/>
        </w:rPr>
        <w:t xml:space="preserve">A public web application in the initial releases (mobile-first, per the target persona's device profile); a web app may be considered in a future phase strictly for account review, not transacting.</w:t>
      </w:r>
    </w:p>
    <w:p>
      <w:pPr>
        <w:pBdr>
          <w:left w:val="single" w:color="0F6B72" w:sz="12" w:space="8"/>
        </w:pBdr>
        <w:spacing w:after="200" w:before="100"/>
        <w:ind w:left="200"/>
      </w:pPr>
      <w:r>
        <w:rPr>
          <w:rFonts w:ascii="Calibri" w:cs="Calibri" w:eastAsia="Calibri" w:hAnsi="Calibri"/>
          <w:i/>
          <w:iCs/>
          <w:color w:val="595959"/>
          <w:sz w:val="20"/>
          <w:szCs w:val="20"/>
        </w:rPr>
        <w:t xml:space="preserve">Note: Any change request that reintroduces an out-of-scope item must be escalated to the Product Sponsor and Head of Compliance, since it may affect RemmiNext's Malaysian remittance licence conditions.</w:t>
      </w:r>
    </w:p>
    <w:p>
      <w:pPr>
        <w:pStyle w:val="Heading2"/>
        <w:spacing w:after="160" w:before="360"/>
      </w:pPr>
      <w:r>
        <w:rPr>
          <w:rFonts w:ascii="Calibri" w:cs="Calibri" w:eastAsia="Calibri" w:hAnsi="Calibri"/>
          <w:b/>
          <w:bCs/>
          <w:color w:val="1F3864"/>
          <w:sz w:val="26"/>
          <w:szCs w:val="26"/>
        </w:rPr>
        <w:t xml:space="preserve">3.4 Assumptions</w:t>
      </w:r>
    </w:p>
    <w:p>
      <w:pPr>
        <w:pStyle w:val="ListParagraph"/>
        <w:numPr>
          <w:ilvl w:val="0"/>
          <w:numId w:val="2"/>
        </w:numPr>
        <w:spacing w:after="80" w:line="264"/>
      </w:pPr>
      <w:r>
        <w:rPr>
          <w:rFonts w:ascii="Calibri" w:cs="Calibri" w:eastAsia="Calibri" w:hAnsi="Calibri"/>
          <w:sz w:val="21"/>
          <w:szCs w:val="21"/>
        </w:rPr>
        <w:t xml:space="preserve">RemmiNext will hold a valid Money Services Business (Remittance) licence from Bank Negara Malaysia prior to go-live.</w:t>
      </w:r>
    </w:p>
    <w:p>
      <w:pPr>
        <w:pStyle w:val="ListParagraph"/>
        <w:numPr>
          <w:ilvl w:val="0"/>
          <w:numId w:val="2"/>
        </w:numPr>
        <w:spacing w:after="80" w:line="264"/>
      </w:pPr>
      <w:r>
        <w:rPr>
          <w:rFonts w:ascii="Calibri" w:cs="Calibri" w:eastAsia="Calibri" w:hAnsi="Calibri"/>
          <w:sz w:val="21"/>
          <w:szCs w:val="21"/>
        </w:rPr>
        <w:t xml:space="preserve">RemmiNext is not itself a deposit-taking institution in Bangladesh; savings accounts and DPS products are issued and held by licensed Bangladeshi partner banks, with RemmiNext acting as a regulated facilitation and origination layer via API integration.</w:t>
      </w:r>
    </w:p>
    <w:p>
      <w:pPr>
        <w:pStyle w:val="ListParagraph"/>
        <w:numPr>
          <w:ilvl w:val="0"/>
          <w:numId w:val="2"/>
        </w:numPr>
        <w:spacing w:after="80" w:line="264"/>
      </w:pPr>
      <w:r>
        <w:rPr>
          <w:rFonts w:ascii="Calibri" w:cs="Calibri" w:eastAsia="Calibri" w:hAnsi="Calibri"/>
          <w:sz w:val="21"/>
          <w:szCs w:val="21"/>
        </w:rPr>
        <w:t xml:space="preserve">Payout in Bangladesh (bank, MFS, cash pickup) is executed through licensed local payout partners, not directly by RemmiNext.</w:t>
      </w:r>
    </w:p>
    <w:p>
      <w:pPr>
        <w:pStyle w:val="ListParagraph"/>
        <w:numPr>
          <w:ilvl w:val="0"/>
          <w:numId w:val="2"/>
        </w:numPr>
        <w:spacing w:after="80" w:line="264"/>
      </w:pPr>
      <w:r>
        <w:rPr>
          <w:rFonts w:ascii="Calibri" w:cs="Calibri" w:eastAsia="Calibri" w:hAnsi="Calibri"/>
          <w:sz w:val="21"/>
          <w:szCs w:val="21"/>
        </w:rPr>
        <w:t xml:space="preserve">FX rates are sourced from a treasury/FX rate provider and refreshed in real time (or at an agreed minimum interval) with a transparent, auditable markup.</w:t>
      </w:r>
    </w:p>
    <w:p>
      <w:pPr>
        <w:pStyle w:val="ListParagraph"/>
        <w:numPr>
          <w:ilvl w:val="0"/>
          <w:numId w:val="2"/>
        </w:numPr>
        <w:spacing w:after="80" w:line="264"/>
      </w:pPr>
      <w:r>
        <w:rPr>
          <w:rFonts w:ascii="Calibri" w:cs="Calibri" w:eastAsia="Calibri" w:hAnsi="Calibri"/>
          <w:sz w:val="21"/>
          <w:szCs w:val="21"/>
        </w:rPr>
        <w:t xml:space="preserve">The Government of Bangladesh's cash incentive scheme on inward remittance (currently 2.5%) remains available and is administered through the payout partner bank; RemmiNext will surface and reconcile, but not itself disburse, this incentive.</w:t>
      </w:r>
    </w:p>
    <w:p>
      <w:pPr>
        <w:pStyle w:val="ListParagraph"/>
        <w:numPr>
          <w:ilvl w:val="0"/>
          <w:numId w:val="2"/>
        </w:numPr>
        <w:spacing w:after="80" w:line="264"/>
      </w:pPr>
      <w:r>
        <w:rPr>
          <w:rFonts w:ascii="Calibri" w:cs="Calibri" w:eastAsia="Calibri" w:hAnsi="Calibri"/>
          <w:sz w:val="21"/>
          <w:szCs w:val="21"/>
        </w:rPr>
        <w:t xml:space="preserve">The initial release targets Android and iOS only; devices are assumed to be mid-range smartphones with intermittent connectivity.</w:t>
      </w:r>
    </w:p>
    <w:p>
      <w:pPr>
        <w:pStyle w:val="ListParagraph"/>
        <w:numPr>
          <w:ilvl w:val="0"/>
          <w:numId w:val="2"/>
        </w:numPr>
        <w:spacing w:after="80" w:line="264"/>
      </w:pPr>
      <w:r>
        <w:rPr>
          <w:rFonts w:ascii="Calibri" w:cs="Calibri" w:eastAsia="Calibri" w:hAnsi="Calibri"/>
          <w:sz w:val="21"/>
          <w:szCs w:val="21"/>
        </w:rPr>
        <w:t xml:space="preserve">Beneficiaries in Bangladesh are not required to hold a RemmiNext account; they only need a valid bank account, MFS wallet, or ability to collect cash at a partner agent.</w:t>
      </w:r>
    </w:p>
    <w:p>
      <w:pPr>
        <w:pStyle w:val="Heading2"/>
        <w:spacing w:after="160" w:before="360"/>
      </w:pPr>
      <w:r>
        <w:rPr>
          <w:rFonts w:ascii="Calibri" w:cs="Calibri" w:eastAsia="Calibri" w:hAnsi="Calibri"/>
          <w:b/>
          <w:bCs/>
          <w:color w:val="1F3864"/>
          <w:sz w:val="26"/>
          <w:szCs w:val="26"/>
        </w:rPr>
        <w:t xml:space="preserve">3.5 Constraints</w:t>
      </w:r>
    </w:p>
    <w:p>
      <w:pPr>
        <w:pStyle w:val="ListParagraph"/>
        <w:numPr>
          <w:ilvl w:val="0"/>
          <w:numId w:val="2"/>
        </w:numPr>
        <w:spacing w:after="80" w:line="264"/>
      </w:pPr>
      <w:r>
        <w:rPr>
          <w:rFonts w:ascii="Calibri" w:cs="Calibri" w:eastAsia="Calibri" w:hAnsi="Calibri"/>
          <w:sz w:val="21"/>
          <w:szCs w:val="21"/>
        </w:rPr>
        <w:t xml:space="preserve">The platform must operate under two separate regulatory regimes simultaneously (Malaysia and Bangladesh) for every transaction that crosses the corridor.</w:t>
      </w:r>
    </w:p>
    <w:p>
      <w:pPr>
        <w:pStyle w:val="ListParagraph"/>
        <w:numPr>
          <w:ilvl w:val="0"/>
          <w:numId w:val="2"/>
        </w:numPr>
        <w:spacing w:after="80" w:line="264"/>
      </w:pPr>
      <w:r>
        <w:rPr>
          <w:rFonts w:ascii="Calibri" w:cs="Calibri" w:eastAsia="Calibri" w:hAnsi="Calibri"/>
          <w:sz w:val="21"/>
          <w:szCs w:val="21"/>
        </w:rPr>
        <w:t xml:space="preserve">Real-time payout is dependent on the uptime and API availability of third-party Bangladeshi banks and MFS providers, which RemmiNext does not control.</w:t>
      </w:r>
    </w:p>
    <w:p>
      <w:pPr>
        <w:pStyle w:val="ListParagraph"/>
        <w:numPr>
          <w:ilvl w:val="0"/>
          <w:numId w:val="2"/>
        </w:numPr>
        <w:spacing w:after="80" w:line="264"/>
      </w:pPr>
      <w:r>
        <w:rPr>
          <w:rFonts w:ascii="Calibri" w:cs="Calibri" w:eastAsia="Calibri" w:hAnsi="Calibri"/>
          <w:sz w:val="21"/>
          <w:szCs w:val="21"/>
        </w:rPr>
        <w:t xml:space="preserve">DPS and savings product terms (interest/profit rates, tenure, minimum contribution) are set by the partner bank, not by RemmiNext, and must be reflected accurately and kept in sync.</w:t>
      </w:r>
    </w:p>
    <w:p>
      <w:pPr>
        <w:pStyle w:val="ListParagraph"/>
        <w:numPr>
          <w:ilvl w:val="0"/>
          <w:numId w:val="2"/>
        </w:numPr>
        <w:spacing w:after="80" w:line="264"/>
      </w:pPr>
      <w:r>
        <w:rPr>
          <w:rFonts w:ascii="Calibri" w:cs="Calibri" w:eastAsia="Calibri" w:hAnsi="Calibri"/>
          <w:sz w:val="21"/>
          <w:szCs w:val="21"/>
        </w:rPr>
        <w:t xml:space="preserve">Government incentive eligibility rules and rates are subject to change by Bangladesh Bank circular and must be configurable, not hard-coded.</w:t>
      </w:r>
    </w:p>
    <w:p>
      <w:pPr>
        <w:pStyle w:val="Heading1"/>
        <w:pageBreakBefore/>
        <w:pBdr>
          <w:bottom w:val="single" w:color="1F3864" w:sz="6" w:space="4"/>
        </w:pBdr>
        <w:spacing w:after="240" w:before="480"/>
      </w:pPr>
      <w:r>
        <w:rPr>
          <w:rFonts w:ascii="Calibri" w:cs="Calibri" w:eastAsia="Calibri" w:hAnsi="Calibri"/>
          <w:b/>
          <w:bCs/>
          <w:color w:val="1F3864"/>
          <w:sz w:val="32"/>
          <w:szCs w:val="32"/>
        </w:rPr>
        <w:t xml:space="preserve">4. Stakeholders &amp; Delivery Team</w:t>
      </w:r>
    </w:p>
    <w:p>
      <w:pPr>
        <w:pStyle w:val="Heading2"/>
        <w:spacing w:after="160" w:before="360"/>
      </w:pPr>
      <w:r>
        <w:rPr>
          <w:rFonts w:ascii="Calibri" w:cs="Calibri" w:eastAsia="Calibri" w:hAnsi="Calibri"/>
          <w:b/>
          <w:bCs/>
          <w:color w:val="1F3864"/>
          <w:sz w:val="26"/>
          <w:szCs w:val="26"/>
        </w:rPr>
        <w:t xml:space="preserve">4.1 Application Landscape</w:t>
      </w:r>
    </w:p>
    <w:p>
      <w:pPr>
        <w:spacing w:after="160" w:line="276"/>
      </w:pPr>
      <w:r>
        <w:rPr>
          <w:rFonts w:ascii="Calibri" w:cs="Calibri" w:eastAsia="Calibri" w:hAnsi="Calibri"/>
          <w:b w:val="false"/>
          <w:bCs w:val="false"/>
          <w:i w:val="false"/>
          <w:iCs w:val="false"/>
          <w:color w:val="222222"/>
          <w:sz w:val="21"/>
          <w:szCs w:val="21"/>
        </w:rPr>
        <w:t xml:space="preserve">RemmiNext will be delivered as two coordinated applications sharing a common core services layer:</w:t>
      </w:r>
    </w:p>
    <w:tbl>
      <w:tblPr>
        <w:tblW w:type="dxa" w:w="100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800"/>
      </w:tblGrid>
      <w:tr>
        <w:trPr>
          <w:tblHeader/>
        </w:trPr>
        <w:tc>
          <w:tcPr>
            <w:tcW w:type="dxa" w:w="32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Application</w:t>
            </w:r>
          </w:p>
        </w:tc>
        <w:tc>
          <w:tcPr>
            <w:tcW w:type="dxa" w:w="68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Purpose</w:t>
            </w:r>
          </w:p>
        </w:tc>
      </w:tr>
      <w:tr>
        <w:tc>
          <w:tcPr>
            <w:tcW w:type="dxa" w:w="3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RemmiNext Customer App</w:t>
            </w:r>
          </w:p>
        </w:tc>
        <w:tc>
          <w:tcPr>
            <w:tcW w:type="dxa" w:w="68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The retail, customer-facing application through which the Remitter registers, completes KYC, sends remittances, pays bills, manages savings/DPS, and views their Nest Egg dashboard. Delivered first for Android and iOS; a review-only web companion may follow in a later phase.</w:t>
            </w:r>
          </w:p>
        </w:tc>
      </w:tr>
      <w:tr>
        <w:tc>
          <w:tcPr>
            <w:tcW w:type="dxa" w:w="3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RemmiNext Ops Console</w:t>
            </w:r>
          </w:p>
        </w:tc>
        <w:tc>
          <w:tcPr>
            <w:tcW w:type="dxa" w:w="68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The internal back-office application used by RemmiNext staff for configuration, customer/beneficiary management, compliance and transaction monitoring, treasury/FX management, payout-partner integration management, and reporting.</w:t>
            </w:r>
          </w:p>
        </w:tc>
      </w:tr>
    </w:tbl>
    <w:p>
      <w:pPr>
        <w:spacing w:after="160" w:line="276"/>
      </w:pPr>
      <w:r>
        <w:rPr>
          <w:rFonts w:ascii="Calibri" w:cs="Calibri" w:eastAsia="Calibri" w:hAnsi="Calibri"/>
          <w:b w:val="false"/>
          <w:bCs w:val="false"/>
          <w:i w:val="false"/>
          <w:iCs w:val="false"/>
          <w:color w:val="222222"/>
          <w:sz w:val="21"/>
          <w:szCs w:val="21"/>
        </w:rPr>
        <w:t xml:space="preserve">A thin Partner Integration Layer sits behind the Ops Console to connect RemmiNext to Bangladeshi payout banks, MFS providers, cash-pickup agent networks, utility billers, and Bangladeshi savings/DPS-issuing banks. This layer is not a customer- or third-party-facing product in its own right for the scope covered by this document.</w:t>
      </w:r>
    </w:p>
    <w:p>
      <w:pPr>
        <w:pStyle w:val="Heading2"/>
        <w:spacing w:after="160" w:before="360"/>
      </w:pPr>
      <w:r>
        <w:rPr>
          <w:rFonts w:ascii="Calibri" w:cs="Calibri" w:eastAsia="Calibri" w:hAnsi="Calibri"/>
          <w:b/>
          <w:bCs/>
          <w:color w:val="1F3864"/>
          <w:sz w:val="26"/>
          <w:szCs w:val="26"/>
        </w:rPr>
        <w:t xml:space="preserve">4.2 Key Stakeholder Roles</w:t>
      </w:r>
    </w:p>
    <w:tbl>
      <w:tblPr>
        <w:tblW w:type="dxa" w:w="10000"/>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6800"/>
      </w:tblGrid>
      <w:tr>
        <w:trPr>
          <w:tblHeader/>
        </w:trPr>
        <w:tc>
          <w:tcPr>
            <w:tcW w:type="dxa" w:w="32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Role</w:t>
            </w:r>
          </w:p>
        </w:tc>
        <w:tc>
          <w:tcPr>
            <w:tcW w:type="dxa" w:w="68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Responsibility</w:t>
            </w:r>
          </w:p>
        </w:tc>
      </w:tr>
      <w:tr>
        <w:tc>
          <w:tcPr>
            <w:tcW w:type="dxa" w:w="3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Product Sponsor / CEO</w:t>
            </w:r>
          </w:p>
        </w:tc>
        <w:tc>
          <w:tcPr>
            <w:tcW w:type="dxa" w:w="68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Overall business ownership and final requirement sign-off</w:t>
            </w:r>
          </w:p>
        </w:tc>
      </w:tr>
      <w:tr>
        <w:tc>
          <w:tcPr>
            <w:tcW w:type="dxa" w:w="3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Head of Compliance (MLRO)</w:t>
            </w:r>
          </w:p>
        </w:tc>
        <w:tc>
          <w:tcPr>
            <w:tcW w:type="dxa" w:w="68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AML/CTF policy, sanctions screening rules, regulatory reporting obligations in Malaysia and Bangladesh</w:t>
            </w:r>
          </w:p>
        </w:tc>
      </w:tr>
      <w:tr>
        <w:tc>
          <w:tcPr>
            <w:tcW w:type="dxa" w:w="3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Head of Treasury</w:t>
            </w:r>
          </w:p>
        </w:tc>
        <w:tc>
          <w:tcPr>
            <w:tcW w:type="dxa" w:w="68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FX rate sourcing and markup policy, settlement with payout partners, liquidity management</w:t>
            </w:r>
          </w:p>
        </w:tc>
      </w:tr>
      <w:tr>
        <w:tc>
          <w:tcPr>
            <w:tcW w:type="dxa" w:w="3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Head of Product</w:t>
            </w:r>
          </w:p>
        </w:tc>
        <w:tc>
          <w:tcPr>
            <w:tcW w:type="dxa" w:w="68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Requirement prioritisation, release scoping, UX direction</w:t>
            </w:r>
          </w:p>
        </w:tc>
      </w:tr>
      <w:tr>
        <w:tc>
          <w:tcPr>
            <w:tcW w:type="dxa" w:w="3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Customer Support Lead</w:t>
            </w:r>
          </w:p>
        </w:tc>
        <w:tc>
          <w:tcPr>
            <w:tcW w:type="dxa" w:w="68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Support workflows, complaint handling SLAs, FAQ content</w:t>
            </w:r>
          </w:p>
        </w:tc>
      </w:tr>
      <w:tr>
        <w:tc>
          <w:tcPr>
            <w:tcW w:type="dxa" w:w="3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Project Manager (delivery partner)</w:t>
            </w:r>
          </w:p>
        </w:tc>
        <w:tc>
          <w:tcPr>
            <w:tcW w:type="dxa" w:w="68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Delivery planning, release management, RTM maintenance</w:t>
            </w:r>
          </w:p>
        </w:tc>
      </w:tr>
      <w:tr>
        <w:tc>
          <w:tcPr>
            <w:tcW w:type="dxa" w:w="3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Solution Architect (delivery partner)</w:t>
            </w:r>
          </w:p>
        </w:tc>
        <w:tc>
          <w:tcPr>
            <w:tcW w:type="dxa" w:w="68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Technical design, third-party integration architecture, security architecture</w:t>
            </w:r>
          </w:p>
        </w:tc>
      </w:tr>
      <w:tr>
        <w:tc>
          <w:tcPr>
            <w:tcW w:type="dxa" w:w="3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QA Lead (delivery partner)</w:t>
            </w:r>
          </w:p>
        </w:tc>
        <w:tc>
          <w:tcPr>
            <w:tcW w:type="dxa" w:w="68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Test strategy, UAT coordination, defect management</w:t>
            </w:r>
          </w:p>
        </w:tc>
      </w:tr>
    </w:tbl>
    <w:p>
      <w:pPr>
        <w:pStyle w:val="Heading2"/>
        <w:spacing w:after="160" w:before="360"/>
      </w:pPr>
      <w:r>
        <w:rPr>
          <w:rFonts w:ascii="Calibri" w:cs="Calibri" w:eastAsia="Calibri" w:hAnsi="Calibri"/>
          <w:b/>
          <w:bCs/>
          <w:color w:val="1F3864"/>
          <w:sz w:val="26"/>
          <w:szCs w:val="26"/>
        </w:rPr>
        <w:t xml:space="preserve">4.3 Software Development Team</w:t>
      </w:r>
    </w:p>
    <w:p>
      <w:pPr>
        <w:spacing w:after="160" w:line="276"/>
      </w:pPr>
      <w:r>
        <w:rPr>
          <w:rFonts w:ascii="Calibri" w:cs="Calibri" w:eastAsia="Calibri" w:hAnsi="Calibri"/>
          <w:b w:val="false"/>
          <w:bCs w:val="false"/>
          <w:i w:val="false"/>
          <w:iCs w:val="false"/>
          <w:color w:val="222222"/>
          <w:sz w:val="21"/>
          <w:szCs w:val="21"/>
        </w:rPr>
        <w:t xml:space="preserve">RemmiNext will engage a dedicated software development partner to deliver the Customer App, the Ops Console, and the Partner Integration Layer in line with the business requirements specified in this document, unless otherwise formally varied in writing by RemmiNext and the delivery partner, which variation shall supersede the relevant part of this document.</w:t>
      </w:r>
    </w:p>
    <w:p>
      <w:pPr>
        <w:spacing w:after="160" w:line="276"/>
      </w:pPr>
      <w:r>
        <w:rPr>
          <w:rFonts w:ascii="Calibri" w:cs="Calibri" w:eastAsia="Calibri" w:hAnsi="Calibri"/>
          <w:b w:val="false"/>
          <w:bCs w:val="false"/>
          <w:i w:val="false"/>
          <w:iCs w:val="false"/>
          <w:color w:val="222222"/>
          <w:sz w:val="21"/>
          <w:szCs w:val="21"/>
        </w:rPr>
        <w:t xml:space="preserve">The scope of the engagement includes:</w:t>
      </w:r>
    </w:p>
    <w:p>
      <w:pPr>
        <w:pStyle w:val="ListParagraph"/>
        <w:numPr>
          <w:ilvl w:val="0"/>
          <w:numId w:val="2"/>
        </w:numPr>
        <w:spacing w:after="80" w:line="264"/>
      </w:pPr>
      <w:r>
        <w:rPr>
          <w:rFonts w:ascii="Calibri" w:cs="Calibri" w:eastAsia="Calibri" w:hAnsi="Calibri"/>
          <w:sz w:val="21"/>
          <w:szCs w:val="21"/>
        </w:rPr>
        <w:t xml:space="preserve">Development of the features and functionalities per the release schedule in Section 6.</w:t>
      </w:r>
    </w:p>
    <w:p>
      <w:pPr>
        <w:pStyle w:val="ListParagraph"/>
        <w:numPr>
          <w:ilvl w:val="0"/>
          <w:numId w:val="2"/>
        </w:numPr>
        <w:spacing w:after="80" w:line="264"/>
      </w:pPr>
      <w:r>
        <w:rPr>
          <w:rFonts w:ascii="Calibri" w:cs="Calibri" w:eastAsia="Calibri" w:hAnsi="Calibri"/>
          <w:sz w:val="21"/>
          <w:szCs w:val="21"/>
        </w:rPr>
        <w:t xml:space="preserve">Integration of third-party APIs for eKYC, sanctions/PEP screening, payment gateway (funding), open banking (where available), payout partners (bank/MFS/cash pickup), utility billers, savings/DPS partner banks, SMS gateway, and email/push notification gateway.</w:t>
      </w:r>
    </w:p>
    <w:p>
      <w:pPr>
        <w:pStyle w:val="ListParagraph"/>
        <w:numPr>
          <w:ilvl w:val="0"/>
          <w:numId w:val="2"/>
        </w:numPr>
        <w:spacing w:after="80" w:line="264"/>
      </w:pPr>
      <w:r>
        <w:rPr>
          <w:rFonts w:ascii="Calibri" w:cs="Calibri" w:eastAsia="Calibri" w:hAnsi="Calibri"/>
          <w:sz w:val="21"/>
          <w:szCs w:val="21"/>
        </w:rPr>
        <w:t xml:space="preserve">Testing by the delivery partner prior to hand-over for User Acceptance Testing (UAT).</w:t>
      </w:r>
    </w:p>
    <w:p>
      <w:pPr>
        <w:pStyle w:val="ListParagraph"/>
        <w:numPr>
          <w:ilvl w:val="0"/>
          <w:numId w:val="2"/>
        </w:numPr>
        <w:spacing w:after="80" w:line="264"/>
      </w:pPr>
      <w:r>
        <w:rPr>
          <w:rFonts w:ascii="Calibri" w:cs="Calibri" w:eastAsia="Calibri" w:hAnsi="Calibri"/>
          <w:sz w:val="21"/>
          <w:szCs w:val="21"/>
        </w:rPr>
        <w:t xml:space="preserve">Preparation of the SRS, technical design, database entity diagrams, component diagrams, deployment diagrams, architectural layer diagrams, and data flow diagrams.</w:t>
      </w:r>
    </w:p>
    <w:p>
      <w:pPr>
        <w:pStyle w:val="ListParagraph"/>
        <w:numPr>
          <w:ilvl w:val="0"/>
          <w:numId w:val="2"/>
        </w:numPr>
        <w:spacing w:after="80" w:line="264"/>
      </w:pPr>
      <w:r>
        <w:rPr>
          <w:rFonts w:ascii="Calibri" w:cs="Calibri" w:eastAsia="Calibri" w:hAnsi="Calibri"/>
          <w:sz w:val="21"/>
          <w:szCs w:val="21"/>
        </w:rPr>
        <w:t xml:space="preserve">Quality assurance of source code, including security review prior to each release.</w:t>
      </w:r>
    </w:p>
    <w:p>
      <w:pPr>
        <w:pStyle w:val="Heading1"/>
        <w:pageBreakBefore/>
        <w:pBdr>
          <w:bottom w:val="single" w:color="1F3864" w:sz="6" w:space="4"/>
        </w:pBdr>
        <w:spacing w:after="240" w:before="480"/>
      </w:pPr>
      <w:r>
        <w:rPr>
          <w:rFonts w:ascii="Calibri" w:cs="Calibri" w:eastAsia="Calibri" w:hAnsi="Calibri"/>
          <w:b/>
          <w:bCs/>
          <w:color w:val="1F3864"/>
          <w:sz w:val="32"/>
          <w:szCs w:val="32"/>
        </w:rPr>
        <w:t xml:space="preserve">5. Regulatory &amp; Compliance Landscape</w:t>
      </w:r>
    </w:p>
    <w:p>
      <w:pPr>
        <w:spacing w:after="160" w:line="276"/>
      </w:pPr>
      <w:r>
        <w:rPr>
          <w:rFonts w:ascii="Calibri" w:cs="Calibri" w:eastAsia="Calibri" w:hAnsi="Calibri"/>
          <w:b w:val="false"/>
          <w:bCs w:val="false"/>
          <w:i w:val="false"/>
          <w:iCs w:val="false"/>
          <w:color w:val="222222"/>
          <w:sz w:val="21"/>
          <w:szCs w:val="21"/>
        </w:rPr>
        <w:t xml:space="preserve">Because RemmiNext operates a single, fixed cross-border corridor, every transaction is simultaneously subject to Malaysian sending-side regulation and Bangladeshi receiving-side regulation. This section is not exhaustive legal advice; it exists to ensure the functional requirements in Section 7 are designed with the correct regulatory hooks from day one.</w:t>
      </w:r>
    </w:p>
    <w:p>
      <w:pPr>
        <w:pStyle w:val="Heading2"/>
        <w:spacing w:after="160" w:before="360"/>
      </w:pPr>
      <w:r>
        <w:rPr>
          <w:rFonts w:ascii="Calibri" w:cs="Calibri" w:eastAsia="Calibri" w:hAnsi="Calibri"/>
          <w:b/>
          <w:bCs/>
          <w:color w:val="1F3864"/>
          <w:sz w:val="26"/>
          <w:szCs w:val="26"/>
        </w:rPr>
        <w:t xml:space="preserve">5.1 Malaysia (Sending Country)</w:t>
      </w:r>
    </w:p>
    <w:tbl>
      <w:tblPr>
        <w:tblW w:type="dxa" w:w="1000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6600"/>
      </w:tblGrid>
      <w:tr>
        <w:trPr>
          <w:tblHeader/>
        </w:trPr>
        <w:tc>
          <w:tcPr>
            <w:tcW w:type="dxa" w:w="34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Regulation / Body</w:t>
            </w:r>
          </w:p>
        </w:tc>
        <w:tc>
          <w:tcPr>
            <w:tcW w:type="dxa" w:w="66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Relevance to RemmiNext</w:t>
            </w:r>
          </w:p>
        </w:tc>
      </w:tr>
      <w:tr>
        <w:tc>
          <w:tcPr>
            <w:tcW w:type="dxa" w:w="3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Bank Negara Malaysia (BNM)</w:t>
            </w:r>
          </w:p>
        </w:tc>
        <w:tc>
          <w:tcPr>
            <w:tcW w:type="dxa" w:w="6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Licensing authority for Money Services Business (Remittance); sets KYC, transaction limits, and reporting standards for remittance service providers.</w:t>
            </w:r>
          </w:p>
        </w:tc>
      </w:tr>
      <w:tr>
        <w:tc>
          <w:tcPr>
            <w:tcW w:type="dxa" w:w="3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Money Services Business Act 2011 (MSBA)</w:t>
            </w:r>
          </w:p>
        </w:tc>
        <w:tc>
          <w:tcPr>
            <w:tcW w:type="dxa" w:w="6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Primary licensing legislation governing remittance and currency exchange businesses in Malaysia.</w:t>
            </w:r>
          </w:p>
        </w:tc>
      </w:tr>
      <w:tr>
        <w:tc>
          <w:tcPr>
            <w:tcW w:type="dxa" w:w="3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Anti-Money Laundering, Anti-Terrorism Financing and Proceeds of Unlawful Activities Act 2001 (AMLA)</w:t>
            </w:r>
          </w:p>
        </w:tc>
        <w:tc>
          <w:tcPr>
            <w:tcW w:type="dxa" w:w="6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Sets CDD/EDD, sanctions screening, transaction monitoring, and STR/SAR filing obligations.</w:t>
            </w:r>
          </w:p>
        </w:tc>
      </w:tr>
      <w:tr>
        <w:tc>
          <w:tcPr>
            <w:tcW w:type="dxa" w:w="3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Personal Data Protection Act 2010 (PDPA)</w:t>
            </w:r>
          </w:p>
        </w:tc>
        <w:tc>
          <w:tcPr>
            <w:tcW w:type="dxa" w:w="6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Governs collection, storage, and processing of Malaysian-resident customers' personal data.</w:t>
            </w:r>
          </w:p>
        </w:tc>
      </w:tr>
      <w:tr>
        <w:tc>
          <w:tcPr>
            <w:tcW w:type="dxa" w:w="3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BNM e-KYC Guidelines</w:t>
            </w:r>
          </w:p>
        </w:tc>
        <w:tc>
          <w:tcPr>
            <w:tcW w:type="dxa" w:w="6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Sets minimum standards for digital identity verification, liveliness detection, and document authentication.</w:t>
            </w:r>
          </w:p>
        </w:tc>
      </w:tr>
    </w:tbl>
    <w:p>
      <w:pPr>
        <w:pStyle w:val="Heading2"/>
        <w:spacing w:after="160" w:before="360"/>
      </w:pPr>
      <w:r>
        <w:rPr>
          <w:rFonts w:ascii="Calibri" w:cs="Calibri" w:eastAsia="Calibri" w:hAnsi="Calibri"/>
          <w:b/>
          <w:bCs/>
          <w:color w:val="1F3864"/>
          <w:sz w:val="26"/>
          <w:szCs w:val="26"/>
        </w:rPr>
        <w:t xml:space="preserve">5.2 Bangladesh (Receiving Country)</w:t>
      </w:r>
    </w:p>
    <w:tbl>
      <w:tblPr>
        <w:tblW w:type="dxa" w:w="1000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6600"/>
      </w:tblGrid>
      <w:tr>
        <w:trPr>
          <w:tblHeader/>
        </w:trPr>
        <w:tc>
          <w:tcPr>
            <w:tcW w:type="dxa" w:w="34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Regulation / Body</w:t>
            </w:r>
          </w:p>
        </w:tc>
        <w:tc>
          <w:tcPr>
            <w:tcW w:type="dxa" w:w="66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Relevance to RemmiNext</w:t>
            </w:r>
          </w:p>
        </w:tc>
      </w:tr>
      <w:tr>
        <w:tc>
          <w:tcPr>
            <w:tcW w:type="dxa" w:w="3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Bangladesh Bank (BB)</w:t>
            </w:r>
          </w:p>
        </w:tc>
        <w:tc>
          <w:tcPr>
            <w:tcW w:type="dxa" w:w="6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Central bank; regulates inward foreign remittance, MFS interoperability (BEFTN/NPSB/RTGS), and licenses payout partner banks.</w:t>
            </w:r>
          </w:p>
        </w:tc>
      </w:tr>
      <w:tr>
        <w:tc>
          <w:tcPr>
            <w:tcW w:type="dxa" w:w="3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Foreign Exchange Regulation Act</w:t>
            </w:r>
          </w:p>
        </w:tc>
        <w:tc>
          <w:tcPr>
            <w:tcW w:type="dxa" w:w="6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Governs permissible inward remittance transactions and foreign currency handling by Bangladeshi banks.</w:t>
            </w:r>
          </w:p>
        </w:tc>
      </w:tr>
      <w:tr>
        <w:tc>
          <w:tcPr>
            <w:tcW w:type="dxa" w:w="3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Money Laundering Prevention Act (MLPA) 2012</w:t>
            </w:r>
          </w:p>
        </w:tc>
        <w:tc>
          <w:tcPr>
            <w:tcW w:type="dxa" w:w="6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Sets AML obligations applicable to the receiving/payout side of every transaction.</w:t>
            </w:r>
          </w:p>
        </w:tc>
      </w:tr>
      <w:tr>
        <w:tc>
          <w:tcPr>
            <w:tcW w:type="dxa" w:w="3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Anti-Terrorism Act 2009</w:t>
            </w:r>
          </w:p>
        </w:tc>
        <w:tc>
          <w:tcPr>
            <w:tcW w:type="dxa" w:w="6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CTF obligations applicable to beneficiary and biller screening.</w:t>
            </w:r>
          </w:p>
        </w:tc>
      </w:tr>
      <w:tr>
        <w:tc>
          <w:tcPr>
            <w:tcW w:type="dxa" w:w="3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Bangladesh Financial Intelligence Unit (BFIU)</w:t>
            </w:r>
          </w:p>
        </w:tc>
        <w:tc>
          <w:tcPr>
            <w:tcW w:type="dxa" w:w="6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Receives STR/SAR filings from payout partner banks; RemmiNext must support partner reporting via data sharing agreements.</w:t>
            </w:r>
          </w:p>
        </w:tc>
      </w:tr>
      <w:tr>
        <w:tc>
          <w:tcPr>
            <w:tcW w:type="dxa" w:w="3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Wage Earners' Welfare Board / Remittance Incentive Circular</w:t>
            </w:r>
          </w:p>
        </w:tc>
        <w:tc>
          <w:tcPr>
            <w:tcW w:type="dxa" w:w="6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Governs the Government of Bangladesh's cash incentive (currently 2.5%) on eligible inward remittances; RemmiNext must track eligibility and reconcile incentive credit at the beneficiary account.</w:t>
            </w:r>
          </w:p>
        </w:tc>
      </w:tr>
      <w:tr>
        <w:tc>
          <w:tcPr>
            <w:tcW w:type="dxa" w:w="3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Bangladesh Bank Payment Systems Department</w:t>
            </w:r>
          </w:p>
        </w:tc>
        <w:tc>
          <w:tcPr>
            <w:tcW w:type="dxa" w:w="6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Regulates MFS wallet interoperability and DPS/savings product administration by partner banks.</w:t>
            </w:r>
          </w:p>
        </w:tc>
      </w:tr>
    </w:tbl>
    <w:p>
      <w:pPr>
        <w:pStyle w:val="Heading2"/>
        <w:spacing w:after="160" w:before="360"/>
      </w:pPr>
      <w:r>
        <w:rPr>
          <w:rFonts w:ascii="Calibri" w:cs="Calibri" w:eastAsia="Calibri" w:hAnsi="Calibri"/>
          <w:b/>
          <w:bCs/>
          <w:color w:val="1F3864"/>
          <w:sz w:val="26"/>
          <w:szCs w:val="26"/>
        </w:rPr>
        <w:t xml:space="preserve">5.3 Cross-Border Considerations</w:t>
      </w:r>
    </w:p>
    <w:p>
      <w:pPr>
        <w:pStyle w:val="ListParagraph"/>
        <w:numPr>
          <w:ilvl w:val="0"/>
          <w:numId w:val="2"/>
        </w:numPr>
        <w:spacing w:after="80" w:line="264"/>
      </w:pPr>
      <w:r>
        <w:rPr>
          <w:rFonts w:ascii="Calibri" w:cs="Calibri" w:eastAsia="Calibri" w:hAnsi="Calibri"/>
          <w:sz w:val="21"/>
          <w:szCs w:val="21"/>
        </w:rPr>
        <w:t xml:space="preserve">Every remittance, bill payment, and savings/DPS contribution must independently satisfy sender-side (Malaysia) and receiving-side (Bangladesh) compliance checks before funds move.</w:t>
      </w:r>
    </w:p>
    <w:p>
      <w:pPr>
        <w:pStyle w:val="ListParagraph"/>
        <w:numPr>
          <w:ilvl w:val="0"/>
          <w:numId w:val="2"/>
        </w:numPr>
        <w:spacing w:after="80" w:line="264"/>
      </w:pPr>
      <w:r>
        <w:rPr>
          <w:rFonts w:ascii="Calibri" w:cs="Calibri" w:eastAsia="Calibri" w:hAnsi="Calibri"/>
          <w:sz w:val="21"/>
          <w:szCs w:val="21"/>
        </w:rPr>
        <w:t xml:space="preserve">Sanctions and PEP screening must run against both Malaysian/international lists (OFAC, UN, EU, BNM) for the sender, and Bangladesh-specific and international lists for the beneficiary/biller.</w:t>
      </w:r>
    </w:p>
    <w:p>
      <w:pPr>
        <w:pStyle w:val="ListParagraph"/>
        <w:numPr>
          <w:ilvl w:val="0"/>
          <w:numId w:val="2"/>
        </w:numPr>
        <w:spacing w:after="80" w:line="264"/>
      </w:pPr>
      <w:r>
        <w:rPr>
          <w:rFonts w:ascii="Calibri" w:cs="Calibri" w:eastAsia="Calibri" w:hAnsi="Calibri"/>
          <w:sz w:val="21"/>
          <w:szCs w:val="21"/>
        </w:rPr>
        <w:t xml:space="preserve">RemmiNext must maintain data-sharing and reporting agreements with each Bangladeshi payout partner to support BFIU reporting obligations that legally sit with the partner bank, not RemmiNext directly.</w:t>
      </w:r>
    </w:p>
    <w:p>
      <w:pPr>
        <w:pStyle w:val="ListParagraph"/>
        <w:numPr>
          <w:ilvl w:val="0"/>
          <w:numId w:val="2"/>
        </w:numPr>
        <w:spacing w:after="80" w:line="264"/>
      </w:pPr>
      <w:r>
        <w:rPr>
          <w:rFonts w:ascii="Calibri" w:cs="Calibri" w:eastAsia="Calibri" w:hAnsi="Calibri"/>
          <w:sz w:val="21"/>
          <w:szCs w:val="21"/>
        </w:rPr>
        <w:t xml:space="preserve">Any regulatory change (BNM circular, Bangladesh Bank circular, incentive rate change) must be reflected via configuration, not a code release — see Section 7.1 Configuration Module.</w:t>
      </w:r>
    </w:p>
    <w:p>
      <w:pPr>
        <w:pStyle w:val="Heading1"/>
        <w:pageBreakBefore/>
        <w:pBdr>
          <w:bottom w:val="single" w:color="1F3864" w:sz="6" w:space="4"/>
        </w:pBdr>
        <w:spacing w:after="240" w:before="480"/>
      </w:pPr>
      <w:r>
        <w:rPr>
          <w:rFonts w:ascii="Calibri" w:cs="Calibri" w:eastAsia="Calibri" w:hAnsi="Calibri"/>
          <w:b/>
          <w:bCs/>
          <w:color w:val="1F3864"/>
          <w:sz w:val="32"/>
          <w:szCs w:val="32"/>
        </w:rPr>
        <w:t xml:space="preserve">6. Release Roadmap</w:t>
      </w:r>
    </w:p>
    <w:p>
      <w:pPr>
        <w:spacing w:after="160" w:line="276"/>
      </w:pPr>
      <w:r>
        <w:rPr>
          <w:rFonts w:ascii="Calibri" w:cs="Calibri" w:eastAsia="Calibri" w:hAnsi="Calibri"/>
          <w:b w:val="false"/>
          <w:bCs w:val="false"/>
          <w:i w:val="false"/>
          <w:iCs w:val="false"/>
          <w:color w:val="222222"/>
          <w:sz w:val="21"/>
          <w:szCs w:val="21"/>
        </w:rPr>
        <w:t xml:space="preserve">RemmiNext requirements will be delivered across four releases. Business requirements for each release are finalised progressively: requirements for Release 1 (R1) are finalised at project kick-off, and requirements for subsequent releases are finalised once development of the prior release has commenced, consistent with standard iterative delivery practice.</w:t>
      </w:r>
    </w:p>
    <w:p>
      <w:pPr>
        <w:pStyle w:val="Heading2"/>
        <w:spacing w:after="160" w:before="360"/>
      </w:pPr>
      <w:r>
        <w:rPr>
          <w:rFonts w:ascii="Calibri" w:cs="Calibri" w:eastAsia="Calibri" w:hAnsi="Calibri"/>
          <w:b/>
          <w:bCs/>
          <w:color w:val="1F3864"/>
          <w:sz w:val="26"/>
          <w:szCs w:val="26"/>
        </w:rPr>
        <w:t xml:space="preserve">6.1 Scope for R1 — Core Remittance MVP</w:t>
      </w:r>
    </w:p>
    <w:p>
      <w:pPr>
        <w:spacing w:after="160" w:line="276"/>
      </w:pPr>
      <w:r>
        <w:rPr>
          <w:rFonts w:ascii="Calibri" w:cs="Calibri" w:eastAsia="Calibri" w:hAnsi="Calibri"/>
          <w:b w:val="false"/>
          <w:bCs w:val="false"/>
          <w:i w:val="false"/>
          <w:iCs w:val="false"/>
          <w:color w:val="222222"/>
          <w:sz w:val="21"/>
          <w:szCs w:val="21"/>
        </w:rPr>
        <w:t xml:space="preserve">R1 delivers the minimum platform required to legally onboard a customer and move their first remittance from Malaysia to Bangladesh, with baseline compliance and a first version of the Nest Egg dashboard.</w:t>
      </w:r>
    </w:p>
    <w:tbl>
      <w:tblPr>
        <w:tblW w:type="dxa" w:w="100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400"/>
      </w:tblGrid>
      <w:tr>
        <w:trPr>
          <w:tblHeader/>
        </w:trPr>
        <w:tc>
          <w:tcPr>
            <w:tcW w:type="dxa" w:w="26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Feature</w:t>
            </w:r>
          </w:p>
        </w:tc>
        <w:tc>
          <w:tcPr>
            <w:tcW w:type="dxa" w:w="74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Details / BPID</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User Registration &amp; KYC</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Individual customer registration (RN-BPID-001); Malaysian work-permit/passport capture and verification; Bangladeshi NID/passport capture via OCR; selfie and liveliness check; sanctions/PEP screening.</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Beneficiary Management</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Add/edit/remove bank account, MFS wallet, and cash-pickup beneficiaries in Bangladesh (RN-BPID-010–012).</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Send Remittance</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Fund via bank transfer (FPX/DuitNow) or debit/credit card; payout to bank account or MFS wallet; FX quote and confirmation flow; transaction status tracking; digital receipt (RN-BPID-020–026).</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Compliance Baseline</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Rule-based transaction validation (TVR); real-time transaction monitoring; internal blacklist and NTDBW screening; STR/SAR case creation.</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Nest Egg Dashboard v1</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Running total of amount remitted, in MYR and BDT equivalent, with monthly trend.</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Notifications</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SMS/push/email for OTP, KYC status, and transaction status.</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Account Management</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Change PIN, change mobile number, change email, view transaction history, log out.</w:t>
            </w:r>
          </w:p>
        </w:tc>
      </w:tr>
    </w:tbl>
    <w:p>
      <w:pPr>
        <w:pStyle w:val="Heading2"/>
        <w:spacing w:after="160" w:before="360"/>
      </w:pPr>
      <w:r>
        <w:rPr>
          <w:rFonts w:ascii="Calibri" w:cs="Calibri" w:eastAsia="Calibri" w:hAnsi="Calibri"/>
          <w:b/>
          <w:bCs/>
          <w:color w:val="1F3864"/>
          <w:sz w:val="26"/>
          <w:szCs w:val="26"/>
        </w:rPr>
        <w:t xml:space="preserve">6.2 Scope for R2 — Bill Payments &amp; Cash Pickup</w:t>
      </w:r>
    </w:p>
    <w:tbl>
      <w:tblPr>
        <w:tblW w:type="dxa" w:w="100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400"/>
      </w:tblGrid>
      <w:tr>
        <w:trPr>
          <w:tblHeader/>
        </w:trPr>
        <w:tc>
          <w:tcPr>
            <w:tcW w:type="dxa" w:w="26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Feature</w:t>
            </w:r>
          </w:p>
        </w:tc>
        <w:tc>
          <w:tcPr>
            <w:tcW w:type="dxa" w:w="74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Details / BPID</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Bill Payment Module</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Add billers (electricity, gas, water, internet, mobile top-up); one-time bill payment; bill payment history and receipts (RN-BPID-040–046).</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Cash Pickup Payout</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Payout to a partner cash-pickup agent network in Bangladesh, with pickup code/voucher generation.</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Recurring Remittance</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Scheduled/recurring remittance instructions with start date, end date, and frequency.</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Recurring Bill Payment</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Auto-pay for recurring utility bills, with insufficient-funds handling.</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Government Incentive Tracking</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Automatic detection of incentive-eligible transactions and reconciliation of the credited incentive amount with the payout partner.</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Compliance Enhancements</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Configurable TM rule sets; Customer Risk Assessment (CRA) scoring; Enhanced Due Diligence (EDD) workflow for high-risk customers.</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Support</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In-app support inbox with ticketing (Zendesk-style integration); FAQ centre.</w:t>
            </w:r>
          </w:p>
        </w:tc>
      </w:tr>
    </w:tbl>
    <w:p>
      <w:pPr>
        <w:pStyle w:val="Heading2"/>
        <w:spacing w:after="160" w:before="360"/>
      </w:pPr>
      <w:r>
        <w:rPr>
          <w:rFonts w:ascii="Calibri" w:cs="Calibri" w:eastAsia="Calibri" w:hAnsi="Calibri"/>
          <w:b/>
          <w:bCs/>
          <w:color w:val="1F3864"/>
          <w:sz w:val="26"/>
          <w:szCs w:val="26"/>
        </w:rPr>
        <w:t xml:space="preserve">6.3 Scope for R3 — Savings, DPS &amp; Consolidated Nest Egg</w:t>
      </w:r>
    </w:p>
    <w:tbl>
      <w:tblPr>
        <w:tblW w:type="dxa" w:w="100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400"/>
      </w:tblGrid>
      <w:tr>
        <w:trPr>
          <w:tblHeader/>
        </w:trPr>
        <w:tc>
          <w:tcPr>
            <w:tcW w:type="dxa" w:w="26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Feature</w:t>
            </w:r>
          </w:p>
        </w:tc>
        <w:tc>
          <w:tcPr>
            <w:tcW w:type="dxa" w:w="74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Details / BPID</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Savings Account Linking</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Discover and link/open a savings account with a Bangladeshi partner bank; direct top-up from a remittance transaction (RN-BPID-060–063).</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DPS Product Catalogue</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Browse partner bank DPS schemes by tenure, monthly instalment, and indicative maturity value.</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DPS Enrolment &amp; Auto-Contribution</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Enrol in a DPS scheme; set up recurring auto-debit contribution from Malaysia (RN-BPID-064–068).</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Nest Egg Dashboard v2</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Full consolidation: total remitted + total bills paid + savings balance + DPS contributed-to-date and projected maturity, with category-wise breakdown and trend charts.</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Goal Setting</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User-defined Nest Egg target and target return-to-Bangladesh date, with progress tracking.</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Return Readiness Report</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Exportable, consolidated financial statement summarising all RemmiNext-tracked accounts and balances.</w:t>
            </w:r>
          </w:p>
        </w:tc>
      </w:tr>
    </w:tbl>
    <w:p>
      <w:pPr>
        <w:pStyle w:val="Heading2"/>
        <w:spacing w:after="160" w:before="360"/>
      </w:pPr>
      <w:r>
        <w:rPr>
          <w:rFonts w:ascii="Calibri" w:cs="Calibri" w:eastAsia="Calibri" w:hAnsi="Calibri"/>
          <w:b/>
          <w:bCs/>
          <w:color w:val="1F3864"/>
          <w:sz w:val="26"/>
          <w:szCs w:val="26"/>
        </w:rPr>
        <w:t xml:space="preserve">6.4 Scope for R4 — Consolidation, Closure &amp; Optimisation</w:t>
      </w:r>
    </w:p>
    <w:tbl>
      <w:tblPr>
        <w:tblW w:type="dxa" w:w="100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400"/>
      </w:tblGrid>
      <w:tr>
        <w:trPr>
          <w:tblHeader/>
        </w:trPr>
        <w:tc>
          <w:tcPr>
            <w:tcW w:type="dxa" w:w="26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Feature</w:t>
            </w:r>
          </w:p>
        </w:tc>
        <w:tc>
          <w:tcPr>
            <w:tcW w:type="dxa" w:w="74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Details / BPID</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Return-to-Bangladesh Journey</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Guided account closure flow triggered when a user declares permanent return, culminating in a final consolidated Nest Egg report (RN-BPID-090–094).</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Family Financial Health Snapshot</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At-a-glance view of bill due/paid status for the family household, to give the Remitter peace of mind between visits home.</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Additional Payout Partners</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Onboarding of further Bangladeshi bank/MFS/agent partners to widen payout coverage and improve pricing competitiveness.</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Referral Programme</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Optional, tightly scoped referral incentive for existing customers to refer other eligible Bangladeshi workers in Malaysia.</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Review-only Web Companion</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A read-only web view of the Nest Egg dashboard and transaction history (no transacting) for users who prefer larger-screen review.</w:t>
            </w:r>
          </w:p>
        </w:tc>
      </w:tr>
    </w:tbl>
    <w:p>
      <w:pPr>
        <w:pBdr>
          <w:left w:val="single" w:color="0F6B72" w:sz="12" w:space="8"/>
        </w:pBdr>
        <w:spacing w:after="200" w:before="100"/>
        <w:ind w:left="200"/>
      </w:pPr>
      <w:r>
        <w:rPr>
          <w:rFonts w:ascii="Calibri" w:cs="Calibri" w:eastAsia="Calibri" w:hAnsi="Calibri"/>
          <w:i/>
          <w:iCs/>
          <w:color w:val="595959"/>
          <w:sz w:val="20"/>
          <w:szCs w:val="20"/>
        </w:rPr>
        <w:t xml:space="preserve">Note: DPS and savings features are explicitly sequenced after remittance and bill payment (R3, not R1) because they depend on live partner bank integrations that require regulatory and commercial agreements to be finalised — these should be initiated during R1/R2 delivery so integration is ready in time for R3.</w:t>
      </w:r>
    </w:p>
    <w:p>
      <w:pPr>
        <w:pStyle w:val="Heading1"/>
        <w:pageBreakBefore/>
        <w:pBdr>
          <w:bottom w:val="single" w:color="1F3864" w:sz="6" w:space="4"/>
        </w:pBdr>
        <w:spacing w:after="240" w:before="480"/>
      </w:pPr>
      <w:r>
        <w:rPr>
          <w:rFonts w:ascii="Calibri" w:cs="Calibri" w:eastAsia="Calibri" w:hAnsi="Calibri"/>
          <w:b/>
          <w:bCs/>
          <w:color w:val="1F3864"/>
          <w:sz w:val="32"/>
          <w:szCs w:val="32"/>
        </w:rPr>
        <w:t xml:space="preserve">7. Functional Requirements</w:t>
      </w:r>
    </w:p>
    <w:p>
      <w:pPr>
        <w:spacing w:after="160" w:line="276"/>
      </w:pPr>
      <w:r>
        <w:rPr>
          <w:rFonts w:ascii="Calibri" w:cs="Calibri" w:eastAsia="Calibri" w:hAnsi="Calibri"/>
          <w:b w:val="false"/>
          <w:bCs w:val="false"/>
          <w:i w:val="false"/>
          <w:iCs w:val="false"/>
          <w:color w:val="222222"/>
          <w:sz w:val="21"/>
          <w:szCs w:val="21"/>
        </w:rPr>
        <w:t xml:space="preserve">This section details the functional requirements for RemmiNext, organised by module. Each module maps to a menu or feature area on the Customer App or the Ops Console. Every business process referenced carries a unique Business Process ID (BPID) in the format RN-BPID-nnn, which must be traced to a corresponding test case in the RTM.</w:t>
      </w:r>
    </w:p>
    <w:p>
      <w:pPr>
        <w:pStyle w:val="Heading2"/>
        <w:spacing w:after="160" w:before="360"/>
      </w:pPr>
      <w:r>
        <w:rPr>
          <w:rFonts w:ascii="Calibri" w:cs="Calibri" w:eastAsia="Calibri" w:hAnsi="Calibri"/>
          <w:b/>
          <w:bCs/>
          <w:color w:val="1F3864"/>
          <w:sz w:val="26"/>
          <w:szCs w:val="26"/>
        </w:rPr>
        <w:t xml:space="preserve">7.0 Module Index</w:t>
      </w:r>
    </w:p>
    <w:p>
      <w:pPr>
        <w:pStyle w:val="ListParagraph"/>
        <w:numPr>
          <w:ilvl w:val="0"/>
          <w:numId w:val="3"/>
        </w:numPr>
        <w:spacing w:after="80" w:line="264"/>
      </w:pPr>
      <w:r>
        <w:rPr>
          <w:rFonts w:ascii="Calibri" w:cs="Calibri" w:eastAsia="Calibri" w:hAnsi="Calibri"/>
          <w:sz w:val="21"/>
          <w:szCs w:val="21"/>
        </w:rPr>
        <w:t xml:space="preserve">Platform Configuration (Ops Console)</w:t>
      </w:r>
    </w:p>
    <w:p>
      <w:pPr>
        <w:pStyle w:val="ListParagraph"/>
        <w:numPr>
          <w:ilvl w:val="0"/>
          <w:numId w:val="3"/>
        </w:numPr>
        <w:spacing w:after="80" w:line="264"/>
      </w:pPr>
      <w:r>
        <w:rPr>
          <w:rFonts w:ascii="Calibri" w:cs="Calibri" w:eastAsia="Calibri" w:hAnsi="Calibri"/>
          <w:sz w:val="21"/>
          <w:szCs w:val="21"/>
        </w:rPr>
        <w:t xml:space="preserve">Customer Onboarding &amp; KYC</w:t>
      </w:r>
    </w:p>
    <w:p>
      <w:pPr>
        <w:pStyle w:val="ListParagraph"/>
        <w:numPr>
          <w:ilvl w:val="0"/>
          <w:numId w:val="3"/>
        </w:numPr>
        <w:spacing w:after="80" w:line="264"/>
      </w:pPr>
      <w:r>
        <w:rPr>
          <w:rFonts w:ascii="Calibri" w:cs="Calibri" w:eastAsia="Calibri" w:hAnsi="Calibri"/>
          <w:sz w:val="21"/>
          <w:szCs w:val="21"/>
        </w:rPr>
        <w:t xml:space="preserve">Beneficiary Management</w:t>
      </w:r>
    </w:p>
    <w:p>
      <w:pPr>
        <w:pStyle w:val="ListParagraph"/>
        <w:numPr>
          <w:ilvl w:val="0"/>
          <w:numId w:val="3"/>
        </w:numPr>
        <w:spacing w:after="80" w:line="264"/>
      </w:pPr>
      <w:r>
        <w:rPr>
          <w:rFonts w:ascii="Calibri" w:cs="Calibri" w:eastAsia="Calibri" w:hAnsi="Calibri"/>
          <w:sz w:val="21"/>
          <w:szCs w:val="21"/>
        </w:rPr>
        <w:t xml:space="preserve">Remittance (Money Transfer) Engine</w:t>
      </w:r>
    </w:p>
    <w:p>
      <w:pPr>
        <w:pStyle w:val="ListParagraph"/>
        <w:numPr>
          <w:ilvl w:val="0"/>
          <w:numId w:val="3"/>
        </w:numPr>
        <w:spacing w:after="80" w:line="264"/>
      </w:pPr>
      <w:r>
        <w:rPr>
          <w:rFonts w:ascii="Calibri" w:cs="Calibri" w:eastAsia="Calibri" w:hAnsi="Calibri"/>
          <w:sz w:val="21"/>
          <w:szCs w:val="21"/>
        </w:rPr>
        <w:t xml:space="preserve">Bill Payment &amp; Household Expense Management</w:t>
      </w:r>
    </w:p>
    <w:p>
      <w:pPr>
        <w:pStyle w:val="ListParagraph"/>
        <w:numPr>
          <w:ilvl w:val="0"/>
          <w:numId w:val="3"/>
        </w:numPr>
        <w:spacing w:after="80" w:line="264"/>
      </w:pPr>
      <w:r>
        <w:rPr>
          <w:rFonts w:ascii="Calibri" w:cs="Calibri" w:eastAsia="Calibri" w:hAnsi="Calibri"/>
          <w:sz w:val="21"/>
          <w:szCs w:val="21"/>
        </w:rPr>
        <w:t xml:space="preserve">Savings &amp; DPS Management</w:t>
      </w:r>
    </w:p>
    <w:p>
      <w:pPr>
        <w:pStyle w:val="ListParagraph"/>
        <w:numPr>
          <w:ilvl w:val="0"/>
          <w:numId w:val="3"/>
        </w:numPr>
        <w:spacing w:after="80" w:line="264"/>
      </w:pPr>
      <w:r>
        <w:rPr>
          <w:rFonts w:ascii="Calibri" w:cs="Calibri" w:eastAsia="Calibri" w:hAnsi="Calibri"/>
          <w:sz w:val="21"/>
          <w:szCs w:val="21"/>
        </w:rPr>
        <w:t xml:space="preserve">Consolidated Nest Egg Dashboard</w:t>
      </w:r>
    </w:p>
    <w:p>
      <w:pPr>
        <w:pStyle w:val="ListParagraph"/>
        <w:numPr>
          <w:ilvl w:val="0"/>
          <w:numId w:val="3"/>
        </w:numPr>
        <w:spacing w:after="80" w:line="264"/>
      </w:pPr>
      <w:r>
        <w:rPr>
          <w:rFonts w:ascii="Calibri" w:cs="Calibri" w:eastAsia="Calibri" w:hAnsi="Calibri"/>
          <w:sz w:val="21"/>
          <w:szCs w:val="21"/>
        </w:rPr>
        <w:t xml:space="preserve">Account Management</w:t>
      </w:r>
    </w:p>
    <w:p>
      <w:pPr>
        <w:pStyle w:val="ListParagraph"/>
        <w:numPr>
          <w:ilvl w:val="0"/>
          <w:numId w:val="3"/>
        </w:numPr>
        <w:spacing w:after="80" w:line="264"/>
      </w:pPr>
      <w:r>
        <w:rPr>
          <w:rFonts w:ascii="Calibri" w:cs="Calibri" w:eastAsia="Calibri" w:hAnsi="Calibri"/>
          <w:sz w:val="21"/>
          <w:szCs w:val="21"/>
        </w:rPr>
        <w:t xml:space="preserve">Compliance &amp; Risk Management</w:t>
      </w:r>
    </w:p>
    <w:p>
      <w:pPr>
        <w:pStyle w:val="ListParagraph"/>
        <w:numPr>
          <w:ilvl w:val="0"/>
          <w:numId w:val="3"/>
        </w:numPr>
        <w:spacing w:after="80" w:line="264"/>
      </w:pPr>
      <w:r>
        <w:rPr>
          <w:rFonts w:ascii="Calibri" w:cs="Calibri" w:eastAsia="Calibri" w:hAnsi="Calibri"/>
          <w:sz w:val="21"/>
          <w:szCs w:val="21"/>
        </w:rPr>
        <w:t xml:space="preserve">Notifications &amp; Customer Support</w:t>
      </w:r>
    </w:p>
    <w:p>
      <w:pPr>
        <w:pStyle w:val="ListParagraph"/>
        <w:numPr>
          <w:ilvl w:val="0"/>
          <w:numId w:val="3"/>
        </w:numPr>
        <w:spacing w:after="80" w:line="264"/>
      </w:pPr>
      <w:r>
        <w:rPr>
          <w:rFonts w:ascii="Calibri" w:cs="Calibri" w:eastAsia="Calibri" w:hAnsi="Calibri"/>
          <w:sz w:val="21"/>
          <w:szCs w:val="21"/>
        </w:rPr>
        <w:t xml:space="preserve">Reports &amp; MIS</w:t>
      </w:r>
    </w:p>
    <w:p>
      <w:pPr>
        <w:pStyle w:val="ListParagraph"/>
        <w:numPr>
          <w:ilvl w:val="0"/>
          <w:numId w:val="3"/>
        </w:numPr>
        <w:spacing w:after="80" w:line="264"/>
      </w:pPr>
      <w:r>
        <w:rPr>
          <w:rFonts w:ascii="Calibri" w:cs="Calibri" w:eastAsia="Calibri" w:hAnsi="Calibri"/>
          <w:sz w:val="21"/>
          <w:szCs w:val="21"/>
        </w:rPr>
        <w:t xml:space="preserve">Return-to-Bangladesh Journey (Account Closure &amp; Consolidation)</w:t>
      </w:r>
    </w:p>
    <w:p>
      <w:pPr>
        <w:pStyle w:val="Heading2"/>
        <w:spacing w:after="160" w:before="360"/>
      </w:pPr>
      <w:r>
        <w:rPr>
          <w:rFonts w:ascii="Calibri" w:cs="Calibri" w:eastAsia="Calibri" w:hAnsi="Calibri"/>
          <w:b/>
          <w:bCs/>
          <w:color w:val="1F3864"/>
          <w:sz w:val="26"/>
          <w:szCs w:val="26"/>
        </w:rPr>
        <w:t xml:space="preserve">7.1 Module 1 — Platform Configuration (Ops Console)</w:t>
      </w:r>
    </w:p>
    <w:p>
      <w:pPr>
        <w:spacing w:after="160" w:line="276"/>
      </w:pPr>
      <w:r>
        <w:rPr>
          <w:rFonts w:ascii="Calibri" w:cs="Calibri" w:eastAsia="Calibri" w:hAnsi="Calibri"/>
          <w:b w:val="false"/>
          <w:bCs w:val="false"/>
          <w:i w:val="false"/>
          <w:iCs w:val="false"/>
          <w:color w:val="222222"/>
          <w:sz w:val="21"/>
          <w:szCs w:val="21"/>
        </w:rPr>
        <w:t xml:space="preserve">The Configuration module allows RemmiNext staff to manage all reference data and business rules that govern the platform, without requiring a code release. Because RemmiNext operates a single fixed corridor, configuration is deliberately narrower than a multi-corridor remittance platform, but is not hard-coded, since fee, FX, biller, and regulatory parameters change frequently.</w:t>
      </w:r>
    </w:p>
    <w:p>
      <w:pPr>
        <w:pStyle w:val="Heading3"/>
        <w:spacing w:after="120" w:before="260"/>
      </w:pPr>
      <w:r>
        <w:rPr>
          <w:rFonts w:ascii="Calibri" w:cs="Calibri" w:eastAsia="Calibri" w:hAnsi="Calibri"/>
          <w:b/>
          <w:bCs/>
          <w:color w:val="0F6B72"/>
          <w:sz w:val="22"/>
          <w:szCs w:val="22"/>
        </w:rPr>
        <w:t xml:space="preserve">7.1.1 Country &amp; Corridor Management</w:t>
      </w:r>
    </w:p>
    <w:p>
      <w:pPr>
        <w:spacing w:after="160" w:line="276"/>
      </w:pPr>
      <w:r>
        <w:rPr>
          <w:rFonts w:ascii="Calibri" w:cs="Calibri" w:eastAsia="Calibri" w:hAnsi="Calibri"/>
          <w:b w:val="false"/>
          <w:bCs w:val="false"/>
          <w:i w:val="false"/>
          <w:iCs w:val="false"/>
          <w:color w:val="222222"/>
          <w:sz w:val="21"/>
          <w:szCs w:val="21"/>
        </w:rPr>
        <w:t xml:space="preserve">Although RemmiNext operates one live corridor (Malaysia → Bangladesh), country records must be independently configurable to accommodate holiday calendars, address formats, and regulatory attributes, and to allow controlled expansion in the future without a schema change.</w:t>
      </w:r>
    </w:p>
    <w:tbl>
      <w:tblPr>
        <w:tblW w:type="dxa" w:w="1000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2600"/>
        <w:gridCol w:w="4600"/>
      </w:tblGrid>
      <w:tr>
        <w:trPr>
          <w:tblHeader/>
        </w:trPr>
        <w:tc>
          <w:tcPr>
            <w:tcW w:type="dxa" w:w="28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Field</w:t>
            </w:r>
          </w:p>
        </w:tc>
        <w:tc>
          <w:tcPr>
            <w:tcW w:type="dxa" w:w="26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Type</w:t>
            </w:r>
          </w:p>
        </w:tc>
        <w:tc>
          <w:tcPr>
            <w:tcW w:type="dxa" w:w="46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Notes</w:t>
            </w:r>
          </w:p>
        </w:tc>
      </w:tr>
      <w:tr>
        <w:tc>
          <w:tcPr>
            <w:tcW w:type="dxa" w:w="28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Country name</w:t>
            </w:r>
          </w:p>
        </w:tc>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Text</w:t>
            </w:r>
          </w:p>
        </w:tc>
        <w:tc>
          <w:tcPr>
            <w:tcW w:type="dxa" w:w="4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e.g., Malaysia, Bangladesh</w:t>
            </w:r>
          </w:p>
        </w:tc>
      </w:tr>
      <w:tr>
        <w:tc>
          <w:tcPr>
            <w:tcW w:type="dxa" w:w="28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Country code</w:t>
            </w:r>
          </w:p>
        </w:tc>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3-letter ISO 3166-1 alpha-3</w:t>
            </w:r>
          </w:p>
        </w:tc>
        <w:tc>
          <w:tcPr>
            <w:tcW w:type="dxa" w:w="4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e.g., MYS, BGD</w:t>
            </w:r>
          </w:p>
        </w:tc>
      </w:tr>
      <w:tr>
        <w:tc>
          <w:tcPr>
            <w:tcW w:type="dxa" w:w="28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Currency code</w:t>
            </w:r>
          </w:p>
        </w:tc>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3-letter ISO 4217</w:t>
            </w:r>
          </w:p>
        </w:tc>
        <w:tc>
          <w:tcPr>
            <w:tcW w:type="dxa" w:w="4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e.g., MYR, BDT</w:t>
            </w:r>
          </w:p>
        </w:tc>
      </w:tr>
      <w:tr>
        <w:tc>
          <w:tcPr>
            <w:tcW w:type="dxa" w:w="28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Sending country</w:t>
            </w:r>
          </w:p>
        </w:tc>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Boolean</w:t>
            </w:r>
          </w:p>
        </w:tc>
        <w:tc>
          <w:tcPr>
            <w:tcW w:type="dxa" w:w="4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True only for Malaysia in the live corridor</w:t>
            </w:r>
          </w:p>
        </w:tc>
      </w:tr>
      <w:tr>
        <w:tc>
          <w:tcPr>
            <w:tcW w:type="dxa" w:w="28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Receiving country</w:t>
            </w:r>
          </w:p>
        </w:tc>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Boolean</w:t>
            </w:r>
          </w:p>
        </w:tc>
        <w:tc>
          <w:tcPr>
            <w:tcW w:type="dxa" w:w="4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True only for Bangladesh in the live corridor</w:t>
            </w:r>
          </w:p>
        </w:tc>
      </w:tr>
      <w:tr>
        <w:tc>
          <w:tcPr>
            <w:tcW w:type="dxa" w:w="28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Yearly public/bank holiday calendar</w:t>
            </w:r>
          </w:p>
        </w:tc>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List of dates (DD-MM-YYYY)</w:t>
            </w:r>
          </w:p>
        </w:tc>
        <w:tc>
          <w:tcPr>
            <w:tcW w:type="dxa" w:w="4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Drives payout partner cut-off and settlement date calculation</w:t>
            </w:r>
          </w:p>
        </w:tc>
      </w:tr>
      <w:tr>
        <w:tc>
          <w:tcPr>
            <w:tcW w:type="dxa" w:w="28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Address fields template</w:t>
            </w:r>
          </w:p>
        </w:tc>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List of text items</w:t>
            </w:r>
          </w:p>
        </w:tc>
        <w:tc>
          <w:tcPr>
            <w:tcW w:type="dxa" w:w="4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Used for Bangladesh division/district/upazila address capture</w:t>
            </w:r>
          </w:p>
        </w:tc>
      </w:tr>
      <w:tr>
        <w:tc>
          <w:tcPr>
            <w:tcW w:type="dxa" w:w="28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RemmiNext licensed entity</w:t>
            </w:r>
          </w:p>
        </w:tc>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Reference to Entity Management</w:t>
            </w:r>
          </w:p>
        </w:tc>
        <w:tc>
          <w:tcPr>
            <w:tcW w:type="dxa" w:w="4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The RemmiNext legal entity permitted to operate for this country</w:t>
            </w:r>
          </w:p>
        </w:tc>
      </w:tr>
    </w:tbl>
    <w:p>
      <w:pPr>
        <w:pStyle w:val="ListParagraph"/>
        <w:numPr>
          <w:ilvl w:val="0"/>
          <w:numId w:val="2"/>
        </w:numPr>
        <w:spacing w:after="80" w:line="264"/>
      </w:pPr>
      <w:r>
        <w:rPr>
          <w:rFonts w:ascii="Calibri" w:cs="Calibri" w:eastAsia="Calibri" w:hAnsi="Calibri"/>
          <w:sz w:val="21"/>
          <w:szCs w:val="21"/>
        </w:rPr>
        <w:t xml:space="preserve">The remittance, bill-payment, and savings/DPS services are only enabled for a country pairing where both the sending country and receiving country flags, and all mandatory configuration below, are correctly set.</w:t>
      </w:r>
    </w:p>
    <w:p>
      <w:pPr>
        <w:pStyle w:val="ListParagraph"/>
        <w:numPr>
          <w:ilvl w:val="0"/>
          <w:numId w:val="2"/>
        </w:numPr>
        <w:spacing w:after="80" w:line="264"/>
      </w:pPr>
      <w:r>
        <w:rPr>
          <w:rFonts w:ascii="Calibri" w:cs="Calibri" w:eastAsia="Calibri" w:hAnsi="Calibri"/>
          <w:sz w:val="21"/>
          <w:szCs w:val="21"/>
        </w:rPr>
        <w:t xml:space="preserve">Each sending and receiving country must have: a licensed RemmiNext entity mapped to it, valid Transaction Verification Rules (TVR), an eKYC/screening data provider, transaction monitoring (TM) rules, and a funding/payout partner configuration.</w:t>
      </w:r>
    </w:p>
    <w:p>
      <w:pPr>
        <w:pStyle w:val="ListParagraph"/>
        <w:numPr>
          <w:ilvl w:val="0"/>
          <w:numId w:val="2"/>
        </w:numPr>
        <w:spacing w:after="80" w:line="264"/>
      </w:pPr>
      <w:r>
        <w:rPr>
          <w:rFonts w:ascii="Calibri" w:cs="Calibri" w:eastAsia="Calibri" w:hAnsi="Calibri"/>
          <w:sz w:val="21"/>
          <w:szCs w:val="21"/>
        </w:rPr>
        <w:t xml:space="preserve">Attempting to enable a corridor without all mandatory configuration present must raise a Configuration Error (see 7.1.7) and block activation.</w:t>
      </w:r>
    </w:p>
    <w:p>
      <w:pPr>
        <w:pStyle w:val="Heading3"/>
        <w:spacing w:after="120" w:before="260"/>
      </w:pPr>
      <w:r>
        <w:rPr>
          <w:rFonts w:ascii="Calibri" w:cs="Calibri" w:eastAsia="Calibri" w:hAnsi="Calibri"/>
          <w:b/>
          <w:bCs/>
          <w:color w:val="0F6B72"/>
          <w:sz w:val="22"/>
          <w:szCs w:val="22"/>
        </w:rPr>
        <w:t xml:space="preserve">7.1.2 Entity Management</w:t>
      </w:r>
    </w:p>
    <w:p>
      <w:pPr>
        <w:spacing w:after="160" w:line="276"/>
      </w:pPr>
      <w:r>
        <w:rPr>
          <w:rFonts w:ascii="Calibri" w:cs="Calibri" w:eastAsia="Calibri" w:hAnsi="Calibri"/>
          <w:b w:val="false"/>
          <w:bCs w:val="false"/>
          <w:i w:val="false"/>
          <w:iCs w:val="false"/>
          <w:color w:val="222222"/>
          <w:sz w:val="21"/>
          <w:szCs w:val="21"/>
        </w:rPr>
        <w:t xml:space="preserve">Maintains the RemmiNext legal entity (and, if applicable, any licensed Bangladeshi partner entity acting as payout agent of record) including registration number, licence number and class, licence validity dates, and regulator. Entity details are dynamically appended to transaction receipts and regulatory reports.</w:t>
      </w:r>
    </w:p>
    <w:p>
      <w:pPr>
        <w:pStyle w:val="Heading3"/>
        <w:spacing w:after="120" w:before="260"/>
      </w:pPr>
      <w:r>
        <w:rPr>
          <w:rFonts w:ascii="Calibri" w:cs="Calibri" w:eastAsia="Calibri" w:hAnsi="Calibri"/>
          <w:b/>
          <w:bCs/>
          <w:color w:val="0F6B72"/>
          <w:sz w:val="22"/>
          <w:szCs w:val="22"/>
        </w:rPr>
        <w:t xml:space="preserve">7.1.3 Payout Partner (FFP) Management</w:t>
      </w:r>
    </w:p>
    <w:p>
      <w:pPr>
        <w:spacing w:after="160" w:line="276"/>
      </w:pPr>
      <w:r>
        <w:rPr>
          <w:rFonts w:ascii="Calibri" w:cs="Calibri" w:eastAsia="Calibri" w:hAnsi="Calibri"/>
          <w:b w:val="false"/>
          <w:bCs w:val="false"/>
          <w:i w:val="false"/>
          <w:iCs w:val="false"/>
          <w:color w:val="222222"/>
          <w:sz w:val="21"/>
          <w:szCs w:val="21"/>
        </w:rPr>
        <w:t xml:space="preserve">A Payout Partner is any licensed Bangladeshi bank, MFS provider, or cash-pickup agent network that fulfils a transaction on RemmiNext's behalf. This is functionally equivalent to a Fulfilment Partner (FFP) in a traditional remittance platform.</w:t>
      </w:r>
    </w:p>
    <w:tbl>
      <w:tblPr>
        <w:tblW w:type="dxa" w:w="10000"/>
        <w:tblBorders>
          <w:top w:val="single" w:color="BFBFBF" w:sz="4"/>
          <w:left w:val="single" w:color="BFBFBF" w:sz="4"/>
          <w:bottom w:val="single" w:color="BFBFBF" w:sz="4"/>
          <w:right w:val="single" w:color="BFBFBF" w:sz="4"/>
          <w:insideH w:val="single" w:color="BFBFBF" w:sz="4"/>
          <w:insideV w:val="single" w:color="BFBFBF" w:sz="4"/>
        </w:tblBorders>
      </w:tblPr>
      <w:tblGrid>
        <w:gridCol w:w="2800"/>
        <w:gridCol w:w="2200"/>
        <w:gridCol w:w="5000"/>
      </w:tblGrid>
      <w:tr>
        <w:trPr>
          <w:tblHeader/>
        </w:trPr>
        <w:tc>
          <w:tcPr>
            <w:tcW w:type="dxa" w:w="28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Field</w:t>
            </w:r>
          </w:p>
        </w:tc>
        <w:tc>
          <w:tcPr>
            <w:tcW w:type="dxa" w:w="22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Type</w:t>
            </w:r>
          </w:p>
        </w:tc>
        <w:tc>
          <w:tcPr>
            <w:tcW w:type="dxa" w:w="50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Notes</w:t>
            </w:r>
          </w:p>
        </w:tc>
      </w:tr>
      <w:tr>
        <w:tc>
          <w:tcPr>
            <w:tcW w:type="dxa" w:w="28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Partner name</w:t>
            </w:r>
          </w:p>
        </w:tc>
        <w:tc>
          <w:tcPr>
            <w:tcW w:type="dxa" w:w="2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Text</w:t>
            </w:r>
          </w:p>
        </w:tc>
        <w:tc>
          <w:tcPr>
            <w:tcW w:type="dxa" w:w="50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e.g., a named Bangladeshi bank or MFS operator</w:t>
            </w:r>
          </w:p>
        </w:tc>
      </w:tr>
      <w:tr>
        <w:tc>
          <w:tcPr>
            <w:tcW w:type="dxa" w:w="28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Partner type</w:t>
            </w:r>
          </w:p>
        </w:tc>
        <w:tc>
          <w:tcPr>
            <w:tcW w:type="dxa" w:w="2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Enum</w:t>
            </w:r>
          </w:p>
        </w:tc>
        <w:tc>
          <w:tcPr>
            <w:tcW w:type="dxa" w:w="50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Bank / MFS / Cash-Pickup Agent Network / Biller Aggregator / Savings-DPS Bank</w:t>
            </w:r>
          </w:p>
        </w:tc>
      </w:tr>
      <w:tr>
        <w:tc>
          <w:tcPr>
            <w:tcW w:type="dxa" w:w="28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Payout methods supported</w:t>
            </w:r>
          </w:p>
        </w:tc>
        <w:tc>
          <w:tcPr>
            <w:tcW w:type="dxa" w:w="2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Multi-select</w:t>
            </w:r>
          </w:p>
        </w:tc>
        <w:tc>
          <w:tcPr>
            <w:tcW w:type="dxa" w:w="50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Bank deposit (BEFTN/RTGS/NPSB) / MFS wallet / Cash pickup</w:t>
            </w:r>
          </w:p>
        </w:tc>
      </w:tr>
      <w:tr>
        <w:tc>
          <w:tcPr>
            <w:tcW w:type="dxa" w:w="28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API connectivity status</w:t>
            </w:r>
          </w:p>
        </w:tc>
        <w:tc>
          <w:tcPr>
            <w:tcW w:type="dxa" w:w="2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Enum</w:t>
            </w:r>
          </w:p>
        </w:tc>
        <w:tc>
          <w:tcPr>
            <w:tcW w:type="dxa" w:w="50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Live / Test / Suspended</w:t>
            </w:r>
          </w:p>
        </w:tc>
      </w:tr>
      <w:tr>
        <w:tc>
          <w:tcPr>
            <w:tcW w:type="dxa" w:w="28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Settlement account</w:t>
            </w:r>
          </w:p>
        </w:tc>
        <w:tc>
          <w:tcPr>
            <w:tcW w:type="dxa" w:w="2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Reference</w:t>
            </w:r>
          </w:p>
        </w:tc>
        <w:tc>
          <w:tcPr>
            <w:tcW w:type="dxa" w:w="50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RemmiNext nostro/settlement account used with this partner</w:t>
            </w:r>
          </w:p>
        </w:tc>
      </w:tr>
      <w:tr>
        <w:tc>
          <w:tcPr>
            <w:tcW w:type="dxa" w:w="28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Cut-off time</w:t>
            </w:r>
          </w:p>
        </w:tc>
        <w:tc>
          <w:tcPr>
            <w:tcW w:type="dxa" w:w="2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Time</w:t>
            </w:r>
          </w:p>
        </w:tc>
        <w:tc>
          <w:tcPr>
            <w:tcW w:type="dxa" w:w="50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Daily cut-off for same-day payout, per partner and payout method</w:t>
            </w:r>
          </w:p>
        </w:tc>
      </w:tr>
      <w:tr>
        <w:tc>
          <w:tcPr>
            <w:tcW w:type="dxa" w:w="28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Fee/commission sharing terms</w:t>
            </w:r>
          </w:p>
        </w:tc>
        <w:tc>
          <w:tcPr>
            <w:tcW w:type="dxa" w:w="2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Text/decimal</w:t>
            </w:r>
          </w:p>
        </w:tc>
        <w:tc>
          <w:tcPr>
            <w:tcW w:type="dxa" w:w="50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Contracted partner fee, distinct from customer-facing commission</w:t>
            </w:r>
          </w:p>
        </w:tc>
      </w:tr>
      <w:tr>
        <w:tc>
          <w:tcPr>
            <w:tcW w:type="dxa" w:w="28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Status</w:t>
            </w:r>
          </w:p>
        </w:tc>
        <w:tc>
          <w:tcPr>
            <w:tcW w:type="dxa" w:w="2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Enum</w:t>
            </w:r>
          </w:p>
        </w:tc>
        <w:tc>
          <w:tcPr>
            <w:tcW w:type="dxa" w:w="50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Active / Inactive / Under Onboarding</w:t>
            </w:r>
          </w:p>
        </w:tc>
      </w:tr>
    </w:tbl>
    <w:p>
      <w:pPr>
        <w:pStyle w:val="Heading3"/>
        <w:spacing w:after="120" w:before="260"/>
      </w:pPr>
      <w:r>
        <w:rPr>
          <w:rFonts w:ascii="Calibri" w:cs="Calibri" w:eastAsia="Calibri" w:hAnsi="Calibri"/>
          <w:b/>
          <w:bCs/>
          <w:color w:val="0F6B72"/>
          <w:sz w:val="22"/>
          <w:szCs w:val="22"/>
        </w:rPr>
        <w:t xml:space="preserve">7.1.4 Address Data Migration</w:t>
      </w:r>
    </w:p>
    <w:p>
      <w:pPr>
        <w:spacing w:after="160" w:line="276"/>
      </w:pPr>
      <w:r>
        <w:rPr>
          <w:rFonts w:ascii="Calibri" w:cs="Calibri" w:eastAsia="Calibri" w:hAnsi="Calibri"/>
          <w:b w:val="false"/>
          <w:bCs w:val="false"/>
          <w:i w:val="false"/>
          <w:iCs w:val="false"/>
          <w:color w:val="222222"/>
          <w:sz w:val="21"/>
          <w:szCs w:val="21"/>
        </w:rPr>
        <w:t xml:space="preserve">RemmiNext will migrate and maintain a structured Bangladesh address reference dataset (Division → District → Upazila/Thana → Union/Post Office → Postal Code) to support accurate beneficiary address capture, biller service-area matching, and KYC address verification. This dataset must be periodically refreshed against Bangladesh Postal Department publications.</w:t>
      </w:r>
    </w:p>
    <w:p>
      <w:pPr>
        <w:pStyle w:val="Heading3"/>
        <w:spacing w:after="120" w:before="260"/>
      </w:pPr>
      <w:r>
        <w:rPr>
          <w:rFonts w:ascii="Calibri" w:cs="Calibri" w:eastAsia="Calibri" w:hAnsi="Calibri"/>
          <w:b/>
          <w:bCs/>
          <w:color w:val="0F6B72"/>
          <w:sz w:val="22"/>
          <w:szCs w:val="22"/>
        </w:rPr>
        <w:t xml:space="preserve">7.1.5 Remittance / Bill / Savings Transaction Type Management</w:t>
      </w:r>
    </w:p>
    <w:p>
      <w:pPr>
        <w:spacing w:after="160" w:line="276"/>
      </w:pPr>
      <w:r>
        <w:rPr>
          <w:rFonts w:ascii="Calibri" w:cs="Calibri" w:eastAsia="Calibri" w:hAnsi="Calibri"/>
          <w:b w:val="false"/>
          <w:bCs w:val="false"/>
          <w:i w:val="false"/>
          <w:iCs w:val="false"/>
          <w:color w:val="222222"/>
          <w:sz w:val="21"/>
          <w:szCs w:val="21"/>
        </w:rPr>
        <w:t xml:space="preserve">Each product surfaced on the Customer App (remittance, bill payment, savings top-up, DPS contribution) is backed by a configurable Transaction Type record controlling its commission rule, applicable TVR set, receipt template, and reporting classification.</w:t>
      </w:r>
    </w:p>
    <w:p>
      <w:pPr>
        <w:pStyle w:val="Heading3"/>
        <w:spacing w:after="120" w:before="260"/>
      </w:pPr>
      <w:r>
        <w:rPr>
          <w:rFonts w:ascii="Calibri" w:cs="Calibri" w:eastAsia="Calibri" w:hAnsi="Calibri"/>
          <w:b/>
          <w:bCs/>
          <w:color w:val="0F6B72"/>
          <w:sz w:val="22"/>
          <w:szCs w:val="22"/>
        </w:rPr>
        <w:t xml:space="preserve">7.1.6 Financial Institutions (FI) Management</w:t>
      </w:r>
    </w:p>
    <w:p>
      <w:pPr>
        <w:pStyle w:val="ListParagraph"/>
        <w:numPr>
          <w:ilvl w:val="0"/>
          <w:numId w:val="2"/>
        </w:numPr>
        <w:spacing w:after="80" w:line="264"/>
      </w:pPr>
      <w:r>
        <w:rPr>
          <w:rFonts w:ascii="Calibri" w:cs="Calibri" w:eastAsia="Calibri" w:hAnsi="Calibri"/>
          <w:sz w:val="21"/>
          <w:szCs w:val="21"/>
        </w:rPr>
        <w:t xml:space="preserve">Bank Management — Bangladeshi partner and correspondent banks, including SWIFT/BIC and routing details.</w:t>
      </w:r>
    </w:p>
    <w:p>
      <w:pPr>
        <w:pStyle w:val="ListParagraph"/>
        <w:numPr>
          <w:ilvl w:val="0"/>
          <w:numId w:val="2"/>
        </w:numPr>
        <w:spacing w:after="80" w:line="264"/>
      </w:pPr>
      <w:r>
        <w:rPr>
          <w:rFonts w:ascii="Calibri" w:cs="Calibri" w:eastAsia="Calibri" w:hAnsi="Calibri"/>
          <w:sz w:val="21"/>
          <w:szCs w:val="21"/>
        </w:rPr>
        <w:t xml:space="preserve">Bank Branch Management — branch-level routing numbers used for BEFTN/RTGS/NPSB payout, sourced from Bangladesh Bank's routing number database.</w:t>
      </w:r>
    </w:p>
    <w:p>
      <w:pPr>
        <w:pStyle w:val="ListParagraph"/>
        <w:numPr>
          <w:ilvl w:val="0"/>
          <w:numId w:val="2"/>
        </w:numPr>
        <w:spacing w:after="80" w:line="264"/>
      </w:pPr>
      <w:r>
        <w:rPr>
          <w:rFonts w:ascii="Calibri" w:cs="Calibri" w:eastAsia="Calibri" w:hAnsi="Calibri"/>
          <w:sz w:val="21"/>
          <w:szCs w:val="21"/>
        </w:rPr>
        <w:t xml:space="preserve">MFS Wallet Management — bKash, Nagad, Rocket, Upay and other MFS operators, including wallet-to-wallet transfer API configuration.</w:t>
      </w:r>
    </w:p>
    <w:p>
      <w:pPr>
        <w:pStyle w:val="ListParagraph"/>
        <w:numPr>
          <w:ilvl w:val="0"/>
          <w:numId w:val="2"/>
        </w:numPr>
        <w:spacing w:after="80" w:line="264"/>
      </w:pPr>
      <w:r>
        <w:rPr>
          <w:rFonts w:ascii="Calibri" w:cs="Calibri" w:eastAsia="Calibri" w:hAnsi="Calibri"/>
          <w:sz w:val="21"/>
          <w:szCs w:val="21"/>
        </w:rPr>
        <w:t xml:space="preserve">Payment Gateway Management — Malaysian funding gateways (e.g., FPX, DuitNow, card acquiring) including merchant IDs, per service.</w:t>
      </w:r>
    </w:p>
    <w:p>
      <w:pPr>
        <w:pStyle w:val="ListParagraph"/>
        <w:numPr>
          <w:ilvl w:val="0"/>
          <w:numId w:val="2"/>
        </w:numPr>
        <w:spacing w:after="80" w:line="264"/>
      </w:pPr>
      <w:r>
        <w:rPr>
          <w:rFonts w:ascii="Calibri" w:cs="Calibri" w:eastAsia="Calibri" w:hAnsi="Calibri"/>
          <w:sz w:val="21"/>
          <w:szCs w:val="21"/>
        </w:rPr>
        <w:t xml:space="preserve">Forex Dealer Management — the FX rate/liquidity provider(s) used to source the MYR/BDT rate.</w:t>
      </w:r>
    </w:p>
    <w:p>
      <w:pPr>
        <w:pStyle w:val="ListParagraph"/>
        <w:numPr>
          <w:ilvl w:val="0"/>
          <w:numId w:val="2"/>
        </w:numPr>
        <w:spacing w:after="80" w:line="264"/>
      </w:pPr>
      <w:r>
        <w:rPr>
          <w:rFonts w:ascii="Calibri" w:cs="Calibri" w:eastAsia="Calibri" w:hAnsi="Calibri"/>
          <w:sz w:val="21"/>
          <w:szCs w:val="21"/>
        </w:rPr>
        <w:t xml:space="preserve">Biller Management — utility and service billers in Bangladesh, including biller code, service category, and payment API/aggregator connectivity (see Module 5).</w:t>
      </w:r>
    </w:p>
    <w:p>
      <w:pPr>
        <w:pStyle w:val="ListParagraph"/>
        <w:numPr>
          <w:ilvl w:val="0"/>
          <w:numId w:val="2"/>
        </w:numPr>
        <w:spacing w:after="80" w:line="264"/>
      </w:pPr>
      <w:r>
        <w:rPr>
          <w:rFonts w:ascii="Calibri" w:cs="Calibri" w:eastAsia="Calibri" w:hAnsi="Calibri"/>
          <w:sz w:val="21"/>
          <w:szCs w:val="21"/>
        </w:rPr>
        <w:t xml:space="preserve">Savings/DPS Partner Bank Management — Bangladeshi banks offering savings accounts and DPS products consumed by Module 6, including product catalogue sync configuration.</w:t>
      </w:r>
    </w:p>
    <w:p>
      <w:pPr>
        <w:pStyle w:val="Heading3"/>
        <w:spacing w:after="120" w:before="260"/>
      </w:pPr>
      <w:r>
        <w:rPr>
          <w:rFonts w:ascii="Calibri" w:cs="Calibri" w:eastAsia="Calibri" w:hAnsi="Calibri"/>
          <w:b/>
          <w:bCs/>
          <w:color w:val="0F6B72"/>
          <w:sz w:val="22"/>
          <w:szCs w:val="22"/>
        </w:rPr>
        <w:t xml:space="preserve">7.1.7 Country-wise Two-Factor Authentication (2FA) Configuration</w:t>
      </w:r>
    </w:p>
    <w:p>
      <w:pPr>
        <w:spacing w:after="160" w:line="276"/>
      </w:pPr>
      <w:r>
        <w:rPr>
          <w:rFonts w:ascii="Calibri" w:cs="Calibri" w:eastAsia="Calibri" w:hAnsi="Calibri"/>
          <w:b w:val="false"/>
          <w:bCs w:val="false"/>
          <w:i w:val="false"/>
          <w:iCs w:val="false"/>
          <w:color w:val="222222"/>
          <w:sz w:val="21"/>
          <w:szCs w:val="21"/>
        </w:rPr>
        <w:t xml:space="preserve">2FA method (SMS OTP, app-based OTP, biometric) is configurable per country and per transaction risk tier, to accommodate differing mobile network reliability between Malaysia and Bangladesh and differing regulatory minimums.</w:t>
      </w:r>
    </w:p>
    <w:p>
      <w:pPr>
        <w:pStyle w:val="Heading3"/>
        <w:spacing w:after="120" w:before="260"/>
      </w:pPr>
      <w:r>
        <w:rPr>
          <w:rFonts w:ascii="Calibri" w:cs="Calibri" w:eastAsia="Calibri" w:hAnsi="Calibri"/>
          <w:b/>
          <w:bCs/>
          <w:color w:val="0F6B72"/>
          <w:sz w:val="22"/>
          <w:szCs w:val="22"/>
        </w:rPr>
        <w:t xml:space="preserve">7.1.8 Configuration Errors</w:t>
      </w:r>
    </w:p>
    <w:p>
      <w:pPr>
        <w:spacing w:after="160" w:line="276"/>
      </w:pPr>
      <w:r>
        <w:rPr>
          <w:rFonts w:ascii="Calibri" w:cs="Calibri" w:eastAsia="Calibri" w:hAnsi="Calibri"/>
          <w:b w:val="false"/>
          <w:bCs w:val="false"/>
          <w:i w:val="false"/>
          <w:iCs w:val="false"/>
          <w:color w:val="222222"/>
          <w:sz w:val="21"/>
          <w:szCs w:val="21"/>
        </w:rPr>
        <w:t xml:space="preserve">The Ops Console must surface a consolidated Configuration Error list identifying any corridor, product, or partner that is incompletely configured and therefore blocked from going live, with a direct link to the missing field.</w:t>
      </w:r>
    </w:p>
    <w:p>
      <w:pPr>
        <w:pStyle w:val="Heading2"/>
        <w:spacing w:after="160" w:before="360"/>
      </w:pPr>
      <w:r>
        <w:rPr>
          <w:rFonts w:ascii="Calibri" w:cs="Calibri" w:eastAsia="Calibri" w:hAnsi="Calibri"/>
          <w:b/>
          <w:bCs/>
          <w:color w:val="1F3864"/>
          <w:sz w:val="26"/>
          <w:szCs w:val="26"/>
        </w:rPr>
        <w:t xml:space="preserve">7.2 Module 2 — Customer Onboarding &amp; KYC</w:t>
      </w:r>
    </w:p>
    <w:p>
      <w:pPr>
        <w:spacing w:after="160" w:line="276"/>
      </w:pPr>
      <w:r>
        <w:rPr>
          <w:rFonts w:ascii="Calibri" w:cs="Calibri" w:eastAsia="Calibri" w:hAnsi="Calibri"/>
          <w:b w:val="false"/>
          <w:bCs w:val="false"/>
          <w:i w:val="false"/>
          <w:iCs w:val="false"/>
          <w:color w:val="222222"/>
          <w:sz w:val="21"/>
          <w:szCs w:val="21"/>
        </w:rPr>
        <w:t xml:space="preserve">RemmiNext supports a single customer type: an individual Bangladeshi national legally resident and earning in Malaysia. There is no business/corporate account type, consistent with the sole-purpose scope defined in Section 3.</w:t>
      </w:r>
    </w:p>
    <w:p>
      <w:pPr>
        <w:pStyle w:val="Heading3"/>
        <w:spacing w:after="120" w:before="260"/>
      </w:pPr>
      <w:r>
        <w:rPr>
          <w:rFonts w:ascii="Calibri" w:cs="Calibri" w:eastAsia="Calibri" w:hAnsi="Calibri"/>
          <w:b/>
          <w:bCs/>
          <w:color w:val="0F6B72"/>
          <w:sz w:val="22"/>
          <w:szCs w:val="22"/>
        </w:rPr>
        <w:t xml:space="preserve">7.2.1 Individual Customer Registration</w:t>
      </w:r>
    </w:p>
    <w:p>
      <w:pPr>
        <w:spacing w:after="60" w:before="200"/>
      </w:pPr>
      <w:r>
        <w:rPr>
          <w:rFonts w:ascii="Calibri" w:cs="Calibri" w:eastAsia="Calibri" w:hAnsi="Calibri"/>
          <w:b/>
          <w:bCs/>
          <w:color w:val="1F3864"/>
          <w:sz w:val="21"/>
          <w:szCs w:val="21"/>
        </w:rPr>
        <w:t xml:space="preserve">Registering as an Individual Customer</w:t>
      </w:r>
      <w:r>
        <w:rPr>
          <w:rFonts w:ascii="Calibri" w:cs="Calibri" w:eastAsia="Calibri" w:hAnsi="Calibri"/>
          <w:b/>
          <w:bCs/>
          <w:color w:val="0F6B72"/>
          <w:sz w:val="18"/>
          <w:szCs w:val="18"/>
        </w:rPr>
        <w:t xml:space="preserve">  [RN-BPID-001]</w:t>
      </w:r>
    </w:p>
    <w:p>
      <w:pPr>
        <w:pStyle w:val="ListParagraph"/>
        <w:numPr>
          <w:ilvl w:val="0"/>
          <w:numId w:val="4"/>
        </w:numPr>
        <w:spacing w:after="60" w:line="260"/>
        <w:ind w:left="360"/>
      </w:pPr>
      <w:r>
        <w:rPr>
          <w:rFonts w:ascii="Calibri" w:cs="Calibri" w:eastAsia="Calibri" w:hAnsi="Calibri"/>
          <w:color w:val="333333"/>
          <w:sz w:val="20"/>
          <w:szCs w:val="20"/>
        </w:rPr>
        <w:t xml:space="preserve">The user downloads the RemmiNext app and selects "Create Account".</w:t>
      </w:r>
    </w:p>
    <w:p>
      <w:pPr>
        <w:pStyle w:val="ListParagraph"/>
        <w:numPr>
          <w:ilvl w:val="0"/>
          <w:numId w:val="4"/>
        </w:numPr>
        <w:spacing w:after="60" w:line="260"/>
        <w:ind w:left="360"/>
      </w:pPr>
      <w:r>
        <w:rPr>
          <w:rFonts w:ascii="Calibri" w:cs="Calibri" w:eastAsia="Calibri" w:hAnsi="Calibri"/>
          <w:color w:val="333333"/>
          <w:sz w:val="20"/>
          <w:szCs w:val="20"/>
        </w:rPr>
        <w:t xml:space="preserve">The user enters their Malaysian mobile number and receives an OTP via SMS to verify it.</w:t>
      </w:r>
    </w:p>
    <w:p>
      <w:pPr>
        <w:pStyle w:val="ListParagraph"/>
        <w:numPr>
          <w:ilvl w:val="0"/>
          <w:numId w:val="4"/>
        </w:numPr>
        <w:spacing w:after="60" w:line="260"/>
        <w:ind w:left="360"/>
      </w:pPr>
      <w:r>
        <w:rPr>
          <w:rFonts w:ascii="Calibri" w:cs="Calibri" w:eastAsia="Calibri" w:hAnsi="Calibri"/>
          <w:color w:val="333333"/>
          <w:sz w:val="20"/>
          <w:szCs w:val="20"/>
        </w:rPr>
        <w:t xml:space="preserve">The user sets a personal PIN (and, on supported devices, enables biometric unlock) for app access.</w:t>
      </w:r>
    </w:p>
    <w:p>
      <w:pPr>
        <w:pStyle w:val="ListParagraph"/>
        <w:numPr>
          <w:ilvl w:val="0"/>
          <w:numId w:val="4"/>
        </w:numPr>
        <w:spacing w:after="60" w:line="260"/>
        <w:ind w:left="360"/>
      </w:pPr>
      <w:r>
        <w:rPr>
          <w:rFonts w:ascii="Calibri" w:cs="Calibri" w:eastAsia="Calibri" w:hAnsi="Calibri"/>
          <w:color w:val="333333"/>
          <w:sz w:val="20"/>
          <w:szCs w:val="20"/>
        </w:rPr>
        <w:t xml:space="preserve">The user is prompted to capture their Bangladeshi National ID (NID) card or passport using the in-app camera; optical character recognition (OCR) extracts name, date of birth, and document number for the user to confirm.</w:t>
      </w:r>
    </w:p>
    <w:p>
      <w:pPr>
        <w:pStyle w:val="ListParagraph"/>
        <w:numPr>
          <w:ilvl w:val="0"/>
          <w:numId w:val="4"/>
        </w:numPr>
        <w:spacing w:after="60" w:line="260"/>
        <w:ind w:left="360"/>
      </w:pPr>
      <w:r>
        <w:rPr>
          <w:rFonts w:ascii="Calibri" w:cs="Calibri" w:eastAsia="Calibri" w:hAnsi="Calibri"/>
          <w:color w:val="333333"/>
          <w:sz w:val="20"/>
          <w:szCs w:val="20"/>
        </w:rPr>
        <w:t xml:space="preserve">The user captures their valid Malaysian work permit / employment pass (or visa) to establish legal residency and employment basis in Malaysia.</w:t>
      </w:r>
    </w:p>
    <w:p>
      <w:pPr>
        <w:pStyle w:val="ListParagraph"/>
        <w:numPr>
          <w:ilvl w:val="0"/>
          <w:numId w:val="4"/>
        </w:numPr>
        <w:spacing w:after="60" w:line="260"/>
        <w:ind w:left="360"/>
      </w:pPr>
      <w:r>
        <w:rPr>
          <w:rFonts w:ascii="Calibri" w:cs="Calibri" w:eastAsia="Calibri" w:hAnsi="Calibri"/>
          <w:color w:val="333333"/>
          <w:sz w:val="20"/>
          <w:szCs w:val="20"/>
        </w:rPr>
        <w:t xml:space="preserve">The user completes a selfie and liveliness check, which is matched against the photo on the identity document.</w:t>
      </w:r>
    </w:p>
    <w:p>
      <w:pPr>
        <w:pStyle w:val="ListParagraph"/>
        <w:numPr>
          <w:ilvl w:val="0"/>
          <w:numId w:val="4"/>
        </w:numPr>
        <w:spacing w:after="60" w:line="260"/>
        <w:ind w:left="360"/>
      </w:pPr>
      <w:r>
        <w:rPr>
          <w:rFonts w:ascii="Calibri" w:cs="Calibri" w:eastAsia="Calibri" w:hAnsi="Calibri"/>
          <w:color w:val="333333"/>
          <w:sz w:val="20"/>
          <w:szCs w:val="20"/>
        </w:rPr>
        <w:t xml:space="preserve">The user provides their current Malaysian residential address and their permanent Bangladesh address (for the family home / eventual return).</w:t>
      </w:r>
    </w:p>
    <w:p>
      <w:pPr>
        <w:pStyle w:val="ListParagraph"/>
        <w:numPr>
          <w:ilvl w:val="0"/>
          <w:numId w:val="4"/>
        </w:numPr>
        <w:spacing w:after="60" w:line="260"/>
        <w:ind w:left="360"/>
      </w:pPr>
      <w:r>
        <w:rPr>
          <w:rFonts w:ascii="Calibri" w:cs="Calibri" w:eastAsia="Calibri" w:hAnsi="Calibri"/>
          <w:color w:val="333333"/>
          <w:sz w:val="20"/>
          <w:szCs w:val="20"/>
        </w:rPr>
        <w:t xml:space="preserve">The user declares their occupation, employer name, and approximate monthly income band (source-of-funds declaration).</w:t>
      </w:r>
    </w:p>
    <w:p>
      <w:pPr>
        <w:pStyle w:val="ListParagraph"/>
        <w:numPr>
          <w:ilvl w:val="0"/>
          <w:numId w:val="4"/>
        </w:numPr>
        <w:spacing w:after="60" w:line="260"/>
        <w:ind w:left="360"/>
      </w:pPr>
      <w:r>
        <w:rPr>
          <w:rFonts w:ascii="Calibri" w:cs="Calibri" w:eastAsia="Calibri" w:hAnsi="Calibri"/>
          <w:color w:val="333333"/>
          <w:sz w:val="20"/>
          <w:szCs w:val="20"/>
        </w:rPr>
        <w:t xml:space="preserve">The system runs automated document validation, sanctions/PEP screening, and a risk-based decision (auto-approve, refer for manual review, or reject) — see Module 9.</w:t>
      </w:r>
    </w:p>
    <w:p>
      <w:pPr>
        <w:pStyle w:val="ListParagraph"/>
        <w:numPr>
          <w:ilvl w:val="0"/>
          <w:numId w:val="4"/>
        </w:numPr>
        <w:spacing w:after="60" w:line="260"/>
        <w:ind w:left="360"/>
      </w:pPr>
      <w:r>
        <w:rPr>
          <w:rFonts w:ascii="Calibri" w:cs="Calibri" w:eastAsia="Calibri" w:hAnsi="Calibri"/>
          <w:color w:val="333333"/>
          <w:sz w:val="20"/>
          <w:szCs w:val="20"/>
        </w:rPr>
        <w:t xml:space="preserve">On approval, the user's account is activated and they are taken to the home dashboard; on referral, the user sees a "Verification in Progress" status and is notified once a compliance officer completes manual review.</w:t>
      </w:r>
    </w:p>
    <w:p>
      <w:pPr>
        <w:pStyle w:val="Heading3"/>
        <w:spacing w:after="120" w:before="260"/>
      </w:pPr>
      <w:r>
        <w:rPr>
          <w:rFonts w:ascii="Calibri" w:cs="Calibri" w:eastAsia="Calibri" w:hAnsi="Calibri"/>
          <w:b/>
          <w:bCs/>
          <w:color w:val="0F6B72"/>
          <w:sz w:val="22"/>
          <w:szCs w:val="22"/>
        </w:rPr>
        <w:t xml:space="preserve">7.2.2 Referral Onboarding</w:t>
      </w:r>
    </w:p>
    <w:p>
      <w:pPr>
        <w:spacing w:after="160" w:line="276"/>
      </w:pPr>
      <w:r>
        <w:rPr>
          <w:rFonts w:ascii="Calibri" w:cs="Calibri" w:eastAsia="Calibri" w:hAnsi="Calibri"/>
          <w:b w:val="false"/>
          <w:bCs w:val="false"/>
          <w:i w:val="false"/>
          <w:iCs w:val="false"/>
          <w:color w:val="222222"/>
          <w:sz w:val="21"/>
          <w:szCs w:val="21"/>
        </w:rPr>
        <w:t xml:space="preserve">During sign-up, a user may optionally enter a referral code shared by an existing RemmiNext customer. On successful onboarding of the referred user (i.e., completion of KYC and a first successful remittance), both the referrer and the referee may receive a configurable reward as defined by the backend Reward Configuration (RN-BPID-002).</w:t>
      </w:r>
    </w:p>
    <w:p>
      <w:pPr>
        <w:pStyle w:val="Heading3"/>
        <w:spacing w:after="120" w:before="260"/>
      </w:pPr>
      <w:r>
        <w:rPr>
          <w:rFonts w:ascii="Calibri" w:cs="Calibri" w:eastAsia="Calibri" w:hAnsi="Calibri"/>
          <w:b/>
          <w:bCs/>
          <w:color w:val="0F6B72"/>
          <w:sz w:val="22"/>
          <w:szCs w:val="22"/>
        </w:rPr>
        <w:t xml:space="preserve">7.2.3 Work Permit / Employment Pass Revalidation</w:t>
      </w:r>
    </w:p>
    <w:p>
      <w:pPr>
        <w:spacing w:after="160" w:line="276"/>
      </w:pPr>
      <w:r>
        <w:rPr>
          <w:rFonts w:ascii="Calibri" w:cs="Calibri" w:eastAsia="Calibri" w:hAnsi="Calibri"/>
          <w:b w:val="false"/>
          <w:bCs w:val="false"/>
          <w:i w:val="false"/>
          <w:iCs w:val="false"/>
          <w:color w:val="222222"/>
          <w:sz w:val="21"/>
          <w:szCs w:val="21"/>
        </w:rPr>
        <w:t xml:space="preserve">Because the target persona's legal basis for remaining in Malaysia (and therefore for using RemmiNext) is tied to a time-bound work permit, the system must track work permit expiry and prompt the user to upload a renewed permit before or promptly after expiry. Transacting capability may be restricted if the work permit has lapsed and not been renewed, pending compliance review (RN-BPID-003).</w:t>
      </w:r>
    </w:p>
    <w:p>
      <w:pPr>
        <w:pStyle w:val="Heading3"/>
        <w:spacing w:after="120" w:before="260"/>
      </w:pPr>
      <w:r>
        <w:rPr>
          <w:rFonts w:ascii="Calibri" w:cs="Calibri" w:eastAsia="Calibri" w:hAnsi="Calibri"/>
          <w:b/>
          <w:bCs/>
          <w:color w:val="0F6B72"/>
          <w:sz w:val="22"/>
          <w:szCs w:val="22"/>
        </w:rPr>
        <w:t xml:space="preserve">7.2.4 Customer Profile Management</w:t>
      </w:r>
    </w:p>
    <w:tbl>
      <w:tblPr>
        <w:tblW w:type="dxa" w:w="100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3200"/>
        <w:gridCol w:w="4200"/>
      </w:tblGrid>
      <w:tr>
        <w:trPr>
          <w:tblHeader/>
        </w:trPr>
        <w:tc>
          <w:tcPr>
            <w:tcW w:type="dxa" w:w="26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Field</w:t>
            </w:r>
          </w:p>
        </w:tc>
        <w:tc>
          <w:tcPr>
            <w:tcW w:type="dxa" w:w="32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Editable by Customer</w:t>
            </w:r>
          </w:p>
        </w:tc>
        <w:tc>
          <w:tcPr>
            <w:tcW w:type="dxa" w:w="42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Notes</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Full name</w:t>
            </w:r>
          </w:p>
        </w:tc>
        <w:tc>
          <w:tcPr>
            <w:tcW w:type="dxa" w:w="3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No (requires document re-verification)</w:t>
            </w:r>
          </w:p>
        </w:tc>
        <w:tc>
          <w:tcPr>
            <w:tcW w:type="dxa" w:w="4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Must match verified identity document</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Mobile number</w:t>
            </w:r>
          </w:p>
        </w:tc>
        <w:tc>
          <w:tcPr>
            <w:tcW w:type="dxa" w:w="3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Yes, with OTP verification of new number</w:t>
            </w:r>
          </w:p>
        </w:tc>
        <w:tc>
          <w:tcPr>
            <w:tcW w:type="dxa" w:w="4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Email address</w:t>
            </w:r>
          </w:p>
        </w:tc>
        <w:tc>
          <w:tcPr>
            <w:tcW w:type="dxa" w:w="3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Yes, with verification link/OTP</w:t>
            </w:r>
          </w:p>
        </w:tc>
        <w:tc>
          <w:tcPr>
            <w:tcW w:type="dxa" w:w="4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Malaysia residential address</w:t>
            </w:r>
          </w:p>
        </w:tc>
        <w:tc>
          <w:tcPr>
            <w:tcW w:type="dxa" w:w="3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Yes</w:t>
            </w:r>
          </w:p>
        </w:tc>
        <w:tc>
          <w:tcPr>
            <w:tcW w:type="dxa" w:w="4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Used for KYC and correspondence</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Bangladesh permanent address</w:t>
            </w:r>
          </w:p>
        </w:tc>
        <w:tc>
          <w:tcPr>
            <w:tcW w:type="dxa" w:w="3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Yes</w:t>
            </w:r>
          </w:p>
        </w:tc>
        <w:tc>
          <w:tcPr>
            <w:tcW w:type="dxa" w:w="4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Used for Nest Egg and Return Journey context</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Occupation / employer</w:t>
            </w:r>
          </w:p>
        </w:tc>
        <w:tc>
          <w:tcPr>
            <w:tcW w:type="dxa" w:w="3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Yes, subject to re-screening if materially changed</w:t>
            </w:r>
          </w:p>
        </w:tc>
        <w:tc>
          <w:tcPr>
            <w:tcW w:type="dxa" w:w="4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Identity documents (NID/Passport, work permit)</w:t>
            </w:r>
          </w:p>
        </w:tc>
        <w:tc>
          <w:tcPr>
            <w:tcW w:type="dxa" w:w="3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Yes, upload new version</w:t>
            </w:r>
          </w:p>
        </w:tc>
        <w:tc>
          <w:tcPr>
            <w:tcW w:type="dxa" w:w="4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Triggers re-verification workflow</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Profile photo</w:t>
            </w:r>
          </w:p>
        </w:tc>
        <w:tc>
          <w:tcPr>
            <w:tcW w:type="dxa" w:w="3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Yes</w:t>
            </w:r>
          </w:p>
        </w:tc>
        <w:tc>
          <w:tcPr>
            <w:tcW w:type="dxa" w:w="4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PIN / passcode</w:t>
            </w:r>
          </w:p>
        </w:tc>
        <w:tc>
          <w:tcPr>
            <w:tcW w:type="dxa" w:w="3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Yes, via Change Passcode flow with OTP</w:t>
            </w:r>
          </w:p>
        </w:tc>
        <w:tc>
          <w:tcPr>
            <w:tcW w:type="dxa" w:w="4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
            </w:r>
          </w:p>
        </w:tc>
      </w:tr>
    </w:tbl>
    <w:p>
      <w:pPr>
        <w:pStyle w:val="Heading3"/>
        <w:spacing w:after="120" w:before="260"/>
      </w:pPr>
      <w:r>
        <w:rPr>
          <w:rFonts w:ascii="Calibri" w:cs="Calibri" w:eastAsia="Calibri" w:hAnsi="Calibri"/>
          <w:b/>
          <w:bCs/>
          <w:color w:val="0F6B72"/>
          <w:sz w:val="22"/>
          <w:szCs w:val="22"/>
        </w:rPr>
        <w:t xml:space="preserve">7.2.5 Password / PIN Reset</w:t>
      </w:r>
    </w:p>
    <w:p>
      <w:pPr>
        <w:spacing w:after="60" w:before="200"/>
      </w:pPr>
      <w:r>
        <w:rPr>
          <w:rFonts w:ascii="Calibri" w:cs="Calibri" w:eastAsia="Calibri" w:hAnsi="Calibri"/>
          <w:b/>
          <w:bCs/>
          <w:color w:val="1F3864"/>
          <w:sz w:val="21"/>
          <w:szCs w:val="21"/>
        </w:rPr>
        <w:t xml:space="preserve">Resetting a Forgotten PIN</w:t>
      </w:r>
      <w:r>
        <w:rPr>
          <w:rFonts w:ascii="Calibri" w:cs="Calibri" w:eastAsia="Calibri" w:hAnsi="Calibri"/>
          <w:b/>
          <w:bCs/>
          <w:color w:val="0F6B72"/>
          <w:sz w:val="18"/>
          <w:szCs w:val="18"/>
        </w:rPr>
        <w:t xml:space="preserve">  [RN-BPID-004]</w:t>
      </w:r>
    </w:p>
    <w:p>
      <w:pPr>
        <w:pStyle w:val="ListParagraph"/>
        <w:numPr>
          <w:ilvl w:val="0"/>
          <w:numId w:val="4"/>
        </w:numPr>
        <w:spacing w:after="60" w:line="260"/>
        <w:ind w:left="360"/>
      </w:pPr>
      <w:r>
        <w:rPr>
          <w:rFonts w:ascii="Calibri" w:cs="Calibri" w:eastAsia="Calibri" w:hAnsi="Calibri"/>
          <w:color w:val="333333"/>
          <w:sz w:val="20"/>
          <w:szCs w:val="20"/>
        </w:rPr>
        <w:t xml:space="preserve">The user selects "Forgot PIN" on the login screen.</w:t>
      </w:r>
    </w:p>
    <w:p>
      <w:pPr>
        <w:pStyle w:val="ListParagraph"/>
        <w:numPr>
          <w:ilvl w:val="0"/>
          <w:numId w:val="4"/>
        </w:numPr>
        <w:spacing w:after="60" w:line="260"/>
        <w:ind w:left="360"/>
      </w:pPr>
      <w:r>
        <w:rPr>
          <w:rFonts w:ascii="Calibri" w:cs="Calibri" w:eastAsia="Calibri" w:hAnsi="Calibri"/>
          <w:color w:val="333333"/>
          <w:sz w:val="20"/>
          <w:szCs w:val="20"/>
        </w:rPr>
        <w:t xml:space="preserve">The user enters their registered mobile number and receives an OTP.</w:t>
      </w:r>
    </w:p>
    <w:p>
      <w:pPr>
        <w:pStyle w:val="ListParagraph"/>
        <w:numPr>
          <w:ilvl w:val="0"/>
          <w:numId w:val="4"/>
        </w:numPr>
        <w:spacing w:after="60" w:line="260"/>
        <w:ind w:left="360"/>
      </w:pPr>
      <w:r>
        <w:rPr>
          <w:rFonts w:ascii="Calibri" w:cs="Calibri" w:eastAsia="Calibri" w:hAnsi="Calibri"/>
          <w:color w:val="333333"/>
          <w:sz w:val="20"/>
          <w:szCs w:val="20"/>
        </w:rPr>
        <w:t xml:space="preserve">The user completes a quick liveliness selfie check to confirm identity (step-up authentication).</w:t>
      </w:r>
    </w:p>
    <w:p>
      <w:pPr>
        <w:pStyle w:val="ListParagraph"/>
        <w:numPr>
          <w:ilvl w:val="0"/>
          <w:numId w:val="4"/>
        </w:numPr>
        <w:spacing w:after="60" w:line="260"/>
        <w:ind w:left="360"/>
      </w:pPr>
      <w:r>
        <w:rPr>
          <w:rFonts w:ascii="Calibri" w:cs="Calibri" w:eastAsia="Calibri" w:hAnsi="Calibri"/>
          <w:color w:val="333333"/>
          <w:sz w:val="20"/>
          <w:szCs w:val="20"/>
        </w:rPr>
        <w:t xml:space="preserve">The user sets a new PIN and confirms it.</w:t>
      </w:r>
    </w:p>
    <w:p>
      <w:pPr>
        <w:pStyle w:val="ListParagraph"/>
        <w:numPr>
          <w:ilvl w:val="0"/>
          <w:numId w:val="4"/>
        </w:numPr>
        <w:spacing w:after="60" w:line="260"/>
        <w:ind w:left="360"/>
      </w:pPr>
      <w:r>
        <w:rPr>
          <w:rFonts w:ascii="Calibri" w:cs="Calibri" w:eastAsia="Calibri" w:hAnsi="Calibri"/>
          <w:color w:val="333333"/>
          <w:sz w:val="20"/>
          <w:szCs w:val="20"/>
        </w:rPr>
        <w:t xml:space="preserve">The system notifies the user via SMS/email that their PIN was changed, with an option to report if this was not them.</w:t>
      </w:r>
    </w:p>
    <w:p>
      <w:pPr>
        <w:pStyle w:val="Heading2"/>
        <w:spacing w:after="160" w:before="360"/>
      </w:pPr>
      <w:r>
        <w:rPr>
          <w:rFonts w:ascii="Calibri" w:cs="Calibri" w:eastAsia="Calibri" w:hAnsi="Calibri"/>
          <w:b/>
          <w:bCs/>
          <w:color w:val="1F3864"/>
          <w:sz w:val="26"/>
          <w:szCs w:val="26"/>
        </w:rPr>
        <w:t xml:space="preserve">7.3 Module 3 — Beneficiary Management</w:t>
      </w:r>
    </w:p>
    <w:p>
      <w:pPr>
        <w:spacing w:after="160" w:line="276"/>
      </w:pPr>
      <w:r>
        <w:rPr>
          <w:rFonts w:ascii="Calibri" w:cs="Calibri" w:eastAsia="Calibri" w:hAnsi="Calibri"/>
          <w:b w:val="false"/>
          <w:bCs w:val="false"/>
          <w:i w:val="false"/>
          <w:iCs w:val="false"/>
          <w:color w:val="222222"/>
          <w:sz w:val="21"/>
          <w:szCs w:val="21"/>
        </w:rPr>
        <w:t xml:space="preserve">A Beneficiary is any Bangladesh-side recipient of funds: a bank account, an MFS wallet, or a cash-pickup recipient for remittance; or a household biller account for bill payment. Beneficiaries do not need a RemmiNext account.</w:t>
      </w:r>
    </w:p>
    <w:p>
      <w:pPr>
        <w:pStyle w:val="Heading3"/>
        <w:spacing w:after="120" w:before="260"/>
      </w:pPr>
      <w:r>
        <w:rPr>
          <w:rFonts w:ascii="Calibri" w:cs="Calibri" w:eastAsia="Calibri" w:hAnsi="Calibri"/>
          <w:b/>
          <w:bCs/>
          <w:color w:val="0F6B72"/>
          <w:sz w:val="22"/>
          <w:szCs w:val="22"/>
        </w:rPr>
        <w:t xml:space="preserve">7.3.1 Adding a Bank Account Beneficiary</w:t>
      </w:r>
    </w:p>
    <w:p>
      <w:pPr>
        <w:spacing w:after="60" w:before="200"/>
      </w:pPr>
      <w:r>
        <w:rPr>
          <w:rFonts w:ascii="Calibri" w:cs="Calibri" w:eastAsia="Calibri" w:hAnsi="Calibri"/>
          <w:b/>
          <w:bCs/>
          <w:color w:val="1F3864"/>
          <w:sz w:val="21"/>
          <w:szCs w:val="21"/>
        </w:rPr>
        <w:t xml:space="preserve">Add a Bank Account Beneficiary</w:t>
      </w:r>
      <w:r>
        <w:rPr>
          <w:rFonts w:ascii="Calibri" w:cs="Calibri" w:eastAsia="Calibri" w:hAnsi="Calibri"/>
          <w:b/>
          <w:bCs/>
          <w:color w:val="0F6B72"/>
          <w:sz w:val="18"/>
          <w:szCs w:val="18"/>
        </w:rPr>
        <w:t xml:space="preserve">  [RN-BPID-010]</w:t>
      </w:r>
    </w:p>
    <w:p>
      <w:pPr>
        <w:pStyle w:val="ListParagraph"/>
        <w:numPr>
          <w:ilvl w:val="0"/>
          <w:numId w:val="4"/>
        </w:numPr>
        <w:spacing w:after="60" w:line="260"/>
        <w:ind w:left="360"/>
      </w:pPr>
      <w:r>
        <w:rPr>
          <w:rFonts w:ascii="Calibri" w:cs="Calibri" w:eastAsia="Calibri" w:hAnsi="Calibri"/>
          <w:color w:val="333333"/>
          <w:sz w:val="20"/>
          <w:szCs w:val="20"/>
        </w:rPr>
        <w:t xml:space="preserve">The user selects "Beneficiaries" then "Add Beneficiary" then "Bank Account".</w:t>
      </w:r>
    </w:p>
    <w:p>
      <w:pPr>
        <w:pStyle w:val="ListParagraph"/>
        <w:numPr>
          <w:ilvl w:val="0"/>
          <w:numId w:val="4"/>
        </w:numPr>
        <w:spacing w:after="60" w:line="260"/>
        <w:ind w:left="360"/>
      </w:pPr>
      <w:r>
        <w:rPr>
          <w:rFonts w:ascii="Calibri" w:cs="Calibri" w:eastAsia="Calibri" w:hAnsi="Calibri"/>
          <w:color w:val="333333"/>
          <w:sz w:val="20"/>
          <w:szCs w:val="20"/>
        </w:rPr>
        <w:t xml:space="preserve">The user enters the beneficiary's full name, bank name, branch, routing number, and account number.</w:t>
      </w:r>
    </w:p>
    <w:p>
      <w:pPr>
        <w:pStyle w:val="ListParagraph"/>
        <w:numPr>
          <w:ilvl w:val="0"/>
          <w:numId w:val="4"/>
        </w:numPr>
        <w:spacing w:after="60" w:line="260"/>
        <w:ind w:left="360"/>
      </w:pPr>
      <w:r>
        <w:rPr>
          <w:rFonts w:ascii="Calibri" w:cs="Calibri" w:eastAsia="Calibri" w:hAnsi="Calibri"/>
          <w:color w:val="333333"/>
          <w:sz w:val="20"/>
          <w:szCs w:val="20"/>
        </w:rPr>
        <w:t xml:space="preserve">The system validates the routing number against the Bangladesh Bank routing database and displays the resolved branch name for the user to confirm.</w:t>
      </w:r>
    </w:p>
    <w:p>
      <w:pPr>
        <w:pStyle w:val="ListParagraph"/>
        <w:numPr>
          <w:ilvl w:val="0"/>
          <w:numId w:val="4"/>
        </w:numPr>
        <w:spacing w:after="60" w:line="260"/>
        <w:ind w:left="360"/>
      </w:pPr>
      <w:r>
        <w:rPr>
          <w:rFonts w:ascii="Calibri" w:cs="Calibri" w:eastAsia="Calibri" w:hAnsi="Calibri"/>
          <w:color w:val="333333"/>
          <w:sz w:val="20"/>
          <w:szCs w:val="20"/>
        </w:rPr>
        <w:t xml:space="preserve">The user optionally labels the relationship (e.g., "Spouse", "Father") for personalised display.</w:t>
      </w:r>
    </w:p>
    <w:p>
      <w:pPr>
        <w:pStyle w:val="ListParagraph"/>
        <w:numPr>
          <w:ilvl w:val="0"/>
          <w:numId w:val="4"/>
        </w:numPr>
        <w:spacing w:after="60" w:line="260"/>
        <w:ind w:left="360"/>
      </w:pPr>
      <w:r>
        <w:rPr>
          <w:rFonts w:ascii="Calibri" w:cs="Calibri" w:eastAsia="Calibri" w:hAnsi="Calibri"/>
          <w:color w:val="333333"/>
          <w:sz w:val="20"/>
          <w:szCs w:val="20"/>
        </w:rPr>
        <w:t xml:space="preserve">The beneficiary is screened against sanctions/PEP and internal blacklist/NTDBW lists before being saved as active.</w:t>
      </w:r>
    </w:p>
    <w:p>
      <w:pPr>
        <w:pStyle w:val="ListParagraph"/>
        <w:numPr>
          <w:ilvl w:val="0"/>
          <w:numId w:val="4"/>
        </w:numPr>
        <w:spacing w:after="60" w:line="260"/>
        <w:ind w:left="360"/>
      </w:pPr>
      <w:r>
        <w:rPr>
          <w:rFonts w:ascii="Calibri" w:cs="Calibri" w:eastAsia="Calibri" w:hAnsi="Calibri"/>
          <w:color w:val="333333"/>
          <w:sz w:val="20"/>
          <w:szCs w:val="20"/>
        </w:rPr>
        <w:t xml:space="preserve">The beneficiary appears in the user's saved beneficiary list for future transfers.</w:t>
      </w:r>
    </w:p>
    <w:p>
      <w:pPr>
        <w:pStyle w:val="Heading3"/>
        <w:spacing w:after="120" w:before="260"/>
      </w:pPr>
      <w:r>
        <w:rPr>
          <w:rFonts w:ascii="Calibri" w:cs="Calibri" w:eastAsia="Calibri" w:hAnsi="Calibri"/>
          <w:b/>
          <w:bCs/>
          <w:color w:val="0F6B72"/>
          <w:sz w:val="22"/>
          <w:szCs w:val="22"/>
        </w:rPr>
        <w:t xml:space="preserve">7.3.2 Adding an MFS Wallet Beneficiary</w:t>
      </w:r>
    </w:p>
    <w:p>
      <w:pPr>
        <w:spacing w:after="60" w:before="200"/>
      </w:pPr>
      <w:r>
        <w:rPr>
          <w:rFonts w:ascii="Calibri" w:cs="Calibri" w:eastAsia="Calibri" w:hAnsi="Calibri"/>
          <w:b/>
          <w:bCs/>
          <w:color w:val="1F3864"/>
          <w:sz w:val="21"/>
          <w:szCs w:val="21"/>
        </w:rPr>
        <w:t xml:space="preserve">Add an MFS Wallet Beneficiary</w:t>
      </w:r>
      <w:r>
        <w:rPr>
          <w:rFonts w:ascii="Calibri" w:cs="Calibri" w:eastAsia="Calibri" w:hAnsi="Calibri"/>
          <w:b/>
          <w:bCs/>
          <w:color w:val="0F6B72"/>
          <w:sz w:val="18"/>
          <w:szCs w:val="18"/>
        </w:rPr>
        <w:t xml:space="preserve">  [RN-BPID-011]</w:t>
      </w:r>
    </w:p>
    <w:p>
      <w:pPr>
        <w:pStyle w:val="ListParagraph"/>
        <w:numPr>
          <w:ilvl w:val="0"/>
          <w:numId w:val="4"/>
        </w:numPr>
        <w:spacing w:after="60" w:line="260"/>
        <w:ind w:left="360"/>
      </w:pPr>
      <w:r>
        <w:rPr>
          <w:rFonts w:ascii="Calibri" w:cs="Calibri" w:eastAsia="Calibri" w:hAnsi="Calibri"/>
          <w:color w:val="333333"/>
          <w:sz w:val="20"/>
          <w:szCs w:val="20"/>
        </w:rPr>
        <w:t xml:space="preserve">The user selects "Beneficiaries" then "Add Beneficiary" then "Mobile Wallet (MFS)".</w:t>
      </w:r>
    </w:p>
    <w:p>
      <w:pPr>
        <w:pStyle w:val="ListParagraph"/>
        <w:numPr>
          <w:ilvl w:val="0"/>
          <w:numId w:val="4"/>
        </w:numPr>
        <w:spacing w:after="60" w:line="260"/>
        <w:ind w:left="360"/>
      </w:pPr>
      <w:r>
        <w:rPr>
          <w:rFonts w:ascii="Calibri" w:cs="Calibri" w:eastAsia="Calibri" w:hAnsi="Calibri"/>
          <w:color w:val="333333"/>
          <w:sz w:val="20"/>
          <w:szCs w:val="20"/>
        </w:rPr>
        <w:t xml:space="preserve">The user selects the MFS provider (bKash, Nagad, Rocket, Upay, etc.) and enters the beneficiary's Bangladesh mobile number.</w:t>
      </w:r>
    </w:p>
    <w:p>
      <w:pPr>
        <w:pStyle w:val="ListParagraph"/>
        <w:numPr>
          <w:ilvl w:val="0"/>
          <w:numId w:val="4"/>
        </w:numPr>
        <w:spacing w:after="60" w:line="260"/>
        <w:ind w:left="360"/>
      </w:pPr>
      <w:r>
        <w:rPr>
          <w:rFonts w:ascii="Calibri" w:cs="Calibri" w:eastAsia="Calibri" w:hAnsi="Calibri"/>
          <w:color w:val="333333"/>
          <w:sz w:val="20"/>
          <w:szCs w:val="20"/>
        </w:rPr>
        <w:t xml:space="preserve">The system performs a wallet-lookup (where the MFS provider's API supports it) to confirm the registered account name, or asks the user to confirm the name manually.</w:t>
      </w:r>
    </w:p>
    <w:p>
      <w:pPr>
        <w:pStyle w:val="ListParagraph"/>
        <w:numPr>
          <w:ilvl w:val="0"/>
          <w:numId w:val="4"/>
        </w:numPr>
        <w:spacing w:after="60" w:line="260"/>
        <w:ind w:left="360"/>
      </w:pPr>
      <w:r>
        <w:rPr>
          <w:rFonts w:ascii="Calibri" w:cs="Calibri" w:eastAsia="Calibri" w:hAnsi="Calibri"/>
          <w:color w:val="333333"/>
          <w:sz w:val="20"/>
          <w:szCs w:val="20"/>
        </w:rPr>
        <w:t xml:space="preserve">The beneficiary is screened and saved as active, as in 7.3.1.</w:t>
      </w:r>
    </w:p>
    <w:p>
      <w:pPr>
        <w:pStyle w:val="Heading3"/>
        <w:spacing w:after="120" w:before="260"/>
      </w:pPr>
      <w:r>
        <w:rPr>
          <w:rFonts w:ascii="Calibri" w:cs="Calibri" w:eastAsia="Calibri" w:hAnsi="Calibri"/>
          <w:b/>
          <w:bCs/>
          <w:color w:val="0F6B72"/>
          <w:sz w:val="22"/>
          <w:szCs w:val="22"/>
        </w:rPr>
        <w:t xml:space="preserve">7.3.3 Adding a Cash-Pickup Beneficiary</w:t>
      </w:r>
    </w:p>
    <w:p>
      <w:pPr>
        <w:spacing w:after="60" w:before="200"/>
      </w:pPr>
      <w:r>
        <w:rPr>
          <w:rFonts w:ascii="Calibri" w:cs="Calibri" w:eastAsia="Calibri" w:hAnsi="Calibri"/>
          <w:b/>
          <w:bCs/>
          <w:color w:val="1F3864"/>
          <w:sz w:val="21"/>
          <w:szCs w:val="21"/>
        </w:rPr>
        <w:t xml:space="preserve">Add a Cash-Pickup Beneficiary</w:t>
      </w:r>
      <w:r>
        <w:rPr>
          <w:rFonts w:ascii="Calibri" w:cs="Calibri" w:eastAsia="Calibri" w:hAnsi="Calibri"/>
          <w:b/>
          <w:bCs/>
          <w:color w:val="0F6B72"/>
          <w:sz w:val="18"/>
          <w:szCs w:val="18"/>
        </w:rPr>
        <w:t xml:space="preserve">  [RN-BPID-012]</w:t>
      </w:r>
    </w:p>
    <w:p>
      <w:pPr>
        <w:pStyle w:val="ListParagraph"/>
        <w:numPr>
          <w:ilvl w:val="0"/>
          <w:numId w:val="4"/>
        </w:numPr>
        <w:spacing w:after="60" w:line="260"/>
        <w:ind w:left="360"/>
      </w:pPr>
      <w:r>
        <w:rPr>
          <w:rFonts w:ascii="Calibri" w:cs="Calibri" w:eastAsia="Calibri" w:hAnsi="Calibri"/>
          <w:color w:val="333333"/>
          <w:sz w:val="20"/>
          <w:szCs w:val="20"/>
        </w:rPr>
        <w:t xml:space="preserve">The user selects "Beneficiaries" then "Add Beneficiary" then "Cash Pickup".</w:t>
      </w:r>
    </w:p>
    <w:p>
      <w:pPr>
        <w:pStyle w:val="ListParagraph"/>
        <w:numPr>
          <w:ilvl w:val="0"/>
          <w:numId w:val="4"/>
        </w:numPr>
        <w:spacing w:after="60" w:line="260"/>
        <w:ind w:left="360"/>
      </w:pPr>
      <w:r>
        <w:rPr>
          <w:rFonts w:ascii="Calibri" w:cs="Calibri" w:eastAsia="Calibri" w:hAnsi="Calibri"/>
          <w:color w:val="333333"/>
          <w:sz w:val="20"/>
          <w:szCs w:val="20"/>
        </w:rPr>
        <w:t xml:space="preserve">The user enters the beneficiary's full name (matching a valid Bangladeshi ID they will present at pickup) and mobile number.</w:t>
      </w:r>
    </w:p>
    <w:p>
      <w:pPr>
        <w:pStyle w:val="ListParagraph"/>
        <w:numPr>
          <w:ilvl w:val="0"/>
          <w:numId w:val="4"/>
        </w:numPr>
        <w:spacing w:after="60" w:line="260"/>
        <w:ind w:left="360"/>
      </w:pPr>
      <w:r>
        <w:rPr>
          <w:rFonts w:ascii="Calibri" w:cs="Calibri" w:eastAsia="Calibri" w:hAnsi="Calibri"/>
          <w:color w:val="333333"/>
          <w:sz w:val="20"/>
          <w:szCs w:val="20"/>
        </w:rPr>
        <w:t xml:space="preserve">The user selects a preferred pickup partner network / region, where the network offers multiple brands.</w:t>
      </w:r>
    </w:p>
    <w:p>
      <w:pPr>
        <w:pStyle w:val="ListParagraph"/>
        <w:numPr>
          <w:ilvl w:val="0"/>
          <w:numId w:val="4"/>
        </w:numPr>
        <w:spacing w:after="60" w:line="260"/>
        <w:ind w:left="360"/>
      </w:pPr>
      <w:r>
        <w:rPr>
          <w:rFonts w:ascii="Calibri" w:cs="Calibri" w:eastAsia="Calibri" w:hAnsi="Calibri"/>
          <w:color w:val="333333"/>
          <w:sz w:val="20"/>
          <w:szCs w:val="20"/>
        </w:rPr>
        <w:t xml:space="preserve">The beneficiary is screened and saved as active.</w:t>
      </w:r>
    </w:p>
    <w:p>
      <w:pPr>
        <w:pStyle w:val="Heading3"/>
        <w:spacing w:after="120" w:before="260"/>
      </w:pPr>
      <w:r>
        <w:rPr>
          <w:rFonts w:ascii="Calibri" w:cs="Calibri" w:eastAsia="Calibri" w:hAnsi="Calibri"/>
          <w:b/>
          <w:bCs/>
          <w:color w:val="0F6B72"/>
          <w:sz w:val="22"/>
          <w:szCs w:val="22"/>
        </w:rPr>
        <w:t xml:space="preserve">7.3.4 Save Beneficiary After Transaction</w:t>
      </w:r>
    </w:p>
    <w:p>
      <w:pPr>
        <w:spacing w:after="160" w:line="276"/>
      </w:pPr>
      <w:r>
        <w:rPr>
          <w:rFonts w:ascii="Calibri" w:cs="Calibri" w:eastAsia="Calibri" w:hAnsi="Calibri"/>
          <w:b w:val="false"/>
          <w:bCs w:val="false"/>
          <w:i w:val="false"/>
          <w:iCs w:val="false"/>
          <w:color w:val="222222"/>
          <w:sz w:val="21"/>
          <w:szCs w:val="21"/>
        </w:rPr>
        <w:t xml:space="preserve">At the end of any successful remittance, the app offers a one-tap "Save as Beneficiary" action if the recipient details used were not already a saved beneficiary, streamlining future transfers.</w:t>
      </w:r>
    </w:p>
    <w:p>
      <w:pPr>
        <w:pStyle w:val="Heading3"/>
        <w:spacing w:after="120" w:before="260"/>
      </w:pPr>
      <w:r>
        <w:rPr>
          <w:rFonts w:ascii="Calibri" w:cs="Calibri" w:eastAsia="Calibri" w:hAnsi="Calibri"/>
          <w:b/>
          <w:bCs/>
          <w:color w:val="0F6B72"/>
          <w:sz w:val="22"/>
          <w:szCs w:val="22"/>
        </w:rPr>
        <w:t xml:space="preserve">7.3.5 Managing Beneficiaries</w:t>
      </w:r>
    </w:p>
    <w:p>
      <w:pPr>
        <w:pStyle w:val="ListParagraph"/>
        <w:numPr>
          <w:ilvl w:val="0"/>
          <w:numId w:val="2"/>
        </w:numPr>
        <w:spacing w:after="80" w:line="264"/>
      </w:pPr>
      <w:r>
        <w:rPr>
          <w:rFonts w:ascii="Calibri" w:cs="Calibri" w:eastAsia="Calibri" w:hAnsi="Calibri"/>
          <w:sz w:val="21"/>
          <w:szCs w:val="21"/>
        </w:rPr>
        <w:t xml:space="preserve">View, search, and filter the beneficiary list by type (bank / MFS / cash pickup) and by relationship label.</w:t>
      </w:r>
    </w:p>
    <w:p>
      <w:pPr>
        <w:pStyle w:val="ListParagraph"/>
        <w:numPr>
          <w:ilvl w:val="0"/>
          <w:numId w:val="2"/>
        </w:numPr>
        <w:spacing w:after="80" w:line="264"/>
      </w:pPr>
      <w:r>
        <w:rPr>
          <w:rFonts w:ascii="Calibri" w:cs="Calibri" w:eastAsia="Calibri" w:hAnsi="Calibri"/>
          <w:sz w:val="21"/>
          <w:szCs w:val="21"/>
        </w:rPr>
        <w:t xml:space="preserve">Edit a beneficiary's details, which triggers re-screening before the edited record becomes active.</w:t>
      </w:r>
    </w:p>
    <w:p>
      <w:pPr>
        <w:pStyle w:val="ListParagraph"/>
        <w:numPr>
          <w:ilvl w:val="0"/>
          <w:numId w:val="2"/>
        </w:numPr>
        <w:spacing w:after="80" w:line="264"/>
      </w:pPr>
      <w:r>
        <w:rPr>
          <w:rFonts w:ascii="Calibri" w:cs="Calibri" w:eastAsia="Calibri" w:hAnsi="Calibri"/>
          <w:sz w:val="21"/>
          <w:szCs w:val="21"/>
        </w:rPr>
        <w:t xml:space="preserve">Deactivate/remove a beneficiary; historical transactions to a removed beneficiary remain visible in transaction history.</w:t>
      </w:r>
    </w:p>
    <w:p>
      <w:pPr>
        <w:pStyle w:val="ListParagraph"/>
        <w:numPr>
          <w:ilvl w:val="0"/>
          <w:numId w:val="2"/>
        </w:numPr>
        <w:spacing w:after="80" w:line="264"/>
      </w:pPr>
      <w:r>
        <w:rPr>
          <w:rFonts w:ascii="Calibri" w:cs="Calibri" w:eastAsia="Calibri" w:hAnsi="Calibri"/>
          <w:sz w:val="21"/>
          <w:szCs w:val="21"/>
        </w:rPr>
        <w:t xml:space="preserve">Set a default/favourite beneficiary for faster repeat remittance.</w:t>
      </w:r>
    </w:p>
    <w:p>
      <w:pPr>
        <w:pStyle w:val="Heading2"/>
        <w:spacing w:after="160" w:before="360"/>
      </w:pPr>
      <w:r>
        <w:rPr>
          <w:rFonts w:ascii="Calibri" w:cs="Calibri" w:eastAsia="Calibri" w:hAnsi="Calibri"/>
          <w:b/>
          <w:bCs/>
          <w:color w:val="1F3864"/>
          <w:sz w:val="26"/>
          <w:szCs w:val="26"/>
        </w:rPr>
        <w:t xml:space="preserve">7.4 Module 4 — Remittance (Money Transfer) Engine</w:t>
      </w:r>
    </w:p>
    <w:p>
      <w:pPr>
        <w:spacing w:after="160" w:line="276"/>
      </w:pPr>
      <w:r>
        <w:rPr>
          <w:rFonts w:ascii="Calibri" w:cs="Calibri" w:eastAsia="Calibri" w:hAnsi="Calibri"/>
          <w:b w:val="false"/>
          <w:bCs w:val="false"/>
          <w:i w:val="false"/>
          <w:iCs w:val="false"/>
          <w:color w:val="222222"/>
          <w:sz w:val="21"/>
          <w:szCs w:val="21"/>
        </w:rPr>
        <w:t xml:space="preserve">This is the primary transaction type on RemmiNext: a single-corridor transfer of funds from the Remitter in Malaysia (MYR) to a beneficiary in Bangladesh (BDT).</w:t>
      </w:r>
    </w:p>
    <w:p>
      <w:pPr>
        <w:pStyle w:val="Heading3"/>
        <w:spacing w:after="120" w:before="260"/>
      </w:pPr>
      <w:r>
        <w:rPr>
          <w:rFonts w:ascii="Calibri" w:cs="Calibri" w:eastAsia="Calibri" w:hAnsi="Calibri"/>
          <w:b/>
          <w:bCs/>
          <w:color w:val="0F6B72"/>
          <w:sz w:val="22"/>
          <w:szCs w:val="22"/>
        </w:rPr>
        <w:t xml:space="preserve">7.4.1 Funding Methods (Malaysia)</w:t>
      </w:r>
    </w:p>
    <w:tbl>
      <w:tblPr>
        <w:tblW w:type="dxa" w:w="1000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7000"/>
      </w:tblGrid>
      <w:tr>
        <w:trPr>
          <w:tblHeader/>
        </w:trPr>
        <w:tc>
          <w:tcPr>
            <w:tcW w:type="dxa" w:w="30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Method</w:t>
            </w:r>
          </w:p>
        </w:tc>
        <w:tc>
          <w:tcPr>
            <w:tcW w:type="dxa" w:w="70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Description</w:t>
            </w:r>
          </w:p>
        </w:tc>
      </w:tr>
      <w:tr>
        <w:tc>
          <w:tcPr>
            <w:tcW w:type="dxa" w:w="30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Online banking transfer</w:t>
            </w:r>
          </w:p>
        </w:tc>
        <w:tc>
          <w:tcPr>
            <w:tcW w:type="dxa" w:w="70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Funding via FPX or DuitNow real-time bank transfer from the user's Malaysian bank account.</w:t>
            </w:r>
          </w:p>
        </w:tc>
      </w:tr>
      <w:tr>
        <w:tc>
          <w:tcPr>
            <w:tcW w:type="dxa" w:w="30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Debit / credit card</w:t>
            </w:r>
          </w:p>
        </w:tc>
        <w:tc>
          <w:tcPr>
            <w:tcW w:type="dxa" w:w="70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Funding via a saved or one-time-entry Malaysian-issued debit or credit card, processed through a licensed payment gateway.</w:t>
            </w:r>
          </w:p>
        </w:tc>
      </w:tr>
      <w:tr>
        <w:tc>
          <w:tcPr>
            <w:tcW w:type="dxa" w:w="30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Over-the-counter cash deposit</w:t>
            </w:r>
          </w:p>
        </w:tc>
        <w:tc>
          <w:tcPr>
            <w:tcW w:type="dxa" w:w="70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The user deposits cash at a partner outlet/agent in Malaysia, which credits the transaction after reconciliation.</w:t>
            </w:r>
          </w:p>
        </w:tc>
      </w:tr>
    </w:tbl>
    <w:p>
      <w:pPr>
        <w:pStyle w:val="Heading3"/>
        <w:spacing w:after="120" w:before="260"/>
      </w:pPr>
      <w:r>
        <w:rPr>
          <w:rFonts w:ascii="Calibri" w:cs="Calibri" w:eastAsia="Calibri" w:hAnsi="Calibri"/>
          <w:b/>
          <w:bCs/>
          <w:color w:val="0F6B72"/>
          <w:sz w:val="22"/>
          <w:szCs w:val="22"/>
        </w:rPr>
        <w:t xml:space="preserve">7.4.2 Payout Methods (Bangladesh)</w:t>
      </w:r>
    </w:p>
    <w:tbl>
      <w:tblPr>
        <w:tblW w:type="dxa" w:w="1000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7000"/>
      </w:tblGrid>
      <w:tr>
        <w:trPr>
          <w:tblHeader/>
        </w:trPr>
        <w:tc>
          <w:tcPr>
            <w:tcW w:type="dxa" w:w="30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Method</w:t>
            </w:r>
          </w:p>
        </w:tc>
        <w:tc>
          <w:tcPr>
            <w:tcW w:type="dxa" w:w="70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Description</w:t>
            </w:r>
          </w:p>
        </w:tc>
      </w:tr>
      <w:tr>
        <w:tc>
          <w:tcPr>
            <w:tcW w:type="dxa" w:w="30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Bank deposit</w:t>
            </w:r>
          </w:p>
        </w:tc>
        <w:tc>
          <w:tcPr>
            <w:tcW w:type="dxa" w:w="70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Direct credit to the beneficiary's Bangladeshi bank account via BEFTN, RTGS (for high-value/urgent transfers), or NPSB.</w:t>
            </w:r>
          </w:p>
        </w:tc>
      </w:tr>
      <w:tr>
        <w:tc>
          <w:tcPr>
            <w:tcW w:type="dxa" w:w="30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MFS wallet</w:t>
            </w:r>
          </w:p>
        </w:tc>
        <w:tc>
          <w:tcPr>
            <w:tcW w:type="dxa" w:w="70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Direct credit to the beneficiary's mobile wallet (bKash, Nagad, Rocket, Upay, etc.).</w:t>
            </w:r>
          </w:p>
        </w:tc>
      </w:tr>
      <w:tr>
        <w:tc>
          <w:tcPr>
            <w:tcW w:type="dxa" w:w="30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Cash pickup</w:t>
            </w:r>
          </w:p>
        </w:tc>
        <w:tc>
          <w:tcPr>
            <w:tcW w:type="dxa" w:w="70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The beneficiary collects cash in person at a partner agent location using a pickup code and valid ID.</w:t>
            </w:r>
          </w:p>
        </w:tc>
      </w:tr>
    </w:tbl>
    <w:p>
      <w:pPr>
        <w:pStyle w:val="Heading3"/>
        <w:spacing w:after="120" w:before="260"/>
      </w:pPr>
      <w:r>
        <w:rPr>
          <w:rFonts w:ascii="Calibri" w:cs="Calibri" w:eastAsia="Calibri" w:hAnsi="Calibri"/>
          <w:b/>
          <w:bCs/>
          <w:color w:val="0F6B72"/>
          <w:sz w:val="22"/>
          <w:szCs w:val="22"/>
        </w:rPr>
        <w:t xml:space="preserve">7.4.3 Send Remittance — Core Flow</w:t>
      </w:r>
    </w:p>
    <w:p>
      <w:pPr>
        <w:spacing w:after="60" w:before="200"/>
      </w:pPr>
      <w:r>
        <w:rPr>
          <w:rFonts w:ascii="Calibri" w:cs="Calibri" w:eastAsia="Calibri" w:hAnsi="Calibri"/>
          <w:b/>
          <w:bCs/>
          <w:color w:val="1F3864"/>
          <w:sz w:val="21"/>
          <w:szCs w:val="21"/>
        </w:rPr>
        <w:t xml:space="preserve">Sending a Remittance</w:t>
      </w:r>
      <w:r>
        <w:rPr>
          <w:rFonts w:ascii="Calibri" w:cs="Calibri" w:eastAsia="Calibri" w:hAnsi="Calibri"/>
          <w:b/>
          <w:bCs/>
          <w:color w:val="0F6B72"/>
          <w:sz w:val="18"/>
          <w:szCs w:val="18"/>
        </w:rPr>
        <w:t xml:space="preserve">  [RN-BPID-020]</w:t>
      </w:r>
    </w:p>
    <w:p>
      <w:pPr>
        <w:pStyle w:val="ListParagraph"/>
        <w:numPr>
          <w:ilvl w:val="0"/>
          <w:numId w:val="4"/>
        </w:numPr>
        <w:spacing w:after="60" w:line="260"/>
        <w:ind w:left="360"/>
      </w:pPr>
      <w:r>
        <w:rPr>
          <w:rFonts w:ascii="Calibri" w:cs="Calibri" w:eastAsia="Calibri" w:hAnsi="Calibri"/>
          <w:color w:val="333333"/>
          <w:sz w:val="20"/>
          <w:szCs w:val="20"/>
        </w:rPr>
        <w:t xml:space="preserve">The user selects "Send Money" from the home screen.</w:t>
      </w:r>
    </w:p>
    <w:p>
      <w:pPr>
        <w:pStyle w:val="ListParagraph"/>
        <w:numPr>
          <w:ilvl w:val="0"/>
          <w:numId w:val="4"/>
        </w:numPr>
        <w:spacing w:after="60" w:line="260"/>
        <w:ind w:left="360"/>
      </w:pPr>
      <w:r>
        <w:rPr>
          <w:rFonts w:ascii="Calibri" w:cs="Calibri" w:eastAsia="Calibri" w:hAnsi="Calibri"/>
          <w:color w:val="333333"/>
          <w:sz w:val="20"/>
          <w:szCs w:val="20"/>
        </w:rPr>
        <w:t xml:space="preserve">The user selects a saved beneficiary or adds a new one (see Module 3).</w:t>
      </w:r>
    </w:p>
    <w:p>
      <w:pPr>
        <w:pStyle w:val="ListParagraph"/>
        <w:numPr>
          <w:ilvl w:val="0"/>
          <w:numId w:val="4"/>
        </w:numPr>
        <w:spacing w:after="60" w:line="260"/>
        <w:ind w:left="360"/>
      </w:pPr>
      <w:r>
        <w:rPr>
          <w:rFonts w:ascii="Calibri" w:cs="Calibri" w:eastAsia="Calibri" w:hAnsi="Calibri"/>
          <w:color w:val="333333"/>
          <w:sz w:val="20"/>
          <w:szCs w:val="20"/>
        </w:rPr>
        <w:t xml:space="preserve">The user enters either the Send Amount (MYR) or the Receive Amount (BDT); the system calculates the other value using the current FX rate in real time.</w:t>
      </w:r>
    </w:p>
    <w:p>
      <w:pPr>
        <w:pStyle w:val="ListParagraph"/>
        <w:numPr>
          <w:ilvl w:val="0"/>
          <w:numId w:val="4"/>
        </w:numPr>
        <w:spacing w:after="60" w:line="260"/>
        <w:ind w:left="360"/>
      </w:pPr>
      <w:r>
        <w:rPr>
          <w:rFonts w:ascii="Calibri" w:cs="Calibri" w:eastAsia="Calibri" w:hAnsi="Calibri"/>
          <w:color w:val="333333"/>
          <w:sz w:val="20"/>
          <w:szCs w:val="20"/>
        </w:rPr>
        <w:t xml:space="preserve">The system displays the FX rate, the commission, the Total Amount payable, and the Receive Amount, along with the estimated payout time for the selected payout method.</w:t>
      </w:r>
    </w:p>
    <w:p>
      <w:pPr>
        <w:pStyle w:val="ListParagraph"/>
        <w:numPr>
          <w:ilvl w:val="0"/>
          <w:numId w:val="4"/>
        </w:numPr>
        <w:spacing w:after="60" w:line="260"/>
        <w:ind w:left="360"/>
      </w:pPr>
      <w:r>
        <w:rPr>
          <w:rFonts w:ascii="Calibri" w:cs="Calibri" w:eastAsia="Calibri" w:hAnsi="Calibri"/>
          <w:color w:val="333333"/>
          <w:sz w:val="20"/>
          <w:szCs w:val="20"/>
        </w:rPr>
        <w:t xml:space="preserve">If the transaction is incentive-eligible, the system displays the estimated Government of Bangladesh cash incentive that will additionally credit to the beneficiary.</w:t>
      </w:r>
    </w:p>
    <w:p>
      <w:pPr>
        <w:pStyle w:val="ListParagraph"/>
        <w:numPr>
          <w:ilvl w:val="0"/>
          <w:numId w:val="4"/>
        </w:numPr>
        <w:spacing w:after="60" w:line="260"/>
        <w:ind w:left="360"/>
      </w:pPr>
      <w:r>
        <w:rPr>
          <w:rFonts w:ascii="Calibri" w:cs="Calibri" w:eastAsia="Calibri" w:hAnsi="Calibri"/>
          <w:color w:val="333333"/>
          <w:sz w:val="20"/>
          <w:szCs w:val="20"/>
        </w:rPr>
        <w:t xml:space="preserve">The user selects a funding method (bank transfer, card, or cash deposit reference).</w:t>
      </w:r>
    </w:p>
    <w:p>
      <w:pPr>
        <w:pStyle w:val="ListParagraph"/>
        <w:numPr>
          <w:ilvl w:val="0"/>
          <w:numId w:val="4"/>
        </w:numPr>
        <w:spacing w:after="60" w:line="260"/>
        <w:ind w:left="360"/>
      </w:pPr>
      <w:r>
        <w:rPr>
          <w:rFonts w:ascii="Calibri" w:cs="Calibri" w:eastAsia="Calibri" w:hAnsi="Calibri"/>
          <w:color w:val="333333"/>
          <w:sz w:val="20"/>
          <w:szCs w:val="20"/>
        </w:rPr>
        <w:t xml:space="preserve">The user reviews the full transaction summary and confirms.</w:t>
      </w:r>
    </w:p>
    <w:p>
      <w:pPr>
        <w:pStyle w:val="ListParagraph"/>
        <w:numPr>
          <w:ilvl w:val="0"/>
          <w:numId w:val="4"/>
        </w:numPr>
        <w:spacing w:after="60" w:line="260"/>
        <w:ind w:left="360"/>
      </w:pPr>
      <w:r>
        <w:rPr>
          <w:rFonts w:ascii="Calibri" w:cs="Calibri" w:eastAsia="Calibri" w:hAnsi="Calibri"/>
          <w:color w:val="333333"/>
          <w:sz w:val="20"/>
          <w:szCs w:val="20"/>
        </w:rPr>
        <w:t xml:space="preserve">The user completes step-up authentication (OTP/biometric) per the configured 2FA rule for the transaction's risk tier.</w:t>
      </w:r>
    </w:p>
    <w:p>
      <w:pPr>
        <w:pStyle w:val="ListParagraph"/>
        <w:numPr>
          <w:ilvl w:val="0"/>
          <w:numId w:val="4"/>
        </w:numPr>
        <w:spacing w:after="60" w:line="260"/>
        <w:ind w:left="360"/>
      </w:pPr>
      <w:r>
        <w:rPr>
          <w:rFonts w:ascii="Calibri" w:cs="Calibri" w:eastAsia="Calibri" w:hAnsi="Calibri"/>
          <w:color w:val="333333"/>
          <w:sz w:val="20"/>
          <w:szCs w:val="20"/>
        </w:rPr>
        <w:t xml:space="preserve">The system runs real-time TVR and screening checks; if passed, the transaction is submitted for processing and funding is captured.</w:t>
      </w:r>
    </w:p>
    <w:p>
      <w:pPr>
        <w:pStyle w:val="ListParagraph"/>
        <w:numPr>
          <w:ilvl w:val="0"/>
          <w:numId w:val="4"/>
        </w:numPr>
        <w:spacing w:after="60" w:line="260"/>
        <w:ind w:left="360"/>
      </w:pPr>
      <w:r>
        <w:rPr>
          <w:rFonts w:ascii="Calibri" w:cs="Calibri" w:eastAsia="Calibri" w:hAnsi="Calibri"/>
          <w:color w:val="333333"/>
          <w:sz w:val="20"/>
          <w:szCs w:val="20"/>
        </w:rPr>
        <w:t xml:space="preserve">The user receives an in-app and SMS/push confirmation with a transaction reference number and a digital receipt.</w:t>
      </w:r>
    </w:p>
    <w:p>
      <w:pPr>
        <w:pStyle w:val="ListParagraph"/>
        <w:numPr>
          <w:ilvl w:val="0"/>
          <w:numId w:val="4"/>
        </w:numPr>
        <w:spacing w:after="60" w:line="260"/>
        <w:ind w:left="360"/>
      </w:pPr>
      <w:r>
        <w:rPr>
          <w:rFonts w:ascii="Calibri" w:cs="Calibri" w:eastAsia="Calibri" w:hAnsi="Calibri"/>
          <w:color w:val="333333"/>
          <w:sz w:val="20"/>
          <w:szCs w:val="20"/>
        </w:rPr>
        <w:t xml:space="preserve">The user can track the transaction status in real time until payout is confirmed at the beneficiary's end.</w:t>
      </w:r>
    </w:p>
    <w:p>
      <w:pPr>
        <w:pStyle w:val="Heading3"/>
        <w:spacing w:after="120" w:before="260"/>
      </w:pPr>
      <w:r>
        <w:rPr>
          <w:rFonts w:ascii="Calibri" w:cs="Calibri" w:eastAsia="Calibri" w:hAnsi="Calibri"/>
          <w:b/>
          <w:bCs/>
          <w:color w:val="0F6B72"/>
          <w:sz w:val="22"/>
          <w:szCs w:val="22"/>
        </w:rPr>
        <w:t xml:space="preserve">7.4.4 FX Rate Display &amp; Locking</w:t>
      </w:r>
    </w:p>
    <w:p>
      <w:pPr>
        <w:pStyle w:val="ListParagraph"/>
        <w:numPr>
          <w:ilvl w:val="0"/>
          <w:numId w:val="2"/>
        </w:numPr>
        <w:spacing w:after="80" w:line="264"/>
      </w:pPr>
      <w:r>
        <w:rPr>
          <w:rFonts w:ascii="Calibri" w:cs="Calibri" w:eastAsia="Calibri" w:hAnsi="Calibri"/>
          <w:sz w:val="21"/>
          <w:szCs w:val="21"/>
        </w:rPr>
        <w:t xml:space="preserve">The FX rate is always displayed to four decimal places (e.g., 19.8452), never rounded; trailing zeros are appended where needed to preserve four decimal places.</w:t>
      </w:r>
    </w:p>
    <w:p>
      <w:pPr>
        <w:pStyle w:val="ListParagraph"/>
        <w:numPr>
          <w:ilvl w:val="0"/>
          <w:numId w:val="2"/>
        </w:numPr>
        <w:spacing w:after="80" w:line="264"/>
      </w:pPr>
      <w:r>
        <w:rPr>
          <w:rFonts w:ascii="Calibri" w:cs="Calibri" w:eastAsia="Calibri" w:hAnsi="Calibri"/>
          <w:sz w:val="21"/>
          <w:szCs w:val="21"/>
        </w:rPr>
        <w:t xml:space="preserve">The quoted FX rate is locked for a configurable short window (e.g., 60–120 seconds) to allow the user to complete confirmation without re-quoting; if the window expires, the user is shown a refreshed rate before proceeding.</w:t>
      </w:r>
    </w:p>
    <w:p>
      <w:pPr>
        <w:pStyle w:val="ListParagraph"/>
        <w:numPr>
          <w:ilvl w:val="0"/>
          <w:numId w:val="2"/>
        </w:numPr>
        <w:spacing w:after="80" w:line="264"/>
      </w:pPr>
      <w:r>
        <w:rPr>
          <w:rFonts w:ascii="Calibri" w:cs="Calibri" w:eastAsia="Calibri" w:hAnsi="Calibri"/>
          <w:sz w:val="21"/>
          <w:szCs w:val="21"/>
        </w:rPr>
        <w:t xml:space="preserve">The rate actually applied to the transaction (the locked rate at confirmation time) is the rate printed on the receipt and used for all reporting, including Weighted Average Rate (WAR) treasury calculations.</w:t>
      </w:r>
    </w:p>
    <w:p>
      <w:pPr>
        <w:pStyle w:val="Heading3"/>
        <w:spacing w:after="120" w:before="260"/>
      </w:pPr>
      <w:r>
        <w:rPr>
          <w:rFonts w:ascii="Calibri" w:cs="Calibri" w:eastAsia="Calibri" w:hAnsi="Calibri"/>
          <w:b/>
          <w:bCs/>
          <w:color w:val="0F6B72"/>
          <w:sz w:val="22"/>
          <w:szCs w:val="22"/>
        </w:rPr>
        <w:t xml:space="preserve">7.4.5 Recurring / Scheduled Remittance</w:t>
      </w:r>
    </w:p>
    <w:p>
      <w:pPr>
        <w:spacing w:after="60" w:before="200"/>
      </w:pPr>
      <w:r>
        <w:rPr>
          <w:rFonts w:ascii="Calibri" w:cs="Calibri" w:eastAsia="Calibri" w:hAnsi="Calibri"/>
          <w:b/>
          <w:bCs/>
          <w:color w:val="1F3864"/>
          <w:sz w:val="21"/>
          <w:szCs w:val="21"/>
        </w:rPr>
        <w:t xml:space="preserve">Setting Up a Recurring Remittance</w:t>
      </w:r>
      <w:r>
        <w:rPr>
          <w:rFonts w:ascii="Calibri" w:cs="Calibri" w:eastAsia="Calibri" w:hAnsi="Calibri"/>
          <w:b/>
          <w:bCs/>
          <w:color w:val="0F6B72"/>
          <w:sz w:val="18"/>
          <w:szCs w:val="18"/>
        </w:rPr>
        <w:t xml:space="preserve">  [RN-BPID-021]</w:t>
      </w:r>
    </w:p>
    <w:p>
      <w:pPr>
        <w:pStyle w:val="ListParagraph"/>
        <w:numPr>
          <w:ilvl w:val="0"/>
          <w:numId w:val="4"/>
        </w:numPr>
        <w:spacing w:after="60" w:line="260"/>
        <w:ind w:left="360"/>
      </w:pPr>
      <w:r>
        <w:rPr>
          <w:rFonts w:ascii="Calibri" w:cs="Calibri" w:eastAsia="Calibri" w:hAnsi="Calibri"/>
          <w:color w:val="333333"/>
          <w:sz w:val="20"/>
          <w:szCs w:val="20"/>
        </w:rPr>
        <w:t xml:space="preserve">The user selects a beneficiary and chooses "Schedule / Recurring Transfer" instead of a one-time send.</w:t>
      </w:r>
    </w:p>
    <w:p>
      <w:pPr>
        <w:pStyle w:val="ListParagraph"/>
        <w:numPr>
          <w:ilvl w:val="0"/>
          <w:numId w:val="4"/>
        </w:numPr>
        <w:spacing w:after="60" w:line="260"/>
        <w:ind w:left="360"/>
      </w:pPr>
      <w:r>
        <w:rPr>
          <w:rFonts w:ascii="Calibri" w:cs="Calibri" w:eastAsia="Calibri" w:hAnsi="Calibri"/>
          <w:color w:val="333333"/>
          <w:sz w:val="20"/>
          <w:szCs w:val="20"/>
        </w:rPr>
        <w:t xml:space="preserve">The user sets the amount, frequency (weekly/monthly), start date, and either an end date or number of occurrences.</w:t>
      </w:r>
    </w:p>
    <w:p>
      <w:pPr>
        <w:pStyle w:val="ListParagraph"/>
        <w:numPr>
          <w:ilvl w:val="0"/>
          <w:numId w:val="4"/>
        </w:numPr>
        <w:spacing w:after="60" w:line="260"/>
        <w:ind w:left="360"/>
      </w:pPr>
      <w:r>
        <w:rPr>
          <w:rFonts w:ascii="Calibri" w:cs="Calibri" w:eastAsia="Calibri" w:hAnsi="Calibri"/>
          <w:color w:val="333333"/>
          <w:sz w:val="20"/>
          <w:szCs w:val="20"/>
        </w:rPr>
        <w:t xml:space="preserve">The user confirms the instruction, completing 2FA as with any transaction.</w:t>
      </w:r>
    </w:p>
    <w:p>
      <w:pPr>
        <w:pStyle w:val="ListParagraph"/>
        <w:numPr>
          <w:ilvl w:val="0"/>
          <w:numId w:val="4"/>
        </w:numPr>
        <w:spacing w:after="60" w:line="260"/>
        <w:ind w:left="360"/>
      </w:pPr>
      <w:r>
        <w:rPr>
          <w:rFonts w:ascii="Calibri" w:cs="Calibri" w:eastAsia="Calibri" w:hAnsi="Calibri"/>
          <w:color w:val="333333"/>
          <w:sz w:val="20"/>
          <w:szCs w:val="20"/>
        </w:rPr>
        <w:t xml:space="preserve">On each scheduled date, the system attempts to execute the transfer automatically using the FX rate and rules applicable at execution time.</w:t>
      </w:r>
    </w:p>
    <w:p>
      <w:pPr>
        <w:pStyle w:val="ListParagraph"/>
        <w:numPr>
          <w:ilvl w:val="0"/>
          <w:numId w:val="4"/>
        </w:numPr>
        <w:spacing w:after="60" w:line="260"/>
        <w:ind w:left="360"/>
      </w:pPr>
      <w:r>
        <w:rPr>
          <w:rFonts w:ascii="Calibri" w:cs="Calibri" w:eastAsia="Calibri" w:hAnsi="Calibri"/>
          <w:color w:val="333333"/>
          <w:sz w:val="20"/>
          <w:szCs w:val="20"/>
        </w:rPr>
        <w:t xml:space="preserve">If the user's funding source has insufficient funds or fails authorisation at execution time, the scheduled instruction for that cycle fails gracefully; the user is notified and the instruction is not silently retried without the user's knowledge.</w:t>
      </w:r>
    </w:p>
    <w:p>
      <w:pPr>
        <w:pStyle w:val="ListParagraph"/>
        <w:numPr>
          <w:ilvl w:val="0"/>
          <w:numId w:val="4"/>
        </w:numPr>
        <w:spacing w:after="60" w:line="260"/>
        <w:ind w:left="360"/>
      </w:pPr>
      <w:r>
        <w:rPr>
          <w:rFonts w:ascii="Calibri" w:cs="Calibri" w:eastAsia="Calibri" w:hAnsi="Calibri"/>
          <w:color w:val="333333"/>
          <w:sz w:val="20"/>
          <w:szCs w:val="20"/>
        </w:rPr>
        <w:t xml:space="preserve">The user can view, pause, edit, or cancel a recurring instruction at any time from "Manage Scheduled Transfers".</w:t>
      </w:r>
    </w:p>
    <w:p>
      <w:pPr>
        <w:pStyle w:val="Heading3"/>
        <w:spacing w:after="120" w:before="260"/>
      </w:pPr>
      <w:r>
        <w:rPr>
          <w:rFonts w:ascii="Calibri" w:cs="Calibri" w:eastAsia="Calibri" w:hAnsi="Calibri"/>
          <w:b/>
          <w:bCs/>
          <w:color w:val="0F6B72"/>
          <w:sz w:val="22"/>
          <w:szCs w:val="22"/>
        </w:rPr>
        <w:t xml:space="preserve">7.4.6 Transaction Status Management</w:t>
      </w:r>
    </w:p>
    <w:tbl>
      <w:tblPr>
        <w:tblW w:type="dxa" w:w="100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400"/>
      </w:tblGrid>
      <w:tr>
        <w:trPr>
          <w:tblHeader/>
        </w:trPr>
        <w:tc>
          <w:tcPr>
            <w:tcW w:type="dxa" w:w="26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Status</w:t>
            </w:r>
          </w:p>
        </w:tc>
        <w:tc>
          <w:tcPr>
            <w:tcW w:type="dxa" w:w="74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Description</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Initiated</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Transaction created; funding not yet confirmed.</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Funds Received</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Funding confirmed from the Malaysian funding method.</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Compliance Review</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Held for manual compliance review (screening hit, risk threshold, or random EDD sample).</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Processing</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Passed compliance; instruction sent to the payout partner.</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Paid / Completed</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Payout confirmed by the partner (deposited, wallet-credited, or collected).</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On Hold</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Temporarily held pending additional information from the customer or partner.</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Failed</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Payout could not be completed (e.g., invalid account, partner rejection); funds are reversed or offered for re-send.</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Cancelled</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Cancelled by the customer or by RemmiNext prior to payout.</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Refunded</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Funds returned to the customer's original funding method.</w:t>
            </w:r>
          </w:p>
        </w:tc>
      </w:tr>
    </w:tbl>
    <w:p>
      <w:pPr>
        <w:pStyle w:val="Heading3"/>
        <w:spacing w:after="120" w:before="260"/>
      </w:pPr>
      <w:r>
        <w:rPr>
          <w:rFonts w:ascii="Calibri" w:cs="Calibri" w:eastAsia="Calibri" w:hAnsi="Calibri"/>
          <w:b/>
          <w:bCs/>
          <w:color w:val="0F6B72"/>
          <w:sz w:val="22"/>
          <w:szCs w:val="22"/>
        </w:rPr>
        <w:t xml:space="preserve">7.4.7 Transaction Limits</w:t>
      </w:r>
    </w:p>
    <w:p>
      <w:pPr>
        <w:spacing w:after="160" w:line="276"/>
      </w:pPr>
      <w:r>
        <w:rPr>
          <w:rFonts w:ascii="Calibri" w:cs="Calibri" w:eastAsia="Calibri" w:hAnsi="Calibri"/>
          <w:b w:val="false"/>
          <w:bCs w:val="false"/>
          <w:i w:val="false"/>
          <w:iCs w:val="false"/>
          <w:color w:val="222222"/>
          <w:sz w:val="21"/>
          <w:szCs w:val="21"/>
        </w:rPr>
        <w:t xml:space="preserve">Daily, monthly, and per-transaction limits are configurable per customer risk tier, in line with BNM and Bangladesh Bank regulatory thresholds and RemmiNext's internal risk appetite. Limits must be visible to the customer in-app before they attempt a transaction that would breach them, with clear guidance on how to request a limit increase (e.g., via enhanced verification).</w:t>
      </w:r>
    </w:p>
    <w:p>
      <w:pPr>
        <w:pStyle w:val="Heading3"/>
        <w:spacing w:after="120" w:before="260"/>
      </w:pPr>
      <w:r>
        <w:rPr>
          <w:rFonts w:ascii="Calibri" w:cs="Calibri" w:eastAsia="Calibri" w:hAnsi="Calibri"/>
          <w:b/>
          <w:bCs/>
          <w:color w:val="0F6B72"/>
          <w:sz w:val="22"/>
          <w:szCs w:val="22"/>
        </w:rPr>
        <w:t xml:space="preserve">7.4.8 Digital Receipt &amp; Declarations</w:t>
      </w:r>
    </w:p>
    <w:p>
      <w:pPr>
        <w:spacing w:after="160" w:line="276"/>
      </w:pPr>
      <w:r>
        <w:rPr>
          <w:rFonts w:ascii="Calibri" w:cs="Calibri" w:eastAsia="Calibri" w:hAnsi="Calibri"/>
          <w:b w:val="false"/>
          <w:bCs w:val="false"/>
          <w:i w:val="false"/>
          <w:iCs w:val="false"/>
          <w:color w:val="222222"/>
          <w:sz w:val="21"/>
          <w:szCs w:val="21"/>
        </w:rPr>
        <w:t xml:space="preserve">Every completed remittance generates a digital receipt (downloadable PDF and in-app view) showing: transaction reference, date/time, sender and beneficiary details (masked where appropriate), Send Amount, FX rate, commission, Total Amount, Receive Amount, incentive amount (if applicable), payout method, and the RemmiNext licensed entity and licence number applicable to the transaction.</w:t>
      </w:r>
    </w:p>
    <w:p>
      <w:pPr>
        <w:pStyle w:val="Heading3"/>
        <w:spacing w:after="120" w:before="260"/>
      </w:pPr>
      <w:r>
        <w:rPr>
          <w:rFonts w:ascii="Calibri" w:cs="Calibri" w:eastAsia="Calibri" w:hAnsi="Calibri"/>
          <w:b/>
          <w:bCs/>
          <w:color w:val="0F6B72"/>
          <w:sz w:val="22"/>
          <w:szCs w:val="22"/>
        </w:rPr>
        <w:t xml:space="preserve">7.4.9 Cancellation &amp; Amendment</w:t>
      </w:r>
    </w:p>
    <w:p>
      <w:pPr>
        <w:spacing w:after="160" w:line="276"/>
      </w:pPr>
      <w:r>
        <w:rPr>
          <w:rFonts w:ascii="Calibri" w:cs="Calibri" w:eastAsia="Calibri" w:hAnsi="Calibri"/>
          <w:b w:val="false"/>
          <w:bCs w:val="false"/>
          <w:i w:val="false"/>
          <w:iCs w:val="false"/>
          <w:color w:val="222222"/>
          <w:sz w:val="21"/>
          <w:szCs w:val="21"/>
        </w:rPr>
        <w:t xml:space="preserve">A transaction may be cancelled by the customer only while in "Initiated" or "Funds Received" status, prior to release to the payout partner. Once a transaction is "Processing" or beyond, cancellation must be routed through customer support and is subject to the payout partner's ability to recall the instruction.</w:t>
      </w:r>
    </w:p>
    <w:p>
      <w:pPr>
        <w:pStyle w:val="Heading2"/>
        <w:spacing w:after="160" w:before="360"/>
      </w:pPr>
      <w:r>
        <w:rPr>
          <w:rFonts w:ascii="Calibri" w:cs="Calibri" w:eastAsia="Calibri" w:hAnsi="Calibri"/>
          <w:b/>
          <w:bCs/>
          <w:color w:val="1F3864"/>
          <w:sz w:val="26"/>
          <w:szCs w:val="26"/>
        </w:rPr>
        <w:t xml:space="preserve">7.5 Module 5 — Bill Payment &amp; Household Expense Management</w:t>
      </w:r>
    </w:p>
    <w:p>
      <w:pPr>
        <w:spacing w:after="160" w:line="276"/>
      </w:pPr>
      <w:r>
        <w:rPr>
          <w:rFonts w:ascii="Calibri" w:cs="Calibri" w:eastAsia="Calibri" w:hAnsi="Calibri"/>
          <w:b w:val="false"/>
          <w:bCs w:val="false"/>
          <w:i w:val="false"/>
          <w:iCs w:val="false"/>
          <w:color w:val="222222"/>
          <w:sz w:val="21"/>
          <w:szCs w:val="21"/>
        </w:rPr>
        <w:t xml:space="preserve">This module allows the Remitter to directly pay recurring utility and household bills for their family home in Bangladesh, removing the need for a family member to visit a bank or pay office, or for the Remitter to send extra cash for bills as a separate, untracked transfer.</w:t>
      </w:r>
    </w:p>
    <w:p>
      <w:pPr>
        <w:pStyle w:val="Heading3"/>
        <w:spacing w:after="120" w:before="260"/>
      </w:pPr>
      <w:r>
        <w:rPr>
          <w:rFonts w:ascii="Calibri" w:cs="Calibri" w:eastAsia="Calibri" w:hAnsi="Calibri"/>
          <w:b/>
          <w:bCs/>
          <w:color w:val="0F6B72"/>
          <w:sz w:val="22"/>
          <w:szCs w:val="22"/>
        </w:rPr>
        <w:t xml:space="preserve">7.5.1 Supported Biller Categories</w:t>
      </w:r>
    </w:p>
    <w:tbl>
      <w:tblPr>
        <w:tblW w:type="dxa" w:w="100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400"/>
      </w:tblGrid>
      <w:tr>
        <w:trPr>
          <w:tblHeader/>
        </w:trPr>
        <w:tc>
          <w:tcPr>
            <w:tcW w:type="dxa" w:w="26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Category</w:t>
            </w:r>
          </w:p>
        </w:tc>
        <w:tc>
          <w:tcPr>
            <w:tcW w:type="dxa" w:w="74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Example Billers / Services</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Electricity</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DESCO, DPDC, NESCO, WZPDCL, PBS (Palli Bidyut Samity), and other regional distribution companies</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Gas</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Titas Gas, Karnaphuli Gas Distribution, Jalalabad Gas, Bakhrabad Gas</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Water</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Dhaka WASA, Chattogram WASA, and other regional water/sewerage authorities</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Internet / ISP</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Licensed residential internet service providers serving the beneficiary's address</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Mobile top-up / recharge</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Grameenphone, Robi, Banglalink, Teletalk — airtime or data-pack top-up for family members' numbers</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Other household utility (configurable)</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Any additional biller category the Ops Console team enables, e.g., waste collection or building maintenance fees, subject to it remaining a household expense for the family home</w:t>
            </w:r>
          </w:p>
        </w:tc>
      </w:tr>
    </w:tbl>
    <w:p>
      <w:pPr>
        <w:pBdr>
          <w:left w:val="single" w:color="0F6B72" w:sz="12" w:space="8"/>
        </w:pBdr>
        <w:spacing w:after="200" w:before="100"/>
        <w:ind w:left="200"/>
      </w:pPr>
      <w:r>
        <w:rPr>
          <w:rFonts w:ascii="Calibri" w:cs="Calibri" w:eastAsia="Calibri" w:hAnsi="Calibri"/>
          <w:i/>
          <w:iCs/>
          <w:color w:val="595959"/>
          <w:sz w:val="20"/>
          <w:szCs w:val="20"/>
        </w:rPr>
        <w:t xml:space="preserve">Note: Bill categories are strictly limited to household/utility expenses for the user's family home in Bangladesh, consistent with the "Local Bill Management" pillar in Section 3.1. General merchant payments are out of scope.</w:t>
      </w:r>
    </w:p>
    <w:p>
      <w:pPr>
        <w:pStyle w:val="Heading3"/>
        <w:spacing w:after="120" w:before="260"/>
      </w:pPr>
      <w:r>
        <w:rPr>
          <w:rFonts w:ascii="Calibri" w:cs="Calibri" w:eastAsia="Calibri" w:hAnsi="Calibri"/>
          <w:b/>
          <w:bCs/>
          <w:color w:val="0F6B72"/>
          <w:sz w:val="22"/>
          <w:szCs w:val="22"/>
        </w:rPr>
        <w:t xml:space="preserve">7.5.2 Adding a Biller</w:t>
      </w:r>
    </w:p>
    <w:p>
      <w:pPr>
        <w:spacing w:after="60" w:before="200"/>
      </w:pPr>
      <w:r>
        <w:rPr>
          <w:rFonts w:ascii="Calibri" w:cs="Calibri" w:eastAsia="Calibri" w:hAnsi="Calibri"/>
          <w:b/>
          <w:bCs/>
          <w:color w:val="1F3864"/>
          <w:sz w:val="21"/>
          <w:szCs w:val="21"/>
        </w:rPr>
        <w:t xml:space="preserve">Add a Biller</w:t>
      </w:r>
      <w:r>
        <w:rPr>
          <w:rFonts w:ascii="Calibri" w:cs="Calibri" w:eastAsia="Calibri" w:hAnsi="Calibri"/>
          <w:b/>
          <w:bCs/>
          <w:color w:val="0F6B72"/>
          <w:sz w:val="18"/>
          <w:szCs w:val="18"/>
        </w:rPr>
        <w:t xml:space="preserve">  [RN-BPID-040]</w:t>
      </w:r>
    </w:p>
    <w:p>
      <w:pPr>
        <w:pStyle w:val="ListParagraph"/>
        <w:numPr>
          <w:ilvl w:val="0"/>
          <w:numId w:val="4"/>
        </w:numPr>
        <w:spacing w:after="60" w:line="260"/>
        <w:ind w:left="360"/>
      </w:pPr>
      <w:r>
        <w:rPr>
          <w:rFonts w:ascii="Calibri" w:cs="Calibri" w:eastAsia="Calibri" w:hAnsi="Calibri"/>
          <w:color w:val="333333"/>
          <w:sz w:val="20"/>
          <w:szCs w:val="20"/>
        </w:rPr>
        <w:t xml:space="preserve">The user selects "Pay Bills" then "Add Biller".</w:t>
      </w:r>
    </w:p>
    <w:p>
      <w:pPr>
        <w:pStyle w:val="ListParagraph"/>
        <w:numPr>
          <w:ilvl w:val="0"/>
          <w:numId w:val="4"/>
        </w:numPr>
        <w:spacing w:after="60" w:line="260"/>
        <w:ind w:left="360"/>
      </w:pPr>
      <w:r>
        <w:rPr>
          <w:rFonts w:ascii="Calibri" w:cs="Calibri" w:eastAsia="Calibri" w:hAnsi="Calibri"/>
          <w:color w:val="333333"/>
          <w:sz w:val="20"/>
          <w:szCs w:val="20"/>
        </w:rPr>
        <w:t xml:space="preserve">The user selects the biller category (electricity, gas, water, internet, mobile top-up).</w:t>
      </w:r>
    </w:p>
    <w:p>
      <w:pPr>
        <w:pStyle w:val="ListParagraph"/>
        <w:numPr>
          <w:ilvl w:val="0"/>
          <w:numId w:val="4"/>
        </w:numPr>
        <w:spacing w:after="60" w:line="260"/>
        <w:ind w:left="360"/>
      </w:pPr>
      <w:r>
        <w:rPr>
          <w:rFonts w:ascii="Calibri" w:cs="Calibri" w:eastAsia="Calibri" w:hAnsi="Calibri"/>
          <w:color w:val="333333"/>
          <w:sz w:val="20"/>
          <w:szCs w:val="20"/>
        </w:rPr>
        <w:t xml:space="preserve">The user selects the specific biller/provider, which filters by the beneficiary's Bangladesh address/region where relevant.</w:t>
      </w:r>
    </w:p>
    <w:p>
      <w:pPr>
        <w:pStyle w:val="ListParagraph"/>
        <w:numPr>
          <w:ilvl w:val="0"/>
          <w:numId w:val="4"/>
        </w:numPr>
        <w:spacing w:after="60" w:line="260"/>
        <w:ind w:left="360"/>
      </w:pPr>
      <w:r>
        <w:rPr>
          <w:rFonts w:ascii="Calibri" w:cs="Calibri" w:eastAsia="Calibri" w:hAnsi="Calibri"/>
          <w:color w:val="333333"/>
          <w:sz w:val="20"/>
          <w:szCs w:val="20"/>
        </w:rPr>
        <w:t xml:space="preserve">The user enters the biller account number / customer ID / meter number (or mobile number, for top-up), as required by that biller.</w:t>
      </w:r>
    </w:p>
    <w:p>
      <w:pPr>
        <w:pStyle w:val="ListParagraph"/>
        <w:numPr>
          <w:ilvl w:val="0"/>
          <w:numId w:val="4"/>
        </w:numPr>
        <w:spacing w:after="60" w:line="260"/>
        <w:ind w:left="360"/>
      </w:pPr>
      <w:r>
        <w:rPr>
          <w:rFonts w:ascii="Calibri" w:cs="Calibri" w:eastAsia="Calibri" w:hAnsi="Calibri"/>
          <w:color w:val="333333"/>
          <w:sz w:val="20"/>
          <w:szCs w:val="20"/>
        </w:rPr>
        <w:t xml:space="preserve">The system validates the account/meter number against the biller's system where a real-time validation API is available, and displays the registered account holder name for the user to confirm.</w:t>
      </w:r>
    </w:p>
    <w:p>
      <w:pPr>
        <w:pStyle w:val="ListParagraph"/>
        <w:numPr>
          <w:ilvl w:val="0"/>
          <w:numId w:val="4"/>
        </w:numPr>
        <w:spacing w:after="60" w:line="260"/>
        <w:ind w:left="360"/>
      </w:pPr>
      <w:r>
        <w:rPr>
          <w:rFonts w:ascii="Calibri" w:cs="Calibri" w:eastAsia="Calibri" w:hAnsi="Calibri"/>
          <w:color w:val="333333"/>
          <w:sz w:val="20"/>
          <w:szCs w:val="20"/>
        </w:rPr>
        <w:t xml:space="preserve">The user optionally labels the biller (e.g., "Home Electricity") and saves it.</w:t>
      </w:r>
    </w:p>
    <w:p>
      <w:pPr>
        <w:pStyle w:val="Heading3"/>
        <w:spacing w:after="120" w:before="260"/>
      </w:pPr>
      <w:r>
        <w:rPr>
          <w:rFonts w:ascii="Calibri" w:cs="Calibri" w:eastAsia="Calibri" w:hAnsi="Calibri"/>
          <w:b/>
          <w:bCs/>
          <w:color w:val="0F6B72"/>
          <w:sz w:val="22"/>
          <w:szCs w:val="22"/>
        </w:rPr>
        <w:t xml:space="preserve">7.5.3 One-Time Bill Payment</w:t>
      </w:r>
    </w:p>
    <w:p>
      <w:pPr>
        <w:spacing w:after="60" w:before="200"/>
      </w:pPr>
      <w:r>
        <w:rPr>
          <w:rFonts w:ascii="Calibri" w:cs="Calibri" w:eastAsia="Calibri" w:hAnsi="Calibri"/>
          <w:b/>
          <w:bCs/>
          <w:color w:val="1F3864"/>
          <w:sz w:val="21"/>
          <w:szCs w:val="21"/>
        </w:rPr>
        <w:t xml:space="preserve">Pay a Bill</w:t>
      </w:r>
      <w:r>
        <w:rPr>
          <w:rFonts w:ascii="Calibri" w:cs="Calibri" w:eastAsia="Calibri" w:hAnsi="Calibri"/>
          <w:b/>
          <w:bCs/>
          <w:color w:val="0F6B72"/>
          <w:sz w:val="18"/>
          <w:szCs w:val="18"/>
        </w:rPr>
        <w:t xml:space="preserve">  [RN-BPID-041]</w:t>
      </w:r>
    </w:p>
    <w:p>
      <w:pPr>
        <w:pStyle w:val="ListParagraph"/>
        <w:numPr>
          <w:ilvl w:val="0"/>
          <w:numId w:val="4"/>
        </w:numPr>
        <w:spacing w:after="60" w:line="260"/>
        <w:ind w:left="360"/>
      </w:pPr>
      <w:r>
        <w:rPr>
          <w:rFonts w:ascii="Calibri" w:cs="Calibri" w:eastAsia="Calibri" w:hAnsi="Calibri"/>
          <w:color w:val="333333"/>
          <w:sz w:val="20"/>
          <w:szCs w:val="20"/>
        </w:rPr>
        <w:t xml:space="preserve">The user selects a saved biller from "Pay Bills".</w:t>
      </w:r>
    </w:p>
    <w:p>
      <w:pPr>
        <w:pStyle w:val="ListParagraph"/>
        <w:numPr>
          <w:ilvl w:val="0"/>
          <w:numId w:val="4"/>
        </w:numPr>
        <w:spacing w:after="60" w:line="260"/>
        <w:ind w:left="360"/>
      </w:pPr>
      <w:r>
        <w:rPr>
          <w:rFonts w:ascii="Calibri" w:cs="Calibri" w:eastAsia="Calibri" w:hAnsi="Calibri"/>
          <w:color w:val="333333"/>
          <w:sz w:val="20"/>
          <w:szCs w:val="20"/>
        </w:rPr>
        <w:t xml:space="preserve">For billers that support live bill-fetch, the system displays the current outstanding bill amount and due date; otherwise, the user enters the amount manually.</w:t>
      </w:r>
    </w:p>
    <w:p>
      <w:pPr>
        <w:pStyle w:val="ListParagraph"/>
        <w:numPr>
          <w:ilvl w:val="0"/>
          <w:numId w:val="4"/>
        </w:numPr>
        <w:spacing w:after="60" w:line="260"/>
        <w:ind w:left="360"/>
      </w:pPr>
      <w:r>
        <w:rPr>
          <w:rFonts w:ascii="Calibri" w:cs="Calibri" w:eastAsia="Calibri" w:hAnsi="Calibri"/>
          <w:color w:val="333333"/>
          <w:sz w:val="20"/>
          <w:szCs w:val="20"/>
        </w:rPr>
        <w:t xml:space="preserve">The user confirms the BDT amount to pay; the system converts and displays the equivalent MYR debit amount and commission using the current FX rate.</w:t>
      </w:r>
    </w:p>
    <w:p>
      <w:pPr>
        <w:pStyle w:val="ListParagraph"/>
        <w:numPr>
          <w:ilvl w:val="0"/>
          <w:numId w:val="4"/>
        </w:numPr>
        <w:spacing w:after="60" w:line="260"/>
        <w:ind w:left="360"/>
      </w:pPr>
      <w:r>
        <w:rPr>
          <w:rFonts w:ascii="Calibri" w:cs="Calibri" w:eastAsia="Calibri" w:hAnsi="Calibri"/>
          <w:color w:val="333333"/>
          <w:sz w:val="20"/>
          <w:szCs w:val="20"/>
        </w:rPr>
        <w:t xml:space="preserve">The user selects a funding method and confirms, completing 2FA as required.</w:t>
      </w:r>
    </w:p>
    <w:p>
      <w:pPr>
        <w:pStyle w:val="ListParagraph"/>
        <w:numPr>
          <w:ilvl w:val="0"/>
          <w:numId w:val="4"/>
        </w:numPr>
        <w:spacing w:after="60" w:line="260"/>
        <w:ind w:left="360"/>
      </w:pPr>
      <w:r>
        <w:rPr>
          <w:rFonts w:ascii="Calibri" w:cs="Calibri" w:eastAsia="Calibri" w:hAnsi="Calibri"/>
          <w:color w:val="333333"/>
          <w:sz w:val="20"/>
          <w:szCs w:val="20"/>
        </w:rPr>
        <w:t xml:space="preserve">The system submits the payment to the biller/aggregator and displays a status (Processing / Paid / Failed).</w:t>
      </w:r>
    </w:p>
    <w:p>
      <w:pPr>
        <w:pStyle w:val="ListParagraph"/>
        <w:numPr>
          <w:ilvl w:val="0"/>
          <w:numId w:val="4"/>
        </w:numPr>
        <w:spacing w:after="60" w:line="260"/>
        <w:ind w:left="360"/>
      </w:pPr>
      <w:r>
        <w:rPr>
          <w:rFonts w:ascii="Calibri" w:cs="Calibri" w:eastAsia="Calibri" w:hAnsi="Calibri"/>
          <w:color w:val="333333"/>
          <w:sz w:val="20"/>
          <w:szCs w:val="20"/>
        </w:rPr>
        <w:t xml:space="preserve">On success, the user receives a digital receipt, and (where the biller supports it) confirmation that the bill has been marked paid on the biller's system.</w:t>
      </w:r>
    </w:p>
    <w:p>
      <w:pPr>
        <w:pStyle w:val="Heading3"/>
        <w:spacing w:after="120" w:before="260"/>
      </w:pPr>
      <w:r>
        <w:rPr>
          <w:rFonts w:ascii="Calibri" w:cs="Calibri" w:eastAsia="Calibri" w:hAnsi="Calibri"/>
          <w:b/>
          <w:bCs/>
          <w:color w:val="0F6B72"/>
          <w:sz w:val="22"/>
          <w:szCs w:val="22"/>
        </w:rPr>
        <w:t xml:space="preserve">7.5.4 Recurring / Auto Bill Payment</w:t>
      </w:r>
    </w:p>
    <w:p>
      <w:pPr>
        <w:spacing w:after="60" w:before="200"/>
      </w:pPr>
      <w:r>
        <w:rPr>
          <w:rFonts w:ascii="Calibri" w:cs="Calibri" w:eastAsia="Calibri" w:hAnsi="Calibri"/>
          <w:b/>
          <w:bCs/>
          <w:color w:val="1F3864"/>
          <w:sz w:val="21"/>
          <w:szCs w:val="21"/>
        </w:rPr>
        <w:t xml:space="preserve">Set Up Auto-Pay for a Bill</w:t>
      </w:r>
      <w:r>
        <w:rPr>
          <w:rFonts w:ascii="Calibri" w:cs="Calibri" w:eastAsia="Calibri" w:hAnsi="Calibri"/>
          <w:b/>
          <w:bCs/>
          <w:color w:val="0F6B72"/>
          <w:sz w:val="18"/>
          <w:szCs w:val="18"/>
        </w:rPr>
        <w:t xml:space="preserve">  [RN-BPID-042]</w:t>
      </w:r>
    </w:p>
    <w:p>
      <w:pPr>
        <w:pStyle w:val="ListParagraph"/>
        <w:numPr>
          <w:ilvl w:val="0"/>
          <w:numId w:val="4"/>
        </w:numPr>
        <w:spacing w:after="60" w:line="260"/>
        <w:ind w:left="360"/>
      </w:pPr>
      <w:r>
        <w:rPr>
          <w:rFonts w:ascii="Calibri" w:cs="Calibri" w:eastAsia="Calibri" w:hAnsi="Calibri"/>
          <w:color w:val="333333"/>
          <w:sz w:val="20"/>
          <w:szCs w:val="20"/>
        </w:rPr>
        <w:t xml:space="preserve">The user selects a saved biller and chooses "Enable Auto-Pay".</w:t>
      </w:r>
    </w:p>
    <w:p>
      <w:pPr>
        <w:pStyle w:val="ListParagraph"/>
        <w:numPr>
          <w:ilvl w:val="0"/>
          <w:numId w:val="4"/>
        </w:numPr>
        <w:spacing w:after="60" w:line="260"/>
        <w:ind w:left="360"/>
      </w:pPr>
      <w:r>
        <w:rPr>
          <w:rFonts w:ascii="Calibri" w:cs="Calibri" w:eastAsia="Calibri" w:hAnsi="Calibri"/>
          <w:color w:val="333333"/>
          <w:sz w:val="20"/>
          <w:szCs w:val="20"/>
        </w:rPr>
        <w:t xml:space="preserve">The user sets a payment rule: either a fixed amount each cycle, or "pay the fetched bill amount up to a maximum cap" for billers supporting live bill-fetch.</w:t>
      </w:r>
    </w:p>
    <w:p>
      <w:pPr>
        <w:pStyle w:val="ListParagraph"/>
        <w:numPr>
          <w:ilvl w:val="0"/>
          <w:numId w:val="4"/>
        </w:numPr>
        <w:spacing w:after="60" w:line="260"/>
        <w:ind w:left="360"/>
      </w:pPr>
      <w:r>
        <w:rPr>
          <w:rFonts w:ascii="Calibri" w:cs="Calibri" w:eastAsia="Calibri" w:hAnsi="Calibri"/>
          <w:color w:val="333333"/>
          <w:sz w:val="20"/>
          <w:szCs w:val="20"/>
        </w:rPr>
        <w:t xml:space="preserve">The user sets the payment date each month (or the number of days after bill generation, where applicable).</w:t>
      </w:r>
    </w:p>
    <w:p>
      <w:pPr>
        <w:pStyle w:val="ListParagraph"/>
        <w:numPr>
          <w:ilvl w:val="0"/>
          <w:numId w:val="4"/>
        </w:numPr>
        <w:spacing w:after="60" w:line="260"/>
        <w:ind w:left="360"/>
      </w:pPr>
      <w:r>
        <w:rPr>
          <w:rFonts w:ascii="Calibri" w:cs="Calibri" w:eastAsia="Calibri" w:hAnsi="Calibri"/>
          <w:color w:val="333333"/>
          <w:sz w:val="20"/>
          <w:szCs w:val="20"/>
        </w:rPr>
        <w:t xml:space="preserve">The user confirms and completes 2FA once to authorise the standing instruction.</w:t>
      </w:r>
    </w:p>
    <w:p>
      <w:pPr>
        <w:pStyle w:val="ListParagraph"/>
        <w:numPr>
          <w:ilvl w:val="0"/>
          <w:numId w:val="4"/>
        </w:numPr>
        <w:spacing w:after="60" w:line="260"/>
        <w:ind w:left="360"/>
      </w:pPr>
      <w:r>
        <w:rPr>
          <w:rFonts w:ascii="Calibri" w:cs="Calibri" w:eastAsia="Calibri" w:hAnsi="Calibri"/>
          <w:color w:val="333333"/>
          <w:sz w:val="20"/>
          <w:szCs w:val="20"/>
        </w:rPr>
        <w:t xml:space="preserve">Each cycle, the system attempts payment automatically; if funds are unavailable or the fetched amount exceeds the user's configured cap, the cycle is skipped and the user is notified to pay manually.</w:t>
      </w:r>
    </w:p>
    <w:p>
      <w:pPr>
        <w:pStyle w:val="ListParagraph"/>
        <w:numPr>
          <w:ilvl w:val="0"/>
          <w:numId w:val="4"/>
        </w:numPr>
        <w:spacing w:after="60" w:line="260"/>
        <w:ind w:left="360"/>
      </w:pPr>
      <w:r>
        <w:rPr>
          <w:rFonts w:ascii="Calibri" w:cs="Calibri" w:eastAsia="Calibri" w:hAnsi="Calibri"/>
          <w:color w:val="333333"/>
          <w:sz w:val="20"/>
          <w:szCs w:val="20"/>
        </w:rPr>
        <w:t xml:space="preserve">The user can view, pause, edit, or cancel any auto-pay rule at any time.</w:t>
      </w:r>
    </w:p>
    <w:p>
      <w:pPr>
        <w:pStyle w:val="Heading3"/>
        <w:spacing w:after="120" w:before="260"/>
      </w:pPr>
      <w:r>
        <w:rPr>
          <w:rFonts w:ascii="Calibri" w:cs="Calibri" w:eastAsia="Calibri" w:hAnsi="Calibri"/>
          <w:b/>
          <w:bCs/>
          <w:color w:val="0F6B72"/>
          <w:sz w:val="22"/>
          <w:szCs w:val="22"/>
        </w:rPr>
        <w:t xml:space="preserve">7.5.5 Bill Payment History &amp; Receipts</w:t>
      </w:r>
    </w:p>
    <w:p>
      <w:pPr>
        <w:spacing w:after="160" w:line="276"/>
      </w:pPr>
      <w:r>
        <w:rPr>
          <w:rFonts w:ascii="Calibri" w:cs="Calibri" w:eastAsia="Calibri" w:hAnsi="Calibri"/>
          <w:b w:val="false"/>
          <w:bCs w:val="false"/>
          <w:i w:val="false"/>
          <w:iCs w:val="false"/>
          <w:color w:val="222222"/>
          <w:sz w:val="21"/>
          <w:szCs w:val="21"/>
        </w:rPr>
        <w:t xml:space="preserve">All bill payments, whether one-time or recurring, appear in a unified Bill Payment History, filterable by biller, category, and date range, each with a downloadable digital receipt. This history feeds directly into the Nest Egg Dashboard's "bills paid" total (Module 7).</w:t>
      </w:r>
    </w:p>
    <w:p>
      <w:pPr>
        <w:pStyle w:val="Heading3"/>
        <w:spacing w:after="120" w:before="260"/>
      </w:pPr>
      <w:r>
        <w:rPr>
          <w:rFonts w:ascii="Calibri" w:cs="Calibri" w:eastAsia="Calibri" w:hAnsi="Calibri"/>
          <w:b/>
          <w:bCs/>
          <w:color w:val="0F6B72"/>
          <w:sz w:val="22"/>
          <w:szCs w:val="22"/>
        </w:rPr>
        <w:t xml:space="preserve">7.5.6 Failed Payment &amp; Retry Handling</w:t>
      </w:r>
    </w:p>
    <w:p>
      <w:pPr>
        <w:pStyle w:val="ListParagraph"/>
        <w:numPr>
          <w:ilvl w:val="0"/>
          <w:numId w:val="2"/>
        </w:numPr>
        <w:spacing w:after="80" w:line="264"/>
      </w:pPr>
      <w:r>
        <w:rPr>
          <w:rFonts w:ascii="Calibri" w:cs="Calibri" w:eastAsia="Calibri" w:hAnsi="Calibri"/>
          <w:sz w:val="21"/>
          <w:szCs w:val="21"/>
        </w:rPr>
        <w:t xml:space="preserve">If a bill payment fails after funds have been debited from the user (e.g., biller system timeout), the system must automatically reverse the debit or clearly flag the transaction for support-assisted resolution within a defined SLA.</w:t>
      </w:r>
    </w:p>
    <w:p>
      <w:pPr>
        <w:pStyle w:val="ListParagraph"/>
        <w:numPr>
          <w:ilvl w:val="0"/>
          <w:numId w:val="2"/>
        </w:numPr>
        <w:spacing w:after="80" w:line="264"/>
      </w:pPr>
      <w:r>
        <w:rPr>
          <w:rFonts w:ascii="Calibri" w:cs="Calibri" w:eastAsia="Calibri" w:hAnsi="Calibri"/>
          <w:sz w:val="21"/>
          <w:szCs w:val="21"/>
        </w:rPr>
        <w:t xml:space="preserve">The user is proactively notified of any failed recurring auto-pay attempt, with a one-tap option to retry or pay manually immediately.</w:t>
      </w:r>
    </w:p>
    <w:p>
      <w:pPr>
        <w:pStyle w:val="ListParagraph"/>
        <w:numPr>
          <w:ilvl w:val="0"/>
          <w:numId w:val="2"/>
        </w:numPr>
        <w:spacing w:after="80" w:line="264"/>
      </w:pPr>
      <w:r>
        <w:rPr>
          <w:rFonts w:ascii="Calibri" w:cs="Calibri" w:eastAsia="Calibri" w:hAnsi="Calibri"/>
          <w:sz w:val="21"/>
          <w:szCs w:val="21"/>
        </w:rPr>
        <w:t xml:space="preserve">Persistent failures for a given biller (e.g., three consecutive failures) automatically pause the auto-pay rule and prompt the user to review the biller details.</w:t>
      </w:r>
    </w:p>
    <w:p>
      <w:pPr>
        <w:pStyle w:val="Heading2"/>
        <w:spacing w:after="160" w:before="360"/>
      </w:pPr>
      <w:r>
        <w:rPr>
          <w:rFonts w:ascii="Calibri" w:cs="Calibri" w:eastAsia="Calibri" w:hAnsi="Calibri"/>
          <w:b/>
          <w:bCs/>
          <w:color w:val="1F3864"/>
          <w:sz w:val="26"/>
          <w:szCs w:val="26"/>
        </w:rPr>
        <w:t xml:space="preserve">7.6 Module 6 — Savings &amp; DPS Management</w:t>
      </w:r>
    </w:p>
    <w:p>
      <w:pPr>
        <w:spacing w:after="160" w:line="276"/>
      </w:pPr>
      <w:r>
        <w:rPr>
          <w:rFonts w:ascii="Calibri" w:cs="Calibri" w:eastAsia="Calibri" w:hAnsi="Calibri"/>
          <w:b w:val="false"/>
          <w:bCs w:val="false"/>
          <w:i w:val="false"/>
          <w:iCs w:val="false"/>
          <w:color w:val="222222"/>
          <w:sz w:val="21"/>
          <w:szCs w:val="21"/>
        </w:rPr>
        <w:t xml:space="preserve">This module lets the Remitter build a financial cushion in Bangladesh ahead of their eventual return: a standard savings account, and/or a Deposit Pension Scheme (DPS) — a fixed-tenure, fixed-instalment recurring savings product widely offered by Bangladeshi banks. RemmiNext does not hold these funds itself; they are held by licensed Bangladeshi partner banks, with RemmiNext acting as the origination and tracking layer.</w:t>
      </w:r>
    </w:p>
    <w:p>
      <w:pPr>
        <w:pStyle w:val="Heading3"/>
        <w:spacing w:after="120" w:before="260"/>
      </w:pPr>
      <w:r>
        <w:rPr>
          <w:rFonts w:ascii="Calibri" w:cs="Calibri" w:eastAsia="Calibri" w:hAnsi="Calibri"/>
          <w:b/>
          <w:bCs/>
          <w:color w:val="0F6B72"/>
          <w:sz w:val="22"/>
          <w:szCs w:val="22"/>
        </w:rPr>
        <w:t xml:space="preserve">7.6.1 Savings Account Discovery &amp; Linking</w:t>
      </w:r>
    </w:p>
    <w:p>
      <w:pPr>
        <w:spacing w:after="60" w:before="200"/>
      </w:pPr>
      <w:r>
        <w:rPr>
          <w:rFonts w:ascii="Calibri" w:cs="Calibri" w:eastAsia="Calibri" w:hAnsi="Calibri"/>
          <w:b/>
          <w:bCs/>
          <w:color w:val="1F3864"/>
          <w:sz w:val="21"/>
          <w:szCs w:val="21"/>
        </w:rPr>
        <w:t xml:space="preserve">Link or Open a Savings Account</w:t>
      </w:r>
      <w:r>
        <w:rPr>
          <w:rFonts w:ascii="Calibri" w:cs="Calibri" w:eastAsia="Calibri" w:hAnsi="Calibri"/>
          <w:b/>
          <w:bCs/>
          <w:color w:val="0F6B72"/>
          <w:sz w:val="18"/>
          <w:szCs w:val="18"/>
        </w:rPr>
        <w:t xml:space="preserve">  [RN-BPID-060]</w:t>
      </w:r>
    </w:p>
    <w:p>
      <w:pPr>
        <w:pStyle w:val="ListParagraph"/>
        <w:numPr>
          <w:ilvl w:val="0"/>
          <w:numId w:val="4"/>
        </w:numPr>
        <w:spacing w:after="60" w:line="260"/>
        <w:ind w:left="360"/>
      </w:pPr>
      <w:r>
        <w:rPr>
          <w:rFonts w:ascii="Calibri" w:cs="Calibri" w:eastAsia="Calibri" w:hAnsi="Calibri"/>
          <w:color w:val="333333"/>
          <w:sz w:val="20"/>
          <w:szCs w:val="20"/>
        </w:rPr>
        <w:t xml:space="preserve">The user selects "Savings" from the home screen and chooses "Link Existing Account" or "Open New Account".</w:t>
      </w:r>
    </w:p>
    <w:p>
      <w:pPr>
        <w:pStyle w:val="ListParagraph"/>
        <w:numPr>
          <w:ilvl w:val="0"/>
          <w:numId w:val="4"/>
        </w:numPr>
        <w:spacing w:after="60" w:line="260"/>
        <w:ind w:left="360"/>
      </w:pPr>
      <w:r>
        <w:rPr>
          <w:rFonts w:ascii="Calibri" w:cs="Calibri" w:eastAsia="Calibri" w:hAnsi="Calibri"/>
          <w:color w:val="333333"/>
          <w:sz w:val="20"/>
          <w:szCs w:val="20"/>
        </w:rPr>
        <w:t xml:space="preserve">For linking: the user selects their bank and enters their existing Bangladeshi savings account number; the system verifies ownership via the partner bank's API (e.g., micro-deposit or name-match verification) or, where unavailable, via a manual document upload reviewed by RemmiNext.</w:t>
      </w:r>
    </w:p>
    <w:p>
      <w:pPr>
        <w:pStyle w:val="ListParagraph"/>
        <w:numPr>
          <w:ilvl w:val="0"/>
          <w:numId w:val="4"/>
        </w:numPr>
        <w:spacing w:after="60" w:line="260"/>
        <w:ind w:left="360"/>
      </w:pPr>
      <w:r>
        <w:rPr>
          <w:rFonts w:ascii="Calibri" w:cs="Calibri" w:eastAsia="Calibri" w:hAnsi="Calibri"/>
          <w:color w:val="333333"/>
          <w:sz w:val="20"/>
          <w:szCs w:val="20"/>
        </w:rPr>
        <w:t xml:space="preserve">For opening a new account: the user selects a partner bank and account type; the system pre-fills the application using the user's existing verified KYC data, minimising re-entry; the user reviews and submits the application to the partner bank via API.</w:t>
      </w:r>
    </w:p>
    <w:p>
      <w:pPr>
        <w:pStyle w:val="ListParagraph"/>
        <w:numPr>
          <w:ilvl w:val="0"/>
          <w:numId w:val="4"/>
        </w:numPr>
        <w:spacing w:after="60" w:line="260"/>
        <w:ind w:left="360"/>
      </w:pPr>
      <w:r>
        <w:rPr>
          <w:rFonts w:ascii="Calibri" w:cs="Calibri" w:eastAsia="Calibri" w:hAnsi="Calibri"/>
          <w:color w:val="333333"/>
          <w:sz w:val="20"/>
          <w:szCs w:val="20"/>
        </w:rPr>
        <w:t xml:space="preserve">The partner bank confirms account opening/linking; the account then appears under "My Savings" with a live (or periodically synced) balance.</w:t>
      </w:r>
    </w:p>
    <w:p>
      <w:pPr>
        <w:pStyle w:val="Heading3"/>
        <w:spacing w:after="120" w:before="260"/>
      </w:pPr>
      <w:r>
        <w:rPr>
          <w:rFonts w:ascii="Calibri" w:cs="Calibri" w:eastAsia="Calibri" w:hAnsi="Calibri"/>
          <w:b/>
          <w:bCs/>
          <w:color w:val="0F6B72"/>
          <w:sz w:val="22"/>
          <w:szCs w:val="22"/>
        </w:rPr>
        <w:t xml:space="preserve">7.6.2 Top-Up Savings from a Remittance</w:t>
      </w:r>
    </w:p>
    <w:p>
      <w:pPr>
        <w:spacing w:after="160" w:line="276"/>
      </w:pPr>
      <w:r>
        <w:rPr>
          <w:rFonts w:ascii="Calibri" w:cs="Calibri" w:eastAsia="Calibri" w:hAnsi="Calibri"/>
          <w:b w:val="false"/>
          <w:bCs w:val="false"/>
          <w:i w:val="false"/>
          <w:iCs w:val="false"/>
          <w:color w:val="222222"/>
          <w:sz w:val="21"/>
          <w:szCs w:val="21"/>
        </w:rPr>
        <w:t xml:space="preserve">When sending a remittance, the user may optionally split the Receive Amount between a beneficiary and their own linked savings account, or send the entire remittance directly into their own savings account instead of a beneficiary. This allows a single funding action in Malaysia to simultaneously support the family and grow the user's own savings (RN-BPID-061).</w:t>
      </w:r>
    </w:p>
    <w:p>
      <w:pPr>
        <w:pStyle w:val="Heading3"/>
        <w:spacing w:after="120" w:before="260"/>
      </w:pPr>
      <w:r>
        <w:rPr>
          <w:rFonts w:ascii="Calibri" w:cs="Calibri" w:eastAsia="Calibri" w:hAnsi="Calibri"/>
          <w:b/>
          <w:bCs/>
          <w:color w:val="0F6B72"/>
          <w:sz w:val="22"/>
          <w:szCs w:val="22"/>
        </w:rPr>
        <w:t xml:space="preserve">7.6.3 DPS Product Catalogue</w:t>
      </w:r>
    </w:p>
    <w:tbl>
      <w:tblPr>
        <w:tblW w:type="dxa" w:w="1000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7000"/>
      </w:tblGrid>
      <w:tr>
        <w:trPr>
          <w:tblHeader/>
        </w:trPr>
        <w:tc>
          <w:tcPr>
            <w:tcW w:type="dxa" w:w="30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Field</w:t>
            </w:r>
          </w:p>
        </w:tc>
        <w:tc>
          <w:tcPr>
            <w:tcW w:type="dxa" w:w="70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Description</w:t>
            </w:r>
          </w:p>
        </w:tc>
      </w:tr>
      <w:tr>
        <w:tc>
          <w:tcPr>
            <w:tcW w:type="dxa" w:w="30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Partner bank</w:t>
            </w:r>
          </w:p>
        </w:tc>
        <w:tc>
          <w:tcPr>
            <w:tcW w:type="dxa" w:w="70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The issuing Bangladeshi bank</w:t>
            </w:r>
          </w:p>
        </w:tc>
      </w:tr>
      <w:tr>
        <w:tc>
          <w:tcPr>
            <w:tcW w:type="dxa" w:w="30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Scheme name</w:t>
            </w:r>
          </w:p>
        </w:tc>
        <w:tc>
          <w:tcPr>
            <w:tcW w:type="dxa" w:w="70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Partner bank's product name</w:t>
            </w:r>
          </w:p>
        </w:tc>
      </w:tr>
      <w:tr>
        <w:tc>
          <w:tcPr>
            <w:tcW w:type="dxa" w:w="30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Tenure options</w:t>
            </w:r>
          </w:p>
        </w:tc>
        <w:tc>
          <w:tcPr>
            <w:tcW w:type="dxa" w:w="70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e.g., 3, 5, 10 years, as offered by the partner bank</w:t>
            </w:r>
          </w:p>
        </w:tc>
      </w:tr>
      <w:tr>
        <w:tc>
          <w:tcPr>
            <w:tcW w:type="dxa" w:w="30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Monthly instalment options</w:t>
            </w:r>
          </w:p>
        </w:tc>
        <w:tc>
          <w:tcPr>
            <w:tcW w:type="dxa" w:w="70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Fixed instalment tiers, e.g., BDT 500 / 1,000 / 2,000 / 5,000</w:t>
            </w:r>
          </w:p>
        </w:tc>
      </w:tr>
      <w:tr>
        <w:tc>
          <w:tcPr>
            <w:tcW w:type="dxa" w:w="30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Indicative profit/interest rate</w:t>
            </w:r>
          </w:p>
        </w:tc>
        <w:tc>
          <w:tcPr>
            <w:tcW w:type="dxa" w:w="70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As published by the partner bank; clearly marked as indicative, not guaranteed, and subject to the partner bank's terms</w:t>
            </w:r>
          </w:p>
        </w:tc>
      </w:tr>
      <w:tr>
        <w:tc>
          <w:tcPr>
            <w:tcW w:type="dxa" w:w="30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Indicative maturity value</w:t>
            </w:r>
          </w:p>
        </w:tc>
        <w:tc>
          <w:tcPr>
            <w:tcW w:type="dxa" w:w="70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Calculated illustration only, based on tenure, instalment, and indicative rate</w:t>
            </w:r>
          </w:p>
        </w:tc>
      </w:tr>
      <w:tr>
        <w:tc>
          <w:tcPr>
            <w:tcW w:type="dxa" w:w="30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Minimum eligibility</w:t>
            </w:r>
          </w:p>
        </w:tc>
        <w:tc>
          <w:tcPr>
            <w:tcW w:type="dxa" w:w="70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e.g., valid linked NID, minimum account tenure</w:t>
            </w:r>
          </w:p>
        </w:tc>
      </w:tr>
    </w:tbl>
    <w:p>
      <w:pPr>
        <w:pStyle w:val="Heading3"/>
        <w:spacing w:after="120" w:before="260"/>
      </w:pPr>
      <w:r>
        <w:rPr>
          <w:rFonts w:ascii="Calibri" w:cs="Calibri" w:eastAsia="Calibri" w:hAnsi="Calibri"/>
          <w:b/>
          <w:bCs/>
          <w:color w:val="0F6B72"/>
          <w:sz w:val="22"/>
          <w:szCs w:val="22"/>
        </w:rPr>
        <w:t xml:space="preserve">7.6.4 DPS Enrolment</w:t>
      </w:r>
    </w:p>
    <w:p>
      <w:pPr>
        <w:spacing w:after="60" w:before="200"/>
      </w:pPr>
      <w:r>
        <w:rPr>
          <w:rFonts w:ascii="Calibri" w:cs="Calibri" w:eastAsia="Calibri" w:hAnsi="Calibri"/>
          <w:b/>
          <w:bCs/>
          <w:color w:val="1F3864"/>
          <w:sz w:val="21"/>
          <w:szCs w:val="21"/>
        </w:rPr>
        <w:t xml:space="preserve">Enrol in a DPS Scheme</w:t>
      </w:r>
      <w:r>
        <w:rPr>
          <w:rFonts w:ascii="Calibri" w:cs="Calibri" w:eastAsia="Calibri" w:hAnsi="Calibri"/>
          <w:b/>
          <w:bCs/>
          <w:color w:val="0F6B72"/>
          <w:sz w:val="18"/>
          <w:szCs w:val="18"/>
        </w:rPr>
        <w:t xml:space="preserve">  [RN-BPID-064]</w:t>
      </w:r>
    </w:p>
    <w:p>
      <w:pPr>
        <w:pStyle w:val="ListParagraph"/>
        <w:numPr>
          <w:ilvl w:val="0"/>
          <w:numId w:val="4"/>
        </w:numPr>
        <w:spacing w:after="60" w:line="260"/>
        <w:ind w:left="360"/>
      </w:pPr>
      <w:r>
        <w:rPr>
          <w:rFonts w:ascii="Calibri" w:cs="Calibri" w:eastAsia="Calibri" w:hAnsi="Calibri"/>
          <w:color w:val="333333"/>
          <w:sz w:val="20"/>
          <w:szCs w:val="20"/>
        </w:rPr>
        <w:t xml:space="preserve">The user selects "Savings" then "DPS" then browses the available schemes by partner bank, tenure, and instalment amount.</w:t>
      </w:r>
    </w:p>
    <w:p>
      <w:pPr>
        <w:pStyle w:val="ListParagraph"/>
        <w:numPr>
          <w:ilvl w:val="0"/>
          <w:numId w:val="4"/>
        </w:numPr>
        <w:spacing w:after="60" w:line="260"/>
        <w:ind w:left="360"/>
      </w:pPr>
      <w:r>
        <w:rPr>
          <w:rFonts w:ascii="Calibri" w:cs="Calibri" w:eastAsia="Calibri" w:hAnsi="Calibri"/>
          <w:color w:val="333333"/>
          <w:sz w:val="20"/>
          <w:szCs w:val="20"/>
        </w:rPr>
        <w:t xml:space="preserve">The user selects a scheme and reviews the indicative terms and maturity illustration.</w:t>
      </w:r>
    </w:p>
    <w:p>
      <w:pPr>
        <w:pStyle w:val="ListParagraph"/>
        <w:numPr>
          <w:ilvl w:val="0"/>
          <w:numId w:val="4"/>
        </w:numPr>
        <w:spacing w:after="60" w:line="260"/>
        <w:ind w:left="360"/>
      </w:pPr>
      <w:r>
        <w:rPr>
          <w:rFonts w:ascii="Calibri" w:cs="Calibri" w:eastAsia="Calibri" w:hAnsi="Calibri"/>
          <w:color w:val="333333"/>
          <w:sz w:val="20"/>
          <w:szCs w:val="20"/>
        </w:rPr>
        <w:t xml:space="preserve">The user nominates a beneficiary/nominee for the DPS account, as required by Bangladeshi banking regulation.</w:t>
      </w:r>
    </w:p>
    <w:p>
      <w:pPr>
        <w:pStyle w:val="ListParagraph"/>
        <w:numPr>
          <w:ilvl w:val="0"/>
          <w:numId w:val="4"/>
        </w:numPr>
        <w:spacing w:after="60" w:line="260"/>
        <w:ind w:left="360"/>
      </w:pPr>
      <w:r>
        <w:rPr>
          <w:rFonts w:ascii="Calibri" w:cs="Calibri" w:eastAsia="Calibri" w:hAnsi="Calibri"/>
          <w:color w:val="333333"/>
          <w:sz w:val="20"/>
          <w:szCs w:val="20"/>
        </w:rPr>
        <w:t xml:space="preserve">The user submits the enrolment application, which is routed to the partner bank via API for account opening.</w:t>
      </w:r>
    </w:p>
    <w:p>
      <w:pPr>
        <w:pStyle w:val="ListParagraph"/>
        <w:numPr>
          <w:ilvl w:val="0"/>
          <w:numId w:val="4"/>
        </w:numPr>
        <w:spacing w:after="60" w:line="260"/>
        <w:ind w:left="360"/>
      </w:pPr>
      <w:r>
        <w:rPr>
          <w:rFonts w:ascii="Calibri" w:cs="Calibri" w:eastAsia="Calibri" w:hAnsi="Calibri"/>
          <w:color w:val="333333"/>
          <w:sz w:val="20"/>
          <w:szCs w:val="20"/>
        </w:rPr>
        <w:t xml:space="preserve">On partner bank confirmation, the DPS account appears under "My Savings &amp; DPS" with its schedule and running contribution total.</w:t>
      </w:r>
    </w:p>
    <w:p>
      <w:pPr>
        <w:pStyle w:val="Heading3"/>
        <w:spacing w:after="120" w:before="260"/>
      </w:pPr>
      <w:r>
        <w:rPr>
          <w:rFonts w:ascii="Calibri" w:cs="Calibri" w:eastAsia="Calibri" w:hAnsi="Calibri"/>
          <w:b/>
          <w:bCs/>
          <w:color w:val="0F6B72"/>
          <w:sz w:val="22"/>
          <w:szCs w:val="22"/>
        </w:rPr>
        <w:t xml:space="preserve">7.6.5 Recurring DPS Auto-Contribution</w:t>
      </w:r>
    </w:p>
    <w:p>
      <w:pPr>
        <w:spacing w:after="60" w:before="200"/>
      </w:pPr>
      <w:r>
        <w:rPr>
          <w:rFonts w:ascii="Calibri" w:cs="Calibri" w:eastAsia="Calibri" w:hAnsi="Calibri"/>
          <w:b/>
          <w:bCs/>
          <w:color w:val="1F3864"/>
          <w:sz w:val="21"/>
          <w:szCs w:val="21"/>
        </w:rPr>
        <w:t xml:space="preserve">Set Up Recurring DPS Contribution</w:t>
      </w:r>
      <w:r>
        <w:rPr>
          <w:rFonts w:ascii="Calibri" w:cs="Calibri" w:eastAsia="Calibri" w:hAnsi="Calibri"/>
          <w:b/>
          <w:bCs/>
          <w:color w:val="0F6B72"/>
          <w:sz w:val="18"/>
          <w:szCs w:val="18"/>
        </w:rPr>
        <w:t xml:space="preserve">  [RN-BPID-065]</w:t>
      </w:r>
    </w:p>
    <w:p>
      <w:pPr>
        <w:pStyle w:val="ListParagraph"/>
        <w:numPr>
          <w:ilvl w:val="0"/>
          <w:numId w:val="4"/>
        </w:numPr>
        <w:spacing w:after="60" w:line="260"/>
        <w:ind w:left="360"/>
      </w:pPr>
      <w:r>
        <w:rPr>
          <w:rFonts w:ascii="Calibri" w:cs="Calibri" w:eastAsia="Calibri" w:hAnsi="Calibri"/>
          <w:color w:val="333333"/>
          <w:sz w:val="20"/>
          <w:szCs w:val="20"/>
        </w:rPr>
        <w:t xml:space="preserve">As part of enrolment (or afterwards, from the DPS account detail screen), the user sets up a recurring auto-debit in MYR sized to cover the fixed monthly BDT instalment at the prevailing FX rate, with a configurable buffer to absorb minor rate movement.</w:t>
      </w:r>
    </w:p>
    <w:p>
      <w:pPr>
        <w:pStyle w:val="ListParagraph"/>
        <w:numPr>
          <w:ilvl w:val="0"/>
          <w:numId w:val="4"/>
        </w:numPr>
        <w:spacing w:after="60" w:line="260"/>
        <w:ind w:left="360"/>
      </w:pPr>
      <w:r>
        <w:rPr>
          <w:rFonts w:ascii="Calibri" w:cs="Calibri" w:eastAsia="Calibri" w:hAnsi="Calibri"/>
          <w:color w:val="333333"/>
          <w:sz w:val="20"/>
          <w:szCs w:val="20"/>
        </w:rPr>
        <w:t xml:space="preserve">The user confirms the standing instruction with 2FA.</w:t>
      </w:r>
    </w:p>
    <w:p>
      <w:pPr>
        <w:pStyle w:val="ListParagraph"/>
        <w:numPr>
          <w:ilvl w:val="0"/>
          <w:numId w:val="4"/>
        </w:numPr>
        <w:spacing w:after="60" w:line="260"/>
        <w:ind w:left="360"/>
      </w:pPr>
      <w:r>
        <w:rPr>
          <w:rFonts w:ascii="Calibri" w:cs="Calibri" w:eastAsia="Calibri" w:hAnsi="Calibri"/>
          <w:color w:val="333333"/>
          <w:sz w:val="20"/>
          <w:szCs w:val="20"/>
        </w:rPr>
        <w:t xml:space="preserve">Each cycle, the system converts and remits the instalment amount to the DPS account automatically, exactly as a scheduled remittance (Module 4), but tagged as a DPS contribution for Nest Egg tracking.</w:t>
      </w:r>
    </w:p>
    <w:p>
      <w:pPr>
        <w:pStyle w:val="ListParagraph"/>
        <w:numPr>
          <w:ilvl w:val="0"/>
          <w:numId w:val="4"/>
        </w:numPr>
        <w:spacing w:after="60" w:line="260"/>
        <w:ind w:left="360"/>
      </w:pPr>
      <w:r>
        <w:rPr>
          <w:rFonts w:ascii="Calibri" w:cs="Calibri" w:eastAsia="Calibri" w:hAnsi="Calibri"/>
          <w:color w:val="333333"/>
          <w:sz w:val="20"/>
          <w:szCs w:val="20"/>
        </w:rPr>
        <w:t xml:space="preserve">If the auto-debit fails (insufficient funds), the user is notified immediately, since missing a DPS instalment can carry a partner-bank penalty; the user can make a manual top-up before the partner bank's grace period lapses.</w:t>
      </w:r>
    </w:p>
    <w:p>
      <w:pPr>
        <w:pStyle w:val="Heading3"/>
        <w:spacing w:after="120" w:before="260"/>
      </w:pPr>
      <w:r>
        <w:rPr>
          <w:rFonts w:ascii="Calibri" w:cs="Calibri" w:eastAsia="Calibri" w:hAnsi="Calibri"/>
          <w:b/>
          <w:bCs/>
          <w:color w:val="0F6B72"/>
          <w:sz w:val="22"/>
          <w:szCs w:val="22"/>
        </w:rPr>
        <w:t xml:space="preserve">7.6.6 Savings &amp; DPS Statement Sync</w:t>
      </w:r>
    </w:p>
    <w:p>
      <w:pPr>
        <w:spacing w:after="160" w:line="276"/>
      </w:pPr>
      <w:r>
        <w:rPr>
          <w:rFonts w:ascii="Calibri" w:cs="Calibri" w:eastAsia="Calibri" w:hAnsi="Calibri"/>
          <w:b w:val="false"/>
          <w:bCs w:val="false"/>
          <w:i w:val="false"/>
          <w:iCs w:val="false"/>
          <w:color w:val="222222"/>
          <w:sz w:val="21"/>
          <w:szCs w:val="21"/>
        </w:rPr>
        <w:t xml:space="preserve">RemmiNext periodically (and, where the partner bank API supports it, in real time) syncs balance and transaction-level statement data for each linked savings and DPS account, so the user does not need to log into a separate banking app to see their balance. Where live sync is not available, the app clearly displays a "Last synced" timestamp.</w:t>
      </w:r>
    </w:p>
    <w:p>
      <w:pPr>
        <w:pStyle w:val="Heading3"/>
        <w:spacing w:after="120" w:before="260"/>
      </w:pPr>
      <w:r>
        <w:rPr>
          <w:rFonts w:ascii="Calibri" w:cs="Calibri" w:eastAsia="Calibri" w:hAnsi="Calibri"/>
          <w:b/>
          <w:bCs/>
          <w:color w:val="0F6B72"/>
          <w:sz w:val="22"/>
          <w:szCs w:val="22"/>
        </w:rPr>
        <w:t xml:space="preserve">7.6.7 DPS Maturity Tracking</w:t>
      </w:r>
    </w:p>
    <w:p>
      <w:pPr>
        <w:spacing w:after="160" w:line="276"/>
      </w:pPr>
      <w:r>
        <w:rPr>
          <w:rFonts w:ascii="Calibri" w:cs="Calibri" w:eastAsia="Calibri" w:hAnsi="Calibri"/>
          <w:b w:val="false"/>
          <w:bCs w:val="false"/>
          <w:i w:val="false"/>
          <w:iCs w:val="false"/>
          <w:color w:val="222222"/>
          <w:sz w:val="21"/>
          <w:szCs w:val="21"/>
        </w:rPr>
        <w:t xml:space="preserve">As a DPS account approaches maturity, RemmiNext surfaces a maturity countdown and the partner bank's stated maturity value. Actual maturity payout and any withdrawal is executed by the partner bank per its own terms and Bangladeshi banking regulation; RemmiNext's role is to track and clearly present status, not to hold or disburse the matured funds itself.</w:t>
      </w:r>
    </w:p>
    <w:p>
      <w:pPr>
        <w:pStyle w:val="Heading2"/>
        <w:spacing w:after="160" w:before="360"/>
      </w:pPr>
      <w:r>
        <w:rPr>
          <w:rFonts w:ascii="Calibri" w:cs="Calibri" w:eastAsia="Calibri" w:hAnsi="Calibri"/>
          <w:b/>
          <w:bCs/>
          <w:color w:val="1F3864"/>
          <w:sz w:val="26"/>
          <w:szCs w:val="26"/>
        </w:rPr>
        <w:t xml:space="preserve">7.7 Module 7 — Consolidated Nest Egg Dashboard</w:t>
      </w:r>
    </w:p>
    <w:p>
      <w:pPr>
        <w:spacing w:after="160" w:line="276"/>
      </w:pPr>
      <w:r>
        <w:rPr>
          <w:rFonts w:ascii="Calibri" w:cs="Calibri" w:eastAsia="Calibri" w:hAnsi="Calibri"/>
          <w:b w:val="false"/>
          <w:bCs w:val="false"/>
          <w:i w:val="false"/>
          <w:iCs w:val="false"/>
          <w:color w:val="222222"/>
          <w:sz w:val="21"/>
          <w:szCs w:val="21"/>
        </w:rPr>
        <w:t xml:space="preserve">This module is RemmiNext's defining feature and directly serves the platform's ultimate end goal (Section 1.5): giving the user a single, always-current view of everything they have remitted, paid, and saved in Bangladesh, so that value is never fragmented across disconnected channels.</w:t>
      </w:r>
    </w:p>
    <w:p>
      <w:pPr>
        <w:pStyle w:val="Heading3"/>
        <w:spacing w:after="120" w:before="260"/>
      </w:pPr>
      <w:r>
        <w:rPr>
          <w:rFonts w:ascii="Calibri" w:cs="Calibri" w:eastAsia="Calibri" w:hAnsi="Calibri"/>
          <w:b/>
          <w:bCs/>
          <w:color w:val="0F6B72"/>
          <w:sz w:val="22"/>
          <w:szCs w:val="22"/>
        </w:rPr>
        <w:t xml:space="preserve">7.7.1 Nest Egg Summary</w:t>
      </w:r>
    </w:p>
    <w:p>
      <w:pPr>
        <w:spacing w:after="160" w:line="276"/>
      </w:pPr>
      <w:r>
        <w:rPr>
          <w:rFonts w:ascii="Calibri" w:cs="Calibri" w:eastAsia="Calibri" w:hAnsi="Calibri"/>
          <w:b w:val="false"/>
          <w:bCs w:val="false"/>
          <w:i w:val="false"/>
          <w:iCs w:val="false"/>
          <w:color w:val="222222"/>
          <w:sz w:val="21"/>
          <w:szCs w:val="21"/>
        </w:rPr>
        <w:t xml:space="preserve">The dashboard home view presents, as of the current date:</w:t>
      </w:r>
    </w:p>
    <w:p>
      <w:pPr>
        <w:pStyle w:val="ListParagraph"/>
        <w:numPr>
          <w:ilvl w:val="0"/>
          <w:numId w:val="2"/>
        </w:numPr>
        <w:spacing w:after="80" w:line="264"/>
      </w:pPr>
      <w:r>
        <w:rPr>
          <w:rFonts w:ascii="Calibri" w:cs="Calibri" w:eastAsia="Calibri" w:hAnsi="Calibri"/>
          <w:sz w:val="21"/>
          <w:szCs w:val="21"/>
        </w:rPr>
        <w:t xml:space="preserve">Total amount remitted to Bangladesh, lifetime and over a selectable period (this month / this year / lifetime), shown in both BDT and MYR-equivalent.</w:t>
      </w:r>
    </w:p>
    <w:p>
      <w:pPr>
        <w:pStyle w:val="ListParagraph"/>
        <w:numPr>
          <w:ilvl w:val="0"/>
          <w:numId w:val="2"/>
        </w:numPr>
        <w:spacing w:after="80" w:line="264"/>
      </w:pPr>
      <w:r>
        <w:rPr>
          <w:rFonts w:ascii="Calibri" w:cs="Calibri" w:eastAsia="Calibri" w:hAnsi="Calibri"/>
          <w:sz w:val="21"/>
          <w:szCs w:val="21"/>
        </w:rPr>
        <w:t xml:space="preserve">Total government incentive received on eligible remittances, lifetime and by period.</w:t>
      </w:r>
    </w:p>
    <w:p>
      <w:pPr>
        <w:pStyle w:val="ListParagraph"/>
        <w:numPr>
          <w:ilvl w:val="0"/>
          <w:numId w:val="2"/>
        </w:numPr>
        <w:spacing w:after="80" w:line="264"/>
      </w:pPr>
      <w:r>
        <w:rPr>
          <w:rFonts w:ascii="Calibri" w:cs="Calibri" w:eastAsia="Calibri" w:hAnsi="Calibri"/>
          <w:sz w:val="21"/>
          <w:szCs w:val="21"/>
        </w:rPr>
        <w:t xml:space="preserve">Total household bills paid, lifetime and by period, broken down by category (electricity, gas, water, internet, mobile top-up).</w:t>
      </w:r>
    </w:p>
    <w:p>
      <w:pPr>
        <w:pStyle w:val="ListParagraph"/>
        <w:numPr>
          <w:ilvl w:val="0"/>
          <w:numId w:val="2"/>
        </w:numPr>
        <w:spacing w:after="80" w:line="264"/>
      </w:pPr>
      <w:r>
        <w:rPr>
          <w:rFonts w:ascii="Calibri" w:cs="Calibri" w:eastAsia="Calibri" w:hAnsi="Calibri"/>
          <w:sz w:val="21"/>
          <w:szCs w:val="21"/>
        </w:rPr>
        <w:t xml:space="preserve">Current combined balance across all linked Bangladeshi savings accounts.</w:t>
      </w:r>
    </w:p>
    <w:p>
      <w:pPr>
        <w:pStyle w:val="ListParagraph"/>
        <w:numPr>
          <w:ilvl w:val="0"/>
          <w:numId w:val="2"/>
        </w:numPr>
        <w:spacing w:after="80" w:line="264"/>
      </w:pPr>
      <w:r>
        <w:rPr>
          <w:rFonts w:ascii="Calibri" w:cs="Calibri" w:eastAsia="Calibri" w:hAnsi="Calibri"/>
          <w:sz w:val="21"/>
          <w:szCs w:val="21"/>
        </w:rPr>
        <w:t xml:space="preserve">Total contributed to date across all active DPS schemes, plus the combined indicative maturity value of those schemes.</w:t>
      </w:r>
    </w:p>
    <w:p>
      <w:pPr>
        <w:pStyle w:val="ListParagraph"/>
        <w:numPr>
          <w:ilvl w:val="0"/>
          <w:numId w:val="2"/>
        </w:numPr>
        <w:spacing w:after="80" w:line="264"/>
      </w:pPr>
      <w:r>
        <w:rPr>
          <w:rFonts w:ascii="Calibri" w:cs="Calibri" w:eastAsia="Calibri" w:hAnsi="Calibri"/>
          <w:sz w:val="21"/>
          <w:szCs w:val="21"/>
        </w:rPr>
        <w:t xml:space="preserve">A single "Nest Egg Total" figure: savings balance + DPS contributed-to-date (or, optionally, projected maturity value, clearly labelled as a projection) — the headline number the user is building toward.</w:t>
      </w:r>
    </w:p>
    <w:p>
      <w:pPr>
        <w:pStyle w:val="Heading3"/>
        <w:spacing w:after="120" w:before="260"/>
      </w:pPr>
      <w:r>
        <w:rPr>
          <w:rFonts w:ascii="Calibri" w:cs="Calibri" w:eastAsia="Calibri" w:hAnsi="Calibri"/>
          <w:b/>
          <w:bCs/>
          <w:color w:val="0F6B72"/>
          <w:sz w:val="22"/>
          <w:szCs w:val="22"/>
        </w:rPr>
        <w:t xml:space="preserve">7.7.2 Category-wise Breakdown &amp; Trends</w:t>
      </w:r>
    </w:p>
    <w:p>
      <w:pPr>
        <w:spacing w:after="160" w:line="276"/>
      </w:pPr>
      <w:r>
        <w:rPr>
          <w:rFonts w:ascii="Calibri" w:cs="Calibri" w:eastAsia="Calibri" w:hAnsi="Calibri"/>
          <w:b w:val="false"/>
          <w:bCs w:val="false"/>
          <w:i w:val="false"/>
          <w:iCs w:val="false"/>
          <w:color w:val="222222"/>
          <w:sz w:val="21"/>
          <w:szCs w:val="21"/>
        </w:rPr>
        <w:t xml:space="preserve">The user can drill into any Nest Egg component to see a monthly trend chart and category-wise breakdown, e.g., a bar chart of monthly remittance amounts over the last 12 months, or a pie chart of bill spend by utility category. This view is designed to help the user understand their own spending and saving pattern over time, not just a single snapshot.</w:t>
      </w:r>
    </w:p>
    <w:p>
      <w:pPr>
        <w:pStyle w:val="Heading3"/>
        <w:spacing w:after="120" w:before="260"/>
      </w:pPr>
      <w:r>
        <w:rPr>
          <w:rFonts w:ascii="Calibri" w:cs="Calibri" w:eastAsia="Calibri" w:hAnsi="Calibri"/>
          <w:b/>
          <w:bCs/>
          <w:color w:val="0F6B72"/>
          <w:sz w:val="22"/>
          <w:szCs w:val="22"/>
        </w:rPr>
        <w:t xml:space="preserve">7.7.3 Goal Setting</w:t>
      </w:r>
    </w:p>
    <w:p>
      <w:pPr>
        <w:spacing w:after="60" w:before="200"/>
      </w:pPr>
      <w:r>
        <w:rPr>
          <w:rFonts w:ascii="Calibri" w:cs="Calibri" w:eastAsia="Calibri" w:hAnsi="Calibri"/>
          <w:b/>
          <w:bCs/>
          <w:color w:val="1F3864"/>
          <w:sz w:val="21"/>
          <w:szCs w:val="21"/>
        </w:rPr>
        <w:t xml:space="preserve">Set a Nest Egg Goal</w:t>
      </w:r>
      <w:r>
        <w:rPr>
          <w:rFonts w:ascii="Calibri" w:cs="Calibri" w:eastAsia="Calibri" w:hAnsi="Calibri"/>
          <w:b/>
          <w:bCs/>
          <w:color w:val="0F6B72"/>
          <w:sz w:val="18"/>
          <w:szCs w:val="18"/>
        </w:rPr>
        <w:t xml:space="preserve">  [RN-BPID-070]</w:t>
      </w:r>
    </w:p>
    <w:p>
      <w:pPr>
        <w:pStyle w:val="ListParagraph"/>
        <w:numPr>
          <w:ilvl w:val="0"/>
          <w:numId w:val="4"/>
        </w:numPr>
        <w:spacing w:after="60" w:line="260"/>
        <w:ind w:left="360"/>
      </w:pPr>
      <w:r>
        <w:rPr>
          <w:rFonts w:ascii="Calibri" w:cs="Calibri" w:eastAsia="Calibri" w:hAnsi="Calibri"/>
          <w:color w:val="333333"/>
          <w:sz w:val="20"/>
          <w:szCs w:val="20"/>
        </w:rPr>
        <w:t xml:space="preserve">The user selects "Set a Goal" from the Nest Egg dashboard.</w:t>
      </w:r>
    </w:p>
    <w:p>
      <w:pPr>
        <w:pStyle w:val="ListParagraph"/>
        <w:numPr>
          <w:ilvl w:val="0"/>
          <w:numId w:val="4"/>
        </w:numPr>
        <w:spacing w:after="60" w:line="260"/>
        <w:ind w:left="360"/>
      </w:pPr>
      <w:r>
        <w:rPr>
          <w:rFonts w:ascii="Calibri" w:cs="Calibri" w:eastAsia="Calibri" w:hAnsi="Calibri"/>
          <w:color w:val="333333"/>
          <w:sz w:val="20"/>
          <w:szCs w:val="20"/>
        </w:rPr>
        <w:t xml:space="preserve">The user enters a target Nest Egg amount (in BDT) and a target date, optionally aligned to a planned return-to-Bangladesh date.</w:t>
      </w:r>
    </w:p>
    <w:p>
      <w:pPr>
        <w:pStyle w:val="ListParagraph"/>
        <w:numPr>
          <w:ilvl w:val="0"/>
          <w:numId w:val="4"/>
        </w:numPr>
        <w:spacing w:after="60" w:line="260"/>
        <w:ind w:left="360"/>
      </w:pPr>
      <w:r>
        <w:rPr>
          <w:rFonts w:ascii="Calibri" w:cs="Calibri" w:eastAsia="Calibri" w:hAnsi="Calibri"/>
          <w:color w:val="333333"/>
          <w:sz w:val="20"/>
          <w:szCs w:val="20"/>
        </w:rPr>
        <w:t xml:space="preserve">The system calculates the recommended monthly savings/DPS contribution required to reach the goal by the target date, given the user's current trajectory.</w:t>
      </w:r>
    </w:p>
    <w:p>
      <w:pPr>
        <w:pStyle w:val="ListParagraph"/>
        <w:numPr>
          <w:ilvl w:val="0"/>
          <w:numId w:val="4"/>
        </w:numPr>
        <w:spacing w:after="60" w:line="260"/>
        <w:ind w:left="360"/>
      </w:pPr>
      <w:r>
        <w:rPr>
          <w:rFonts w:ascii="Calibri" w:cs="Calibri" w:eastAsia="Calibri" w:hAnsi="Calibri"/>
          <w:color w:val="333333"/>
          <w:sz w:val="20"/>
          <w:szCs w:val="20"/>
        </w:rPr>
        <w:t xml:space="preserve">The dashboard displays ongoing progress against the goal (percentage complete, on-track / behind-schedule indicator) and allows the user to adjust the goal or their contribution at any time.</w:t>
      </w:r>
    </w:p>
    <w:p>
      <w:pPr>
        <w:pStyle w:val="Heading3"/>
        <w:spacing w:after="120" w:before="260"/>
      </w:pPr>
      <w:r>
        <w:rPr>
          <w:rFonts w:ascii="Calibri" w:cs="Calibri" w:eastAsia="Calibri" w:hAnsi="Calibri"/>
          <w:b/>
          <w:bCs/>
          <w:color w:val="0F6B72"/>
          <w:sz w:val="22"/>
          <w:szCs w:val="22"/>
        </w:rPr>
        <w:t xml:space="preserve">7.7.4 Family Financial Health Snapshot</w:t>
      </w:r>
    </w:p>
    <w:p>
      <w:pPr>
        <w:spacing w:after="160" w:line="276"/>
      </w:pPr>
      <w:r>
        <w:rPr>
          <w:rFonts w:ascii="Calibri" w:cs="Calibri" w:eastAsia="Calibri" w:hAnsi="Calibri"/>
          <w:b w:val="false"/>
          <w:bCs w:val="false"/>
          <w:i w:val="false"/>
          <w:iCs w:val="false"/>
          <w:color w:val="222222"/>
          <w:sz w:val="21"/>
          <w:szCs w:val="21"/>
        </w:rPr>
        <w:t xml:space="preserve">A compact card on the dashboard shows whether the family home's recurring bills are currently up to date or overdue, giving the Remitter peace of mind between visits home without needing to check each biller individually.</w:t>
      </w:r>
    </w:p>
    <w:p>
      <w:pPr>
        <w:pStyle w:val="Heading3"/>
        <w:spacing w:after="120" w:before="260"/>
      </w:pPr>
      <w:r>
        <w:rPr>
          <w:rFonts w:ascii="Calibri" w:cs="Calibri" w:eastAsia="Calibri" w:hAnsi="Calibri"/>
          <w:b/>
          <w:bCs/>
          <w:color w:val="0F6B72"/>
          <w:sz w:val="22"/>
          <w:szCs w:val="22"/>
        </w:rPr>
        <w:t xml:space="preserve">7.7.5 Return Readiness Report</w:t>
      </w:r>
    </w:p>
    <w:p>
      <w:pPr>
        <w:spacing w:after="160" w:line="276"/>
      </w:pPr>
      <w:r>
        <w:rPr>
          <w:rFonts w:ascii="Calibri" w:cs="Calibri" w:eastAsia="Calibri" w:hAnsi="Calibri"/>
          <w:b w:val="false"/>
          <w:bCs w:val="false"/>
          <w:i w:val="false"/>
          <w:iCs w:val="false"/>
          <w:color w:val="222222"/>
          <w:sz w:val="21"/>
          <w:szCs w:val="21"/>
        </w:rPr>
        <w:t xml:space="preserve">The user can generate a Return Readiness Report at any time (not only at account closure): a single exportable PDF summarising their full Nest Egg position — total remitted, bills paid history, savings and DPS balances across all partner banks, and DPS maturity schedule — suitable for the user's own financial planning or to share with family in Bangladesh. This is a lightweight, on-demand version of the final consolidation report produced at account closure (see Module 12).</w:t>
      </w:r>
    </w:p>
    <w:p>
      <w:pPr>
        <w:pStyle w:val="Heading2"/>
        <w:spacing w:after="160" w:before="360"/>
      </w:pPr>
      <w:r>
        <w:rPr>
          <w:rFonts w:ascii="Calibri" w:cs="Calibri" w:eastAsia="Calibri" w:hAnsi="Calibri"/>
          <w:b/>
          <w:bCs/>
          <w:color w:val="1F3864"/>
          <w:sz w:val="26"/>
          <w:szCs w:val="26"/>
        </w:rPr>
        <w:t xml:space="preserve">7.8 Module 8 — Account Management</w:t>
      </w:r>
    </w:p>
    <w:p>
      <w:pPr>
        <w:spacing w:after="160" w:line="276"/>
      </w:pPr>
      <w:r>
        <w:rPr>
          <w:rFonts w:ascii="Calibri" w:cs="Calibri" w:eastAsia="Calibri" w:hAnsi="Calibri"/>
          <w:b w:val="false"/>
          <w:bCs w:val="false"/>
          <w:i w:val="false"/>
          <w:iCs w:val="false"/>
          <w:color w:val="222222"/>
          <w:sz w:val="21"/>
          <w:szCs w:val="21"/>
        </w:rPr>
        <w:t xml:space="preserve">Standard account-level settings and controls available to the customer at any time from the app's Account Management menu.</w:t>
      </w:r>
    </w:p>
    <w:tbl>
      <w:tblPr>
        <w:tblW w:type="dxa" w:w="100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400"/>
      </w:tblGrid>
      <w:tr>
        <w:trPr>
          <w:tblHeader/>
        </w:trPr>
        <w:tc>
          <w:tcPr>
            <w:tcW w:type="dxa" w:w="26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Feature</w:t>
            </w:r>
          </w:p>
        </w:tc>
        <w:tc>
          <w:tcPr>
            <w:tcW w:type="dxa" w:w="74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Description</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Change Passcode/PIN</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Change PIN with OTP step-up verification (RN-BPID-080).</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Change Registered Mobile Number</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Requires OTP verification of both the old and new number.</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Change Email Address</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Requires verification link/OTP sent to the new address.</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Update KYC Documents</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Upload a renewed NID/passport or work permit; triggers re-verification (Module 9).</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Change Address</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Update Malaysia residential address and/or Bangladesh permanent address.</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View Transaction History</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Unified view across remittance, bill payment, and savings/DPS contributions; filterable by date, type, and status; exportable to CSV/PDF.</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Transaction Limits</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View current daily/monthly limits and the applicable risk tier; guidance on requesting a limit increase.</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Notification Preferences</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Enable/disable push, SMS, and email channels per notification category.</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Language Preference</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Switch between Bengali, English, and Bahasa Malaysia at any time.</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Document Vault</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View all documents on file and their verification status.</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Privacy &amp; Data</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View RemmiNext's privacy policy and manage consent preferences per PDPA.</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Log Out</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Standard session log-out.</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Close Account</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Initiates the guided closure flow (see Module 12), distinct from the standard "Return-to-Bangladesh Journey" closure which additionally produces a consolidation report.</w:t>
            </w:r>
          </w:p>
        </w:tc>
      </w:tr>
    </w:tbl>
    <w:p>
      <w:pPr>
        <w:pStyle w:val="Heading3"/>
        <w:spacing w:after="120" w:before="260"/>
      </w:pPr>
      <w:r>
        <w:rPr>
          <w:rFonts w:ascii="Calibri" w:cs="Calibri" w:eastAsia="Calibri" w:hAnsi="Calibri"/>
          <w:b/>
          <w:bCs/>
          <w:color w:val="0F6B72"/>
          <w:sz w:val="22"/>
          <w:szCs w:val="22"/>
        </w:rPr>
        <w:t xml:space="preserve">7.8.1 Account Recovery (Lost Phone / Access)</w:t>
      </w:r>
    </w:p>
    <w:p>
      <w:pPr>
        <w:spacing w:after="60" w:before="200"/>
      </w:pPr>
      <w:r>
        <w:rPr>
          <w:rFonts w:ascii="Calibri" w:cs="Calibri" w:eastAsia="Calibri" w:hAnsi="Calibri"/>
          <w:b/>
          <w:bCs/>
          <w:color w:val="1F3864"/>
          <w:sz w:val="21"/>
          <w:szCs w:val="21"/>
        </w:rPr>
        <w:t xml:space="preserve">Recover Account Access</w:t>
      </w:r>
      <w:r>
        <w:rPr>
          <w:rFonts w:ascii="Calibri" w:cs="Calibri" w:eastAsia="Calibri" w:hAnsi="Calibri"/>
          <w:b/>
          <w:bCs/>
          <w:color w:val="0F6B72"/>
          <w:sz w:val="18"/>
          <w:szCs w:val="18"/>
        </w:rPr>
        <w:t xml:space="preserve">  [RN-BPID-081]</w:t>
      </w:r>
    </w:p>
    <w:p>
      <w:pPr>
        <w:pStyle w:val="ListParagraph"/>
        <w:numPr>
          <w:ilvl w:val="0"/>
          <w:numId w:val="4"/>
        </w:numPr>
        <w:spacing w:after="60" w:line="260"/>
        <w:ind w:left="360"/>
      </w:pPr>
      <w:r>
        <w:rPr>
          <w:rFonts w:ascii="Calibri" w:cs="Calibri" w:eastAsia="Calibri" w:hAnsi="Calibri"/>
          <w:color w:val="333333"/>
          <w:sz w:val="20"/>
          <w:szCs w:val="20"/>
        </w:rPr>
        <w:t xml:space="preserve">The user installs RemmiNext on a new device and selects "Recover Account".</w:t>
      </w:r>
    </w:p>
    <w:p>
      <w:pPr>
        <w:pStyle w:val="ListParagraph"/>
        <w:numPr>
          <w:ilvl w:val="0"/>
          <w:numId w:val="4"/>
        </w:numPr>
        <w:spacing w:after="60" w:line="260"/>
        <w:ind w:left="360"/>
      </w:pPr>
      <w:r>
        <w:rPr>
          <w:rFonts w:ascii="Calibri" w:cs="Calibri" w:eastAsia="Calibri" w:hAnsi="Calibri"/>
          <w:color w:val="333333"/>
          <w:sz w:val="20"/>
          <w:szCs w:val="20"/>
        </w:rPr>
        <w:t xml:space="preserve">The user enters their registered mobile number and receives an OTP.</w:t>
      </w:r>
    </w:p>
    <w:p>
      <w:pPr>
        <w:pStyle w:val="ListParagraph"/>
        <w:numPr>
          <w:ilvl w:val="0"/>
          <w:numId w:val="4"/>
        </w:numPr>
        <w:spacing w:after="60" w:line="260"/>
        <w:ind w:left="360"/>
      </w:pPr>
      <w:r>
        <w:rPr>
          <w:rFonts w:ascii="Calibri" w:cs="Calibri" w:eastAsia="Calibri" w:hAnsi="Calibri"/>
          <w:color w:val="333333"/>
          <w:sz w:val="20"/>
          <w:szCs w:val="20"/>
        </w:rPr>
        <w:t xml:space="preserve">The user completes a liveliness selfie check matched against their identity document on file.</w:t>
      </w:r>
    </w:p>
    <w:p>
      <w:pPr>
        <w:pStyle w:val="ListParagraph"/>
        <w:numPr>
          <w:ilvl w:val="0"/>
          <w:numId w:val="4"/>
        </w:numPr>
        <w:spacing w:after="60" w:line="260"/>
        <w:ind w:left="360"/>
      </w:pPr>
      <w:r>
        <w:rPr>
          <w:rFonts w:ascii="Calibri" w:cs="Calibri" w:eastAsia="Calibri" w:hAnsi="Calibri"/>
          <w:color w:val="333333"/>
          <w:sz w:val="20"/>
          <w:szCs w:val="20"/>
        </w:rPr>
        <w:t xml:space="preserve">If the automated match is successful, the user sets a new PIN and regains access; if the automated match fails or the mobile number itself is no longer accessible, the request is routed to manual customer support verification before access is restored.</w:t>
      </w:r>
    </w:p>
    <w:p>
      <w:pPr>
        <w:pStyle w:val="ListParagraph"/>
        <w:numPr>
          <w:ilvl w:val="0"/>
          <w:numId w:val="4"/>
        </w:numPr>
        <w:spacing w:after="60" w:line="260"/>
        <w:ind w:left="360"/>
      </w:pPr>
      <w:r>
        <w:rPr>
          <w:rFonts w:ascii="Calibri" w:cs="Calibri" w:eastAsia="Calibri" w:hAnsi="Calibri"/>
          <w:color w:val="333333"/>
          <w:sz w:val="20"/>
          <w:szCs w:val="20"/>
        </w:rPr>
        <w:t xml:space="preserve">All active sessions on other devices are invalidated once access is restored on the new device.</w:t>
      </w:r>
    </w:p>
    <w:p>
      <w:pPr>
        <w:pStyle w:val="Heading2"/>
        <w:spacing w:after="160" w:before="360"/>
      </w:pPr>
      <w:r>
        <w:rPr>
          <w:rFonts w:ascii="Calibri" w:cs="Calibri" w:eastAsia="Calibri" w:hAnsi="Calibri"/>
          <w:b/>
          <w:bCs/>
          <w:color w:val="1F3864"/>
          <w:sz w:val="26"/>
          <w:szCs w:val="26"/>
        </w:rPr>
        <w:t xml:space="preserve">7.9 Module 9 — Compliance &amp; Risk Management</w:t>
      </w:r>
    </w:p>
    <w:p>
      <w:pPr>
        <w:spacing w:after="160" w:line="276"/>
      </w:pPr>
      <w:r>
        <w:rPr>
          <w:rFonts w:ascii="Calibri" w:cs="Calibri" w:eastAsia="Calibri" w:hAnsi="Calibri"/>
          <w:b w:val="false"/>
          <w:bCs w:val="false"/>
          <w:i w:val="false"/>
          <w:iCs w:val="false"/>
          <w:color w:val="222222"/>
          <w:sz w:val="21"/>
          <w:szCs w:val="21"/>
        </w:rPr>
        <w:t xml:space="preserve">This module is used primarily by RemmiNext compliance staff via the Ops Console, and underpins every customer-facing flow described above. Given RemmiNext's dual-jurisdiction exposure (Section 5), compliance requirements are treated as first-class functional requirements, not an afterthought.</w:t>
      </w:r>
    </w:p>
    <w:p>
      <w:pPr>
        <w:pStyle w:val="Heading3"/>
        <w:spacing w:after="120" w:before="260"/>
      </w:pPr>
      <w:r>
        <w:rPr>
          <w:rFonts w:ascii="Calibri" w:cs="Calibri" w:eastAsia="Calibri" w:hAnsi="Calibri"/>
          <w:b/>
          <w:bCs/>
          <w:color w:val="0F6B72"/>
          <w:sz w:val="22"/>
          <w:szCs w:val="22"/>
        </w:rPr>
        <w:t xml:space="preserve">7.9.1 Identity Verification (eKYC)</w:t>
      </w:r>
    </w:p>
    <w:p>
      <w:pPr>
        <w:spacing w:after="60" w:before="200"/>
      </w:pPr>
      <w:r>
        <w:rPr>
          <w:rFonts w:ascii="Calibri" w:cs="Calibri" w:eastAsia="Calibri" w:hAnsi="Calibri"/>
          <w:b/>
          <w:bCs/>
          <w:color w:val="1F3864"/>
          <w:sz w:val="21"/>
          <w:szCs w:val="21"/>
        </w:rPr>
        <w:t xml:space="preserve">Individual Customer Identity Verification</w:t>
      </w:r>
      <w:r>
        <w:rPr>
          <w:rFonts w:ascii="Calibri" w:cs="Calibri" w:eastAsia="Calibri" w:hAnsi="Calibri"/>
          <w:b/>
          <w:bCs/>
          <w:color w:val="0F6B72"/>
          <w:sz w:val="18"/>
          <w:szCs w:val="18"/>
        </w:rPr>
        <w:t xml:space="preserve">  [RN-BPID-100]</w:t>
      </w:r>
    </w:p>
    <w:p>
      <w:pPr>
        <w:pStyle w:val="ListParagraph"/>
        <w:numPr>
          <w:ilvl w:val="0"/>
          <w:numId w:val="4"/>
        </w:numPr>
        <w:spacing w:after="60" w:line="260"/>
        <w:ind w:left="360"/>
      </w:pPr>
      <w:r>
        <w:rPr>
          <w:rFonts w:ascii="Calibri" w:cs="Calibri" w:eastAsia="Calibri" w:hAnsi="Calibri"/>
          <w:color w:val="333333"/>
          <w:sz w:val="20"/>
          <w:szCs w:val="20"/>
        </w:rPr>
        <w:t xml:space="preserve">The compliance officer (or the automated engine, for straight-through cases) initiates identity verification during onboarding.</w:t>
      </w:r>
    </w:p>
    <w:p>
      <w:pPr>
        <w:pStyle w:val="ListParagraph"/>
        <w:numPr>
          <w:ilvl w:val="0"/>
          <w:numId w:val="4"/>
        </w:numPr>
        <w:spacing w:after="60" w:line="260"/>
        <w:ind w:left="360"/>
      </w:pPr>
      <w:r>
        <w:rPr>
          <w:rFonts w:ascii="Calibri" w:cs="Calibri" w:eastAsia="Calibri" w:hAnsi="Calibri"/>
          <w:color w:val="333333"/>
          <w:sz w:val="20"/>
          <w:szCs w:val="20"/>
        </w:rPr>
        <w:t xml:space="preserve">The system collects and securely stores the customer's Bangladeshi NID/passport and Malaysian work permit.</w:t>
      </w:r>
    </w:p>
    <w:p>
      <w:pPr>
        <w:pStyle w:val="ListParagraph"/>
        <w:numPr>
          <w:ilvl w:val="0"/>
          <w:numId w:val="4"/>
        </w:numPr>
        <w:spacing w:after="60" w:line="260"/>
        <w:ind w:left="360"/>
      </w:pPr>
      <w:r>
        <w:rPr>
          <w:rFonts w:ascii="Calibri" w:cs="Calibri" w:eastAsia="Calibri" w:hAnsi="Calibri"/>
          <w:color w:val="333333"/>
          <w:sz w:val="20"/>
          <w:szCs w:val="20"/>
        </w:rPr>
        <w:t xml:space="preserve">The system performs document validation: checks the document is genuine, unaltered, current (not expired), and internally consistent (e.g., name matches across documents).</w:t>
      </w:r>
    </w:p>
    <w:p>
      <w:pPr>
        <w:pStyle w:val="ListParagraph"/>
        <w:numPr>
          <w:ilvl w:val="0"/>
          <w:numId w:val="4"/>
        </w:numPr>
        <w:spacing w:after="60" w:line="260"/>
        <w:ind w:left="360"/>
      </w:pPr>
      <w:r>
        <w:rPr>
          <w:rFonts w:ascii="Calibri" w:cs="Calibri" w:eastAsia="Calibri" w:hAnsi="Calibri"/>
          <w:color w:val="333333"/>
          <w:sz w:val="20"/>
          <w:szCs w:val="20"/>
        </w:rPr>
        <w:t xml:space="preserve">The system cross-references extracted data against the Bangladesh NID verification service where available, and against the Malaysian Immigration/employer verification data where available.</w:t>
      </w:r>
    </w:p>
    <w:p>
      <w:pPr>
        <w:pStyle w:val="ListParagraph"/>
        <w:numPr>
          <w:ilvl w:val="0"/>
          <w:numId w:val="4"/>
        </w:numPr>
        <w:spacing w:after="60" w:line="260"/>
        <w:ind w:left="360"/>
      </w:pPr>
      <w:r>
        <w:rPr>
          <w:rFonts w:ascii="Calibri" w:cs="Calibri" w:eastAsia="Calibri" w:hAnsi="Calibri"/>
          <w:color w:val="333333"/>
          <w:sz w:val="20"/>
          <w:szCs w:val="20"/>
        </w:rPr>
        <w:t xml:space="preserve">If validation passes and no screening hits are found, the system auto-approves the identity; otherwise, the case is referred to a compliance officer for manual review.</w:t>
      </w:r>
    </w:p>
    <w:p>
      <w:pPr>
        <w:pStyle w:val="Heading3"/>
        <w:spacing w:after="120" w:before="260"/>
      </w:pPr>
      <w:r>
        <w:rPr>
          <w:rFonts w:ascii="Calibri" w:cs="Calibri" w:eastAsia="Calibri" w:hAnsi="Calibri"/>
          <w:b/>
          <w:bCs/>
          <w:color w:val="0F6B72"/>
          <w:sz w:val="22"/>
          <w:szCs w:val="22"/>
        </w:rPr>
        <w:t xml:space="preserve">7.9.2 Selfie &amp; Liveliness Check</w:t>
      </w:r>
    </w:p>
    <w:p>
      <w:pPr>
        <w:spacing w:after="160" w:line="276"/>
      </w:pPr>
      <w:r>
        <w:rPr>
          <w:rFonts w:ascii="Calibri" w:cs="Calibri" w:eastAsia="Calibri" w:hAnsi="Calibri"/>
          <w:b w:val="false"/>
          <w:bCs w:val="false"/>
          <w:i w:val="false"/>
          <w:iCs w:val="false"/>
          <w:color w:val="222222"/>
          <w:sz w:val="21"/>
          <w:szCs w:val="21"/>
        </w:rPr>
        <w:t xml:space="preserve">During onboarding, PIN reset, and account recovery, the customer captures a live selfie. The system performs liveliness detection (to rule out photos, screens, or masks) and matches the selfie against the identity document photo. Discrepancies or liveliness failures are routed to manual review. Periodic re-checks may be triggered for high-risk customers or after prolonged inactivity.</w:t>
      </w:r>
    </w:p>
    <w:p>
      <w:pPr>
        <w:pStyle w:val="Heading3"/>
        <w:spacing w:after="120" w:before="260"/>
      </w:pPr>
      <w:r>
        <w:rPr>
          <w:rFonts w:ascii="Calibri" w:cs="Calibri" w:eastAsia="Calibri" w:hAnsi="Calibri"/>
          <w:b/>
          <w:bCs/>
          <w:color w:val="0F6B72"/>
          <w:sz w:val="22"/>
          <w:szCs w:val="22"/>
        </w:rPr>
        <w:t xml:space="preserve">7.9.3 Sanctions &amp; PEP Screening</w:t>
      </w:r>
    </w:p>
    <w:p>
      <w:pPr>
        <w:pStyle w:val="ListParagraph"/>
        <w:numPr>
          <w:ilvl w:val="0"/>
          <w:numId w:val="2"/>
        </w:numPr>
        <w:spacing w:after="80" w:line="264"/>
      </w:pPr>
      <w:r>
        <w:rPr>
          <w:rFonts w:ascii="Calibri" w:cs="Calibri" w:eastAsia="Calibri" w:hAnsi="Calibri"/>
          <w:sz w:val="21"/>
          <w:szCs w:val="21"/>
        </w:rPr>
        <w:t xml:space="preserve">Sender screening: every customer is screened at onboarding and on an ongoing/periodic basis against international sanctions lists (UN, OFAC, EU) and Malaysia-specific lists maintained under BNM/AMLA guidance.</w:t>
      </w:r>
    </w:p>
    <w:p>
      <w:pPr>
        <w:pStyle w:val="ListParagraph"/>
        <w:numPr>
          <w:ilvl w:val="0"/>
          <w:numId w:val="2"/>
        </w:numPr>
        <w:spacing w:after="80" w:line="264"/>
      </w:pPr>
      <w:r>
        <w:rPr>
          <w:rFonts w:ascii="Calibri" w:cs="Calibri" w:eastAsia="Calibri" w:hAnsi="Calibri"/>
          <w:sz w:val="21"/>
          <w:szCs w:val="21"/>
        </w:rPr>
        <w:t xml:space="preserve">Beneficiary/biller screening: every new beneficiary and biller is screened against the same international lists plus Bangladesh-specific lists, before being saved as active and before every transaction to that beneficiary/biller.</w:t>
      </w:r>
    </w:p>
    <w:p>
      <w:pPr>
        <w:pStyle w:val="ListParagraph"/>
        <w:numPr>
          <w:ilvl w:val="0"/>
          <w:numId w:val="2"/>
        </w:numPr>
        <w:spacing w:after="80" w:line="264"/>
      </w:pPr>
      <w:r>
        <w:rPr>
          <w:rFonts w:ascii="Calibri" w:cs="Calibri" w:eastAsia="Calibri" w:hAnsi="Calibri"/>
          <w:sz w:val="21"/>
          <w:szCs w:val="21"/>
        </w:rPr>
        <w:t xml:space="preserve">Any match is held for manual review by a compliance officer; the underlying transaction (if any) is placed On Hold (Module 4) until cleared.</w:t>
      </w:r>
    </w:p>
    <w:p>
      <w:pPr>
        <w:pStyle w:val="ListParagraph"/>
        <w:numPr>
          <w:ilvl w:val="0"/>
          <w:numId w:val="2"/>
        </w:numPr>
        <w:spacing w:after="80" w:line="264"/>
      </w:pPr>
      <w:r>
        <w:rPr>
          <w:rFonts w:ascii="Calibri" w:cs="Calibri" w:eastAsia="Calibri" w:hAnsi="Calibri"/>
          <w:sz w:val="21"/>
          <w:szCs w:val="21"/>
        </w:rPr>
        <w:t xml:space="preserve">Screening lists are refreshed on a defined schedule (e.g., daily) and re-screening of the existing customer/beneficiary base is triggered automatically on list update.</w:t>
      </w:r>
    </w:p>
    <w:p>
      <w:pPr>
        <w:pStyle w:val="Heading3"/>
        <w:spacing w:after="120" w:before="260"/>
      </w:pPr>
      <w:r>
        <w:rPr>
          <w:rFonts w:ascii="Calibri" w:cs="Calibri" w:eastAsia="Calibri" w:hAnsi="Calibri"/>
          <w:b/>
          <w:bCs/>
          <w:color w:val="0F6B72"/>
          <w:sz w:val="22"/>
          <w:szCs w:val="22"/>
        </w:rPr>
        <w:t xml:space="preserve">7.9.4 Rule-Based Transaction Validation (TVR)</w:t>
      </w:r>
    </w:p>
    <w:p>
      <w:pPr>
        <w:spacing w:after="160" w:line="276"/>
      </w:pPr>
      <w:r>
        <w:rPr>
          <w:rFonts w:ascii="Calibri" w:cs="Calibri" w:eastAsia="Calibri" w:hAnsi="Calibri"/>
          <w:b w:val="false"/>
          <w:bCs w:val="false"/>
          <w:i w:val="false"/>
          <w:iCs w:val="false"/>
          <w:color w:val="222222"/>
          <w:sz w:val="21"/>
          <w:szCs w:val="21"/>
        </w:rPr>
        <w:t xml:space="preserve">Transaction Verification Rules are a configurable rule set (per corridor, product, and customer risk tier) evaluated in real time before a transaction is allowed to proceed — e.g., velocity checks, amount thresholds, first-time-beneficiary additional verification, and unusual pattern flags. TVR configuration lives in the Configuration module (7.1) so compliance can adjust rules without a code release.</w:t>
      </w:r>
    </w:p>
    <w:p>
      <w:pPr>
        <w:pStyle w:val="Heading3"/>
        <w:spacing w:after="120" w:before="260"/>
      </w:pPr>
      <w:r>
        <w:rPr>
          <w:rFonts w:ascii="Calibri" w:cs="Calibri" w:eastAsia="Calibri" w:hAnsi="Calibri"/>
          <w:b/>
          <w:bCs/>
          <w:color w:val="0F6B72"/>
          <w:sz w:val="22"/>
          <w:szCs w:val="22"/>
        </w:rPr>
        <w:t xml:space="preserve">7.9.5 Transaction Monitoring (TM)</w:t>
      </w:r>
    </w:p>
    <w:p>
      <w:pPr>
        <w:spacing w:after="160" w:line="276"/>
      </w:pPr>
      <w:r>
        <w:rPr>
          <w:rFonts w:ascii="Calibri" w:cs="Calibri" w:eastAsia="Calibri" w:hAnsi="Calibri"/>
          <w:b w:val="false"/>
          <w:bCs w:val="false"/>
          <w:i w:val="false"/>
          <w:iCs w:val="false"/>
          <w:color w:val="222222"/>
          <w:sz w:val="21"/>
          <w:szCs w:val="21"/>
        </w:rPr>
        <w:t xml:space="preserve">All completed and in-flight transactions are continuously monitored against configurable TM rules designed to detect structuring, rapid beneficiary switching, round-tripping, and other AML/CTF red flags across the remittance, bill payment, and savings/DPS transaction types. Alerts are queued in a Compliance Queue for investigation.</w:t>
      </w:r>
    </w:p>
    <w:p>
      <w:pPr>
        <w:pStyle w:val="Heading3"/>
        <w:spacing w:after="120" w:before="260"/>
      </w:pPr>
      <w:r>
        <w:rPr>
          <w:rFonts w:ascii="Calibri" w:cs="Calibri" w:eastAsia="Calibri" w:hAnsi="Calibri"/>
          <w:b/>
          <w:bCs/>
          <w:color w:val="0F6B72"/>
          <w:sz w:val="22"/>
          <w:szCs w:val="22"/>
        </w:rPr>
        <w:t xml:space="preserve">7.9.6 Customer Risk Assessment (CDD / EDD)</w:t>
      </w:r>
    </w:p>
    <w:p>
      <w:pPr>
        <w:spacing w:after="160" w:line="276"/>
      </w:pPr>
      <w:r>
        <w:rPr>
          <w:rFonts w:ascii="Calibri" w:cs="Calibri" w:eastAsia="Calibri" w:hAnsi="Calibri"/>
          <w:b w:val="false"/>
          <w:bCs w:val="false"/>
          <w:i w:val="false"/>
          <w:iCs w:val="false"/>
          <w:color w:val="222222"/>
          <w:sz w:val="21"/>
          <w:szCs w:val="21"/>
        </w:rPr>
        <w:t xml:space="preserve">Each customer is assigned a risk score at onboarding, based on factors including nationality/residency profile, transaction pattern, screening results, and declared source of funds. High-risk customers are subject to Enhanced Due Diligence (EDD): additional document requests, lower transaction limits pending review, and more frequent periodic re-screening. Risk scores are recalculated periodically and on trigger events (e.g., large or unusual transaction, address change, work permit lapse).</w:t>
      </w:r>
    </w:p>
    <w:p>
      <w:pPr>
        <w:pStyle w:val="Heading3"/>
        <w:spacing w:after="120" w:before="260"/>
      </w:pPr>
      <w:r>
        <w:rPr>
          <w:rFonts w:ascii="Calibri" w:cs="Calibri" w:eastAsia="Calibri" w:hAnsi="Calibri"/>
          <w:b/>
          <w:bCs/>
          <w:color w:val="0F6B72"/>
          <w:sz w:val="22"/>
          <w:szCs w:val="22"/>
        </w:rPr>
        <w:t xml:space="preserve">7.9.7 Regulatory Reporting</w:t>
      </w:r>
    </w:p>
    <w:p>
      <w:pPr>
        <w:pStyle w:val="ListParagraph"/>
        <w:numPr>
          <w:ilvl w:val="0"/>
          <w:numId w:val="2"/>
        </w:numPr>
        <w:spacing w:after="80" w:line="264"/>
      </w:pPr>
      <w:r>
        <w:rPr>
          <w:rFonts w:ascii="Calibri" w:cs="Calibri" w:eastAsia="Calibri" w:hAnsi="Calibri"/>
          <w:sz w:val="21"/>
          <w:szCs w:val="21"/>
        </w:rPr>
        <w:t xml:space="preserve">Malaysia: generation of reports required by BNM/AMLA, including Suspicious Transaction Reports (STR) and Cash Threshold Reports (CTR) as applicable to a licensed remittance business.</w:t>
      </w:r>
    </w:p>
    <w:p>
      <w:pPr>
        <w:pStyle w:val="ListParagraph"/>
        <w:numPr>
          <w:ilvl w:val="0"/>
          <w:numId w:val="2"/>
        </w:numPr>
        <w:spacing w:after="80" w:line="264"/>
      </w:pPr>
      <w:r>
        <w:rPr>
          <w:rFonts w:ascii="Calibri" w:cs="Calibri" w:eastAsia="Calibri" w:hAnsi="Calibri"/>
          <w:sz w:val="21"/>
          <w:szCs w:val="21"/>
        </w:rPr>
        <w:t xml:space="preserve">Bangladesh: support for payout partner banks' BFIU reporting obligations via data-sharing agreements and, where mandated, direct submission channels.</w:t>
      </w:r>
    </w:p>
    <w:p>
      <w:pPr>
        <w:pStyle w:val="ListParagraph"/>
        <w:numPr>
          <w:ilvl w:val="0"/>
          <w:numId w:val="2"/>
        </w:numPr>
        <w:spacing w:after="80" w:line="264"/>
      </w:pPr>
      <w:r>
        <w:rPr>
          <w:rFonts w:ascii="Calibri" w:cs="Calibri" w:eastAsia="Calibri" w:hAnsi="Calibri"/>
          <w:sz w:val="21"/>
          <w:szCs w:val="21"/>
        </w:rPr>
        <w:t xml:space="preserve">All regulatory reports are generated from the Ops Console, reviewed and approved by the MLRO before submission, and retained per statutory record-keeping periods in both jurisdictions.</w:t>
      </w:r>
    </w:p>
    <w:p>
      <w:pPr>
        <w:pStyle w:val="Heading3"/>
        <w:spacing w:after="120" w:before="260"/>
      </w:pPr>
      <w:r>
        <w:rPr>
          <w:rFonts w:ascii="Calibri" w:cs="Calibri" w:eastAsia="Calibri" w:hAnsi="Calibri"/>
          <w:b/>
          <w:bCs/>
          <w:color w:val="0F6B72"/>
          <w:sz w:val="22"/>
          <w:szCs w:val="22"/>
        </w:rPr>
        <w:t xml:space="preserve">7.9.8 Internal Suspicious Activity Reports (iSAR)</w:t>
      </w:r>
    </w:p>
    <w:p>
      <w:pPr>
        <w:spacing w:after="160" w:line="276"/>
      </w:pPr>
      <w:r>
        <w:rPr>
          <w:rFonts w:ascii="Calibri" w:cs="Calibri" w:eastAsia="Calibri" w:hAnsi="Calibri"/>
          <w:b w:val="false"/>
          <w:bCs w:val="false"/>
          <w:i w:val="false"/>
          <w:iCs w:val="false"/>
          <w:color w:val="222222"/>
          <w:sz w:val="21"/>
          <w:szCs w:val="21"/>
        </w:rPr>
        <w:t xml:space="preserve">Compliance officers can raise an internal SAR documenting suspicious activity, findings, and recommended action. iSARs are reviewed and approved by a supervisor/MLRO, with follow-up actions (e.g., account restriction, external SAR filing) tracked to closure.</w:t>
      </w:r>
    </w:p>
    <w:p>
      <w:pPr>
        <w:pStyle w:val="Heading3"/>
        <w:spacing w:after="120" w:before="260"/>
      </w:pPr>
      <w:r>
        <w:rPr>
          <w:rFonts w:ascii="Calibri" w:cs="Calibri" w:eastAsia="Calibri" w:hAnsi="Calibri"/>
          <w:b/>
          <w:bCs/>
          <w:color w:val="0F6B72"/>
          <w:sz w:val="22"/>
          <w:szCs w:val="22"/>
        </w:rPr>
        <w:t xml:space="preserve">7.9.9 Internal Blacklist &amp; NTDBW Library</w:t>
      </w:r>
    </w:p>
    <w:p>
      <w:pPr>
        <w:spacing w:after="160" w:line="276"/>
      </w:pPr>
      <w:r>
        <w:rPr>
          <w:rFonts w:ascii="Calibri" w:cs="Calibri" w:eastAsia="Calibri" w:hAnsi="Calibri"/>
          <w:b w:val="false"/>
          <w:bCs w:val="false"/>
          <w:i w:val="false"/>
          <w:iCs w:val="false"/>
          <w:color w:val="222222"/>
          <w:sz w:val="21"/>
          <w:szCs w:val="21"/>
        </w:rPr>
        <w:t xml:space="preserve">Compliance maintains an internal blacklist of high-risk customers/entities and a Not-To-Do-Business-With (NTDBW) library of entities or activity types RemmiNext will not process, independent of external sanctions lists. Both are checked at onboarding, beneficiary/biller creation, and transaction time.</w:t>
      </w:r>
    </w:p>
    <w:p>
      <w:pPr>
        <w:pStyle w:val="Heading3"/>
        <w:spacing w:after="120" w:before="260"/>
      </w:pPr>
      <w:r>
        <w:rPr>
          <w:rFonts w:ascii="Calibri" w:cs="Calibri" w:eastAsia="Calibri" w:hAnsi="Calibri"/>
          <w:b/>
          <w:bCs/>
          <w:color w:val="0F6B72"/>
          <w:sz w:val="22"/>
          <w:szCs w:val="22"/>
        </w:rPr>
        <w:t xml:space="preserve">7.9.10 Source of Funds / Employment Verification</w:t>
      </w:r>
    </w:p>
    <w:p>
      <w:pPr>
        <w:spacing w:after="160" w:line="276"/>
      </w:pPr>
      <w:r>
        <w:rPr>
          <w:rFonts w:ascii="Calibri" w:cs="Calibri" w:eastAsia="Calibri" w:hAnsi="Calibri"/>
          <w:b w:val="false"/>
          <w:bCs w:val="false"/>
          <w:i w:val="false"/>
          <w:iCs w:val="false"/>
          <w:color w:val="222222"/>
          <w:sz w:val="21"/>
          <w:szCs w:val="21"/>
        </w:rPr>
        <w:t xml:space="preserve">Given the target persona's income is Malaysia-employment-derived, the platform captures and, where risk-appropriate, verifies employer and income information at onboarding and on material change, supporting source-of-funds obligations under both Malaysian and Bangladeshi AML frameworks.</w:t>
      </w:r>
    </w:p>
    <w:p>
      <w:pPr>
        <w:pStyle w:val="Heading2"/>
        <w:spacing w:after="160" w:before="360"/>
      </w:pPr>
      <w:r>
        <w:rPr>
          <w:rFonts w:ascii="Calibri" w:cs="Calibri" w:eastAsia="Calibri" w:hAnsi="Calibri"/>
          <w:b/>
          <w:bCs/>
          <w:color w:val="1F3864"/>
          <w:sz w:val="26"/>
          <w:szCs w:val="26"/>
        </w:rPr>
        <w:t xml:space="preserve">7.10 Module 10 — Notifications &amp; Customer Support</w:t>
      </w:r>
    </w:p>
    <w:p>
      <w:pPr>
        <w:pStyle w:val="Heading3"/>
        <w:spacing w:after="120" w:before="260"/>
      </w:pPr>
      <w:r>
        <w:rPr>
          <w:rFonts w:ascii="Calibri" w:cs="Calibri" w:eastAsia="Calibri" w:hAnsi="Calibri"/>
          <w:b/>
          <w:bCs/>
          <w:color w:val="0F6B72"/>
          <w:sz w:val="22"/>
          <w:szCs w:val="22"/>
        </w:rPr>
        <w:t xml:space="preserve">7.10.1 Notification Categories</w:t>
      </w:r>
    </w:p>
    <w:tbl>
      <w:tblPr>
        <w:tblW w:type="dxa" w:w="1000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2000"/>
        <w:gridCol w:w="5800"/>
      </w:tblGrid>
      <w:tr>
        <w:trPr>
          <w:tblHeader/>
        </w:trPr>
        <w:tc>
          <w:tcPr>
            <w:tcW w:type="dxa" w:w="22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Category</w:t>
            </w:r>
          </w:p>
        </w:tc>
        <w:tc>
          <w:tcPr>
            <w:tcW w:type="dxa" w:w="20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Channel(s)</w:t>
            </w:r>
          </w:p>
        </w:tc>
        <w:tc>
          <w:tcPr>
            <w:tcW w:type="dxa" w:w="58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Example</w:t>
            </w:r>
          </w:p>
        </w:tc>
      </w:tr>
      <w:tr>
        <w:tc>
          <w:tcPr>
            <w:tcW w:type="dxa" w:w="2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Security</w:t>
            </w:r>
          </w:p>
        </w:tc>
        <w:tc>
          <w:tcPr>
            <w:tcW w:type="dxa" w:w="20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SMS + Push</w:t>
            </w:r>
          </w:p>
        </w:tc>
        <w:tc>
          <w:tcPr>
            <w:tcW w:type="dxa" w:w="58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OTP codes, new device login, PIN change</w:t>
            </w:r>
          </w:p>
        </w:tc>
      </w:tr>
      <w:tr>
        <w:tc>
          <w:tcPr>
            <w:tcW w:type="dxa" w:w="2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Transaction status</w:t>
            </w:r>
          </w:p>
        </w:tc>
        <w:tc>
          <w:tcPr>
            <w:tcW w:type="dxa" w:w="20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Push + Email</w:t>
            </w:r>
          </w:p>
        </w:tc>
        <w:tc>
          <w:tcPr>
            <w:tcW w:type="dxa" w:w="58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Remittance sent, payout confirmed, bill paid, DPS contribution processed</w:t>
            </w:r>
          </w:p>
        </w:tc>
      </w:tr>
      <w:tr>
        <w:tc>
          <w:tcPr>
            <w:tcW w:type="dxa" w:w="2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Reminders</w:t>
            </w:r>
          </w:p>
        </w:tc>
        <w:tc>
          <w:tcPr>
            <w:tcW w:type="dxa" w:w="20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Push + SMS</w:t>
            </w:r>
          </w:p>
        </w:tc>
        <w:tc>
          <w:tcPr>
            <w:tcW w:type="dxa" w:w="58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Upcoming recurring bill/DPS due, insufficient funds warning before a scheduled instruction runs</w:t>
            </w:r>
          </w:p>
        </w:tc>
      </w:tr>
      <w:tr>
        <w:tc>
          <w:tcPr>
            <w:tcW w:type="dxa" w:w="2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Compliance / KYC</w:t>
            </w:r>
          </w:p>
        </w:tc>
        <w:tc>
          <w:tcPr>
            <w:tcW w:type="dxa" w:w="20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Push + Email</w:t>
            </w:r>
          </w:p>
        </w:tc>
        <w:tc>
          <w:tcPr>
            <w:tcW w:type="dxa" w:w="58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Document expiring soon, additional verification required</w:t>
            </w:r>
          </w:p>
        </w:tc>
      </w:tr>
      <w:tr>
        <w:tc>
          <w:tcPr>
            <w:tcW w:type="dxa" w:w="2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Nest Egg / goals</w:t>
            </w:r>
          </w:p>
        </w:tc>
        <w:tc>
          <w:tcPr>
            <w:tcW w:type="dxa" w:w="20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Push</w:t>
            </w:r>
          </w:p>
        </w:tc>
        <w:tc>
          <w:tcPr>
            <w:tcW w:type="dxa" w:w="58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Monthly Nest Egg summary, goal milestone reached</w:t>
            </w:r>
          </w:p>
        </w:tc>
      </w:tr>
      <w:tr>
        <w:tc>
          <w:tcPr>
            <w:tcW w:type="dxa" w:w="2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Promotional (opt-in only)</w:t>
            </w:r>
          </w:p>
        </w:tc>
        <w:tc>
          <w:tcPr>
            <w:tcW w:type="dxa" w:w="20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Push + Email</w:t>
            </w:r>
          </w:p>
        </w:tc>
        <w:tc>
          <w:tcPr>
            <w:tcW w:type="dxa" w:w="58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New payout partner, improved FX rate window, referral programme</w:t>
            </w:r>
          </w:p>
        </w:tc>
      </w:tr>
    </w:tbl>
    <w:p>
      <w:pPr>
        <w:spacing w:after="160" w:line="276"/>
      </w:pPr>
      <w:r>
        <w:rPr>
          <w:rFonts w:ascii="Calibri" w:cs="Calibri" w:eastAsia="Calibri" w:hAnsi="Calibri"/>
          <w:b w:val="false"/>
          <w:bCs w:val="false"/>
          <w:i w:val="false"/>
          <w:iCs w:val="false"/>
          <w:color w:val="222222"/>
          <w:sz w:val="21"/>
          <w:szCs w:val="21"/>
        </w:rPr>
        <w:t xml:space="preserve">Users can manage channel preferences per category from Account Management (7.8), except for security notifications, which cannot be disabled.</w:t>
      </w:r>
    </w:p>
    <w:p>
      <w:pPr>
        <w:pStyle w:val="Heading3"/>
        <w:spacing w:after="120" w:before="260"/>
      </w:pPr>
      <w:r>
        <w:rPr>
          <w:rFonts w:ascii="Calibri" w:cs="Calibri" w:eastAsia="Calibri" w:hAnsi="Calibri"/>
          <w:b/>
          <w:bCs/>
          <w:color w:val="0F6B72"/>
          <w:sz w:val="22"/>
          <w:szCs w:val="22"/>
        </w:rPr>
        <w:t xml:space="preserve">7.10.2 In-App Customer Support</w:t>
      </w:r>
    </w:p>
    <w:p>
      <w:pPr>
        <w:pStyle w:val="ListParagraph"/>
        <w:numPr>
          <w:ilvl w:val="0"/>
          <w:numId w:val="2"/>
        </w:numPr>
        <w:spacing w:after="80" w:line="264"/>
      </w:pPr>
      <w:r>
        <w:rPr>
          <w:rFonts w:ascii="Calibri" w:cs="Calibri" w:eastAsia="Calibri" w:hAnsi="Calibri"/>
          <w:sz w:val="21"/>
          <w:szCs w:val="21"/>
        </w:rPr>
        <w:t xml:space="preserve">In-app support inbox integrated with a customer support ticketing platform, allowing the user to raise a query or issue directly against a specific transaction.</w:t>
      </w:r>
    </w:p>
    <w:p>
      <w:pPr>
        <w:pStyle w:val="ListParagraph"/>
        <w:numPr>
          <w:ilvl w:val="0"/>
          <w:numId w:val="2"/>
        </w:numPr>
        <w:spacing w:after="80" w:line="264"/>
      </w:pPr>
      <w:r>
        <w:rPr>
          <w:rFonts w:ascii="Calibri" w:cs="Calibri" w:eastAsia="Calibri" w:hAnsi="Calibri"/>
          <w:sz w:val="21"/>
          <w:szCs w:val="21"/>
        </w:rPr>
        <w:t xml:space="preserve">FAQ / Help Centre covering common topics: how remittance pricing works, payout timelines, KYC requirements, bill payment troubleshooting, and DPS basics — available in Bengali, English, and Bahasa Malaysia.</w:t>
      </w:r>
    </w:p>
    <w:p>
      <w:pPr>
        <w:pStyle w:val="ListParagraph"/>
        <w:numPr>
          <w:ilvl w:val="0"/>
          <w:numId w:val="2"/>
        </w:numPr>
        <w:spacing w:after="80" w:line="264"/>
      </w:pPr>
      <w:r>
        <w:rPr>
          <w:rFonts w:ascii="Calibri" w:cs="Calibri" w:eastAsia="Calibri" w:hAnsi="Calibri"/>
          <w:sz w:val="21"/>
          <w:szCs w:val="21"/>
        </w:rPr>
        <w:t xml:space="preserve">A visible support contact channel (in-app chat, and a Malaysia-based support phone line) appropriate for a user base that may have limited digital literacy.</w:t>
      </w:r>
    </w:p>
    <w:p>
      <w:pPr>
        <w:pStyle w:val="Heading3"/>
        <w:spacing w:after="120" w:before="260"/>
      </w:pPr>
      <w:r>
        <w:rPr>
          <w:rFonts w:ascii="Calibri" w:cs="Calibri" w:eastAsia="Calibri" w:hAnsi="Calibri"/>
          <w:b/>
          <w:bCs/>
          <w:color w:val="0F6B72"/>
          <w:sz w:val="22"/>
          <w:szCs w:val="22"/>
        </w:rPr>
        <w:t xml:space="preserve">7.10.3 Complaint &amp; Dispute Management</w:t>
      </w:r>
    </w:p>
    <w:p>
      <w:pPr>
        <w:spacing w:after="60" w:before="200"/>
      </w:pPr>
      <w:r>
        <w:rPr>
          <w:rFonts w:ascii="Calibri" w:cs="Calibri" w:eastAsia="Calibri" w:hAnsi="Calibri"/>
          <w:b/>
          <w:bCs/>
          <w:color w:val="1F3864"/>
          <w:sz w:val="21"/>
          <w:szCs w:val="21"/>
        </w:rPr>
        <w:t xml:space="preserve">Raise and Track a Complaint</w:t>
      </w:r>
      <w:r>
        <w:rPr>
          <w:rFonts w:ascii="Calibri" w:cs="Calibri" w:eastAsia="Calibri" w:hAnsi="Calibri"/>
          <w:b/>
          <w:bCs/>
          <w:color w:val="0F6B72"/>
          <w:sz w:val="18"/>
          <w:szCs w:val="18"/>
        </w:rPr>
        <w:t xml:space="preserve">  [RN-BPID-110]</w:t>
      </w:r>
    </w:p>
    <w:p>
      <w:pPr>
        <w:pStyle w:val="ListParagraph"/>
        <w:numPr>
          <w:ilvl w:val="0"/>
          <w:numId w:val="4"/>
        </w:numPr>
        <w:spacing w:after="60" w:line="260"/>
        <w:ind w:left="360"/>
      </w:pPr>
      <w:r>
        <w:rPr>
          <w:rFonts w:ascii="Calibri" w:cs="Calibri" w:eastAsia="Calibri" w:hAnsi="Calibri"/>
          <w:color w:val="333333"/>
          <w:sz w:val="20"/>
          <w:szCs w:val="20"/>
        </w:rPr>
        <w:t xml:space="preserve">The user selects "Report an Issue" against a specific transaction or from the general support menu.</w:t>
      </w:r>
    </w:p>
    <w:p>
      <w:pPr>
        <w:pStyle w:val="ListParagraph"/>
        <w:numPr>
          <w:ilvl w:val="0"/>
          <w:numId w:val="4"/>
        </w:numPr>
        <w:spacing w:after="60" w:line="260"/>
        <w:ind w:left="360"/>
      </w:pPr>
      <w:r>
        <w:rPr>
          <w:rFonts w:ascii="Calibri" w:cs="Calibri" w:eastAsia="Calibri" w:hAnsi="Calibri"/>
          <w:color w:val="333333"/>
          <w:sz w:val="20"/>
          <w:szCs w:val="20"/>
        </w:rPr>
        <w:t xml:space="preserve">The user describes the issue and, optionally, attaches supporting evidence (e.g., a screenshot from the beneficiary confirming non-receipt).</w:t>
      </w:r>
    </w:p>
    <w:p>
      <w:pPr>
        <w:pStyle w:val="ListParagraph"/>
        <w:numPr>
          <w:ilvl w:val="0"/>
          <w:numId w:val="4"/>
        </w:numPr>
        <w:spacing w:after="60" w:line="260"/>
        <w:ind w:left="360"/>
      </w:pPr>
      <w:r>
        <w:rPr>
          <w:rFonts w:ascii="Calibri" w:cs="Calibri" w:eastAsia="Calibri" w:hAnsi="Calibri"/>
          <w:color w:val="333333"/>
          <w:sz w:val="20"/>
          <w:szCs w:val="20"/>
        </w:rPr>
        <w:t xml:space="preserve">The system creates a tracked case with a reference number and target resolution SLA, visible to the user.</w:t>
      </w:r>
    </w:p>
    <w:p>
      <w:pPr>
        <w:pStyle w:val="ListParagraph"/>
        <w:numPr>
          <w:ilvl w:val="0"/>
          <w:numId w:val="4"/>
        </w:numPr>
        <w:spacing w:after="60" w:line="260"/>
        <w:ind w:left="360"/>
      </w:pPr>
      <w:r>
        <w:rPr>
          <w:rFonts w:ascii="Calibri" w:cs="Calibri" w:eastAsia="Calibri" w:hAnsi="Calibri"/>
          <w:color w:val="333333"/>
          <w:sz w:val="20"/>
          <w:szCs w:val="20"/>
        </w:rPr>
        <w:t xml:space="preserve">Support staff investigate, liaising with the relevant payout partner or biller where required, and update the case status.</w:t>
      </w:r>
    </w:p>
    <w:p>
      <w:pPr>
        <w:pStyle w:val="ListParagraph"/>
        <w:numPr>
          <w:ilvl w:val="0"/>
          <w:numId w:val="4"/>
        </w:numPr>
        <w:spacing w:after="60" w:line="260"/>
        <w:ind w:left="360"/>
      </w:pPr>
      <w:r>
        <w:rPr>
          <w:rFonts w:ascii="Calibri" w:cs="Calibri" w:eastAsia="Calibri" w:hAnsi="Calibri"/>
          <w:color w:val="333333"/>
          <w:sz w:val="20"/>
          <w:szCs w:val="20"/>
        </w:rPr>
        <w:t xml:space="preserve">The user is notified of the outcome and can view the full case history at any time.</w:t>
      </w:r>
    </w:p>
    <w:p>
      <w:pPr>
        <w:pStyle w:val="Heading2"/>
        <w:spacing w:after="160" w:before="360"/>
      </w:pPr>
      <w:r>
        <w:rPr>
          <w:rFonts w:ascii="Calibri" w:cs="Calibri" w:eastAsia="Calibri" w:hAnsi="Calibri"/>
          <w:b/>
          <w:bCs/>
          <w:color w:val="1F3864"/>
          <w:sz w:val="26"/>
          <w:szCs w:val="26"/>
        </w:rPr>
        <w:t xml:space="preserve">7.11 Module 11 — Reports &amp; MIS (Ops Console)</w:t>
      </w:r>
    </w:p>
    <w:p>
      <w:pPr>
        <w:spacing w:after="160" w:line="276"/>
      </w:pPr>
      <w:r>
        <w:rPr>
          <w:rFonts w:ascii="Calibri" w:cs="Calibri" w:eastAsia="Calibri" w:hAnsi="Calibri"/>
          <w:b w:val="false"/>
          <w:bCs w:val="false"/>
          <w:i w:val="false"/>
          <w:iCs w:val="false"/>
          <w:color w:val="222222"/>
          <w:sz w:val="21"/>
          <w:szCs w:val="21"/>
        </w:rPr>
        <w:t xml:space="preserve">Back-office reporting supports treasury, compliance, and business management functions. All reports are filterable by date range, corridor (in practice, always MY→BD), product type, and payout partner, and are exportable to CSV/PDF/Excel.</w:t>
      </w:r>
    </w:p>
    <w:p>
      <w:pPr>
        <w:pStyle w:val="Heading3"/>
        <w:spacing w:after="120" w:before="260"/>
      </w:pPr>
      <w:r>
        <w:rPr>
          <w:rFonts w:ascii="Calibri" w:cs="Calibri" w:eastAsia="Calibri" w:hAnsi="Calibri"/>
          <w:b/>
          <w:bCs/>
          <w:color w:val="0F6B72"/>
          <w:sz w:val="22"/>
          <w:szCs w:val="22"/>
        </w:rPr>
        <w:t xml:space="preserve">7.11.1 Transaction Reports</w:t>
      </w:r>
    </w:p>
    <w:p>
      <w:pPr>
        <w:pStyle w:val="ListParagraph"/>
        <w:numPr>
          <w:ilvl w:val="0"/>
          <w:numId w:val="2"/>
        </w:numPr>
        <w:spacing w:after="80" w:line="264"/>
      </w:pPr>
      <w:r>
        <w:rPr>
          <w:rFonts w:ascii="Calibri" w:cs="Calibri" w:eastAsia="Calibri" w:hAnsi="Calibri"/>
          <w:sz w:val="21"/>
          <w:szCs w:val="21"/>
        </w:rPr>
        <w:t xml:space="preserve">Remittance transaction report (by status, funding method, payout method, payout partner).</w:t>
      </w:r>
    </w:p>
    <w:p>
      <w:pPr>
        <w:pStyle w:val="ListParagraph"/>
        <w:numPr>
          <w:ilvl w:val="0"/>
          <w:numId w:val="2"/>
        </w:numPr>
        <w:spacing w:after="80" w:line="264"/>
      </w:pPr>
      <w:r>
        <w:rPr>
          <w:rFonts w:ascii="Calibri" w:cs="Calibri" w:eastAsia="Calibri" w:hAnsi="Calibri"/>
          <w:sz w:val="21"/>
          <w:szCs w:val="21"/>
        </w:rPr>
        <w:t xml:space="preserve">Bill payment transaction report (by biller category and biller).</w:t>
      </w:r>
    </w:p>
    <w:p>
      <w:pPr>
        <w:pStyle w:val="ListParagraph"/>
        <w:numPr>
          <w:ilvl w:val="0"/>
          <w:numId w:val="2"/>
        </w:numPr>
        <w:spacing w:after="80" w:line="264"/>
      </w:pPr>
      <w:r>
        <w:rPr>
          <w:rFonts w:ascii="Calibri" w:cs="Calibri" w:eastAsia="Calibri" w:hAnsi="Calibri"/>
          <w:sz w:val="21"/>
          <w:szCs w:val="21"/>
        </w:rPr>
        <w:t xml:space="preserve">Savings/DPS contribution report (by partner bank and scheme).</w:t>
      </w:r>
    </w:p>
    <w:p>
      <w:pPr>
        <w:pStyle w:val="ListParagraph"/>
        <w:numPr>
          <w:ilvl w:val="0"/>
          <w:numId w:val="2"/>
        </w:numPr>
        <w:spacing w:after="80" w:line="264"/>
      </w:pPr>
      <w:r>
        <w:rPr>
          <w:rFonts w:ascii="Calibri" w:cs="Calibri" w:eastAsia="Calibri" w:hAnsi="Calibri"/>
          <w:sz w:val="21"/>
          <w:szCs w:val="21"/>
        </w:rPr>
        <w:t xml:space="preserve">Commission and fee report.</w:t>
      </w:r>
    </w:p>
    <w:p>
      <w:pPr>
        <w:pStyle w:val="ListParagraph"/>
        <w:numPr>
          <w:ilvl w:val="0"/>
          <w:numId w:val="2"/>
        </w:numPr>
        <w:spacing w:after="80" w:line="264"/>
      </w:pPr>
      <w:r>
        <w:rPr>
          <w:rFonts w:ascii="Calibri" w:cs="Calibri" w:eastAsia="Calibri" w:hAnsi="Calibri"/>
          <w:sz w:val="21"/>
          <w:szCs w:val="21"/>
        </w:rPr>
        <w:t xml:space="preserve">FX gain/loss report, reconciled against the Weighted Average Rate (WAR) methodology used by Treasury.</w:t>
      </w:r>
    </w:p>
    <w:p>
      <w:pPr>
        <w:pStyle w:val="ListParagraph"/>
        <w:numPr>
          <w:ilvl w:val="0"/>
          <w:numId w:val="2"/>
        </w:numPr>
        <w:spacing w:after="80" w:line="264"/>
      </w:pPr>
      <w:r>
        <w:rPr>
          <w:rFonts w:ascii="Calibri" w:cs="Calibri" w:eastAsia="Calibri" w:hAnsi="Calibri"/>
          <w:sz w:val="21"/>
          <w:szCs w:val="21"/>
        </w:rPr>
        <w:t xml:space="preserve">Government incentive reconciliation report (eligible amount claimed vs. confirmed by payout partner).</w:t>
      </w:r>
    </w:p>
    <w:p>
      <w:pPr>
        <w:pStyle w:val="Heading3"/>
        <w:spacing w:after="120" w:before="260"/>
      </w:pPr>
      <w:r>
        <w:rPr>
          <w:rFonts w:ascii="Calibri" w:cs="Calibri" w:eastAsia="Calibri" w:hAnsi="Calibri"/>
          <w:b/>
          <w:bCs/>
          <w:color w:val="0F6B72"/>
          <w:sz w:val="22"/>
          <w:szCs w:val="22"/>
        </w:rPr>
        <w:t xml:space="preserve">7.11.2 Compliance Reports</w:t>
      </w:r>
    </w:p>
    <w:p>
      <w:pPr>
        <w:pStyle w:val="ListParagraph"/>
        <w:numPr>
          <w:ilvl w:val="0"/>
          <w:numId w:val="2"/>
        </w:numPr>
        <w:spacing w:after="80" w:line="264"/>
      </w:pPr>
      <w:r>
        <w:rPr>
          <w:rFonts w:ascii="Calibri" w:cs="Calibri" w:eastAsia="Calibri" w:hAnsi="Calibri"/>
          <w:sz w:val="21"/>
          <w:szCs w:val="21"/>
        </w:rPr>
        <w:t xml:space="preserve">Screening hit and case disposition report.</w:t>
      </w:r>
    </w:p>
    <w:p>
      <w:pPr>
        <w:pStyle w:val="ListParagraph"/>
        <w:numPr>
          <w:ilvl w:val="0"/>
          <w:numId w:val="2"/>
        </w:numPr>
        <w:spacing w:after="80" w:line="264"/>
      </w:pPr>
      <w:r>
        <w:rPr>
          <w:rFonts w:ascii="Calibri" w:cs="Calibri" w:eastAsia="Calibri" w:hAnsi="Calibri"/>
          <w:sz w:val="21"/>
          <w:szCs w:val="21"/>
        </w:rPr>
        <w:t xml:space="preserve">Transaction monitoring alert report, with ageing and resolution status.</w:t>
      </w:r>
    </w:p>
    <w:p>
      <w:pPr>
        <w:pStyle w:val="ListParagraph"/>
        <w:numPr>
          <w:ilvl w:val="0"/>
          <w:numId w:val="2"/>
        </w:numPr>
        <w:spacing w:after="80" w:line="264"/>
      </w:pPr>
      <w:r>
        <w:rPr>
          <w:rFonts w:ascii="Calibri" w:cs="Calibri" w:eastAsia="Calibri" w:hAnsi="Calibri"/>
          <w:sz w:val="21"/>
          <w:szCs w:val="21"/>
        </w:rPr>
        <w:t xml:space="preserve">STR/CTR/SAR filing register.</w:t>
      </w:r>
    </w:p>
    <w:p>
      <w:pPr>
        <w:pStyle w:val="ListParagraph"/>
        <w:numPr>
          <w:ilvl w:val="0"/>
          <w:numId w:val="2"/>
        </w:numPr>
        <w:spacing w:after="80" w:line="264"/>
      </w:pPr>
      <w:r>
        <w:rPr>
          <w:rFonts w:ascii="Calibri" w:cs="Calibri" w:eastAsia="Calibri" w:hAnsi="Calibri"/>
          <w:sz w:val="21"/>
          <w:szCs w:val="21"/>
        </w:rPr>
        <w:t xml:space="preserve">Customer risk distribution report (count and value by risk tier).</w:t>
      </w:r>
    </w:p>
    <w:p>
      <w:pPr>
        <w:pStyle w:val="Heading3"/>
        <w:spacing w:after="120" w:before="260"/>
      </w:pPr>
      <w:r>
        <w:rPr>
          <w:rFonts w:ascii="Calibri" w:cs="Calibri" w:eastAsia="Calibri" w:hAnsi="Calibri"/>
          <w:b/>
          <w:bCs/>
          <w:color w:val="0F6B72"/>
          <w:sz w:val="22"/>
          <w:szCs w:val="22"/>
        </w:rPr>
        <w:t xml:space="preserve">7.11.3 Customer Nest Egg Aggregate Report</w:t>
      </w:r>
    </w:p>
    <w:p>
      <w:pPr>
        <w:spacing w:after="160" w:line="276"/>
      </w:pPr>
      <w:r>
        <w:rPr>
          <w:rFonts w:ascii="Calibri" w:cs="Calibri" w:eastAsia="Calibri" w:hAnsi="Calibri"/>
          <w:b w:val="false"/>
          <w:bCs w:val="false"/>
          <w:i w:val="false"/>
          <w:iCs w:val="false"/>
          <w:color w:val="222222"/>
          <w:sz w:val="21"/>
          <w:szCs w:val="21"/>
        </w:rPr>
        <w:t xml:space="preserve">A portfolio-level, anonymised/aggregated view for RemmiNext management of overall customer Nest Egg growth across the customer base — total remitted, total bills paid, and total savings/DPS balance under management — used for business performance tracking and for demonstrating platform impact to regulators and partner banks.</w:t>
      </w:r>
    </w:p>
    <w:p>
      <w:pPr>
        <w:pStyle w:val="Heading2"/>
        <w:spacing w:after="160" w:before="360"/>
      </w:pPr>
      <w:r>
        <w:rPr>
          <w:rFonts w:ascii="Calibri" w:cs="Calibri" w:eastAsia="Calibri" w:hAnsi="Calibri"/>
          <w:b/>
          <w:bCs/>
          <w:color w:val="1F3864"/>
          <w:sz w:val="26"/>
          <w:szCs w:val="26"/>
        </w:rPr>
        <w:t xml:space="preserve">7.12 Module 12 — Return-to-Bangladesh Journey (Account Closure &amp; Consolidation)</w:t>
      </w:r>
    </w:p>
    <w:p>
      <w:pPr>
        <w:spacing w:after="160" w:line="276"/>
      </w:pPr>
      <w:r>
        <w:rPr>
          <w:rFonts w:ascii="Calibri" w:cs="Calibri" w:eastAsia="Calibri" w:hAnsi="Calibri"/>
          <w:b w:val="false"/>
          <w:bCs w:val="false"/>
          <w:i w:val="false"/>
          <w:iCs w:val="false"/>
          <w:color w:val="222222"/>
          <w:sz w:val="21"/>
          <w:szCs w:val="21"/>
        </w:rPr>
        <w:t xml:space="preserve">This module operationalises the platform's Ultimate End Goal (Section 1.5). It is the feature that most directly distinguishes RemmiNext from a generic remittance app: a guided, dignified closing chapter for a user who has spent years building their financial position through the platform.</w:t>
      </w:r>
    </w:p>
    <w:p>
      <w:pPr>
        <w:pStyle w:val="Heading3"/>
        <w:spacing w:after="120" w:before="260"/>
      </w:pPr>
      <w:r>
        <w:rPr>
          <w:rFonts w:ascii="Calibri" w:cs="Calibri" w:eastAsia="Calibri" w:hAnsi="Calibri"/>
          <w:b/>
          <w:bCs/>
          <w:color w:val="0F6B72"/>
          <w:sz w:val="22"/>
          <w:szCs w:val="22"/>
        </w:rPr>
        <w:t xml:space="preserve">7.12.1 Declaring Permanent Return</w:t>
      </w:r>
    </w:p>
    <w:p>
      <w:pPr>
        <w:spacing w:after="60" w:before="200"/>
      </w:pPr>
      <w:r>
        <w:rPr>
          <w:rFonts w:ascii="Calibri" w:cs="Calibri" w:eastAsia="Calibri" w:hAnsi="Calibri"/>
          <w:b/>
          <w:bCs/>
          <w:color w:val="1F3864"/>
          <w:sz w:val="21"/>
          <w:szCs w:val="21"/>
        </w:rPr>
        <w:t xml:space="preserve">Start the Return-to-Bangladesh Journey</w:t>
      </w:r>
      <w:r>
        <w:rPr>
          <w:rFonts w:ascii="Calibri" w:cs="Calibri" w:eastAsia="Calibri" w:hAnsi="Calibri"/>
          <w:b/>
          <w:bCs/>
          <w:color w:val="0F6B72"/>
          <w:sz w:val="18"/>
          <w:szCs w:val="18"/>
        </w:rPr>
        <w:t xml:space="preserve">  [RN-BPID-090]</w:t>
      </w:r>
    </w:p>
    <w:p>
      <w:pPr>
        <w:pStyle w:val="ListParagraph"/>
        <w:numPr>
          <w:ilvl w:val="0"/>
          <w:numId w:val="4"/>
        </w:numPr>
        <w:spacing w:after="60" w:line="260"/>
        <w:ind w:left="360"/>
      </w:pPr>
      <w:r>
        <w:rPr>
          <w:rFonts w:ascii="Calibri" w:cs="Calibri" w:eastAsia="Calibri" w:hAnsi="Calibri"/>
          <w:color w:val="333333"/>
          <w:sz w:val="20"/>
          <w:szCs w:val="20"/>
        </w:rPr>
        <w:t xml:space="preserve">From Account Management, the user selects "I'm Returning to Bangladesh Permanently".</w:t>
      </w:r>
    </w:p>
    <w:p>
      <w:pPr>
        <w:pStyle w:val="ListParagraph"/>
        <w:numPr>
          <w:ilvl w:val="0"/>
          <w:numId w:val="4"/>
        </w:numPr>
        <w:spacing w:after="60" w:line="260"/>
        <w:ind w:left="360"/>
      </w:pPr>
      <w:r>
        <w:rPr>
          <w:rFonts w:ascii="Calibri" w:cs="Calibri" w:eastAsia="Calibri" w:hAnsi="Calibri"/>
          <w:color w:val="333333"/>
          <w:sz w:val="20"/>
          <w:szCs w:val="20"/>
        </w:rPr>
        <w:t xml:space="preserve">The user confirms their intended final departure date from Malaysia (approximate is acceptable).</w:t>
      </w:r>
    </w:p>
    <w:p>
      <w:pPr>
        <w:pStyle w:val="ListParagraph"/>
        <w:numPr>
          <w:ilvl w:val="0"/>
          <w:numId w:val="4"/>
        </w:numPr>
        <w:spacing w:after="60" w:line="260"/>
        <w:ind w:left="360"/>
      </w:pPr>
      <w:r>
        <w:rPr>
          <w:rFonts w:ascii="Calibri" w:cs="Calibri" w:eastAsia="Calibri" w:hAnsi="Calibri"/>
          <w:color w:val="333333"/>
          <w:sz w:val="20"/>
          <w:szCs w:val="20"/>
        </w:rPr>
        <w:t xml:space="preserve">The system pauses any recurring instructions (remittance, bill auto-pay, DPS auto-contribution) from auto-renewing past the declared date, prompting the user to confirm which, if any, should continue, stop, or be converted to a one-time final payment.</w:t>
      </w:r>
    </w:p>
    <w:p>
      <w:pPr>
        <w:pStyle w:val="ListParagraph"/>
        <w:numPr>
          <w:ilvl w:val="0"/>
          <w:numId w:val="4"/>
        </w:numPr>
        <w:spacing w:after="60" w:line="260"/>
        <w:ind w:left="360"/>
      </w:pPr>
      <w:r>
        <w:rPr>
          <w:rFonts w:ascii="Calibri" w:cs="Calibri" w:eastAsia="Calibri" w:hAnsi="Calibri"/>
          <w:color w:val="333333"/>
          <w:sz w:val="20"/>
          <w:szCs w:val="20"/>
        </w:rPr>
        <w:t xml:space="preserve">The user is guided to settle any outstanding items: final bill payments, a final top-up to savings/DPS, and confirmation of the DPS schemes that will continue accruing in Bangladesh after the user's return (since DPS tenure often extends beyond the user's time in Malaysia).</w:t>
      </w:r>
    </w:p>
    <w:p>
      <w:pPr>
        <w:pStyle w:val="Heading3"/>
        <w:spacing w:after="120" w:before="260"/>
      </w:pPr>
      <w:r>
        <w:rPr>
          <w:rFonts w:ascii="Calibri" w:cs="Calibri" w:eastAsia="Calibri" w:hAnsi="Calibri"/>
          <w:b/>
          <w:bCs/>
          <w:color w:val="0F6B72"/>
          <w:sz w:val="22"/>
          <w:szCs w:val="22"/>
        </w:rPr>
        <w:t xml:space="preserve">7.12.2 Final Consolidation Report</w:t>
      </w:r>
    </w:p>
    <w:p>
      <w:pPr>
        <w:spacing w:after="160" w:line="276"/>
      </w:pPr>
      <w:r>
        <w:rPr>
          <w:rFonts w:ascii="Calibri" w:cs="Calibri" w:eastAsia="Calibri" w:hAnsi="Calibri"/>
          <w:b w:val="false"/>
          <w:bCs w:val="false"/>
          <w:i w:val="false"/>
          <w:iCs w:val="false"/>
          <w:color w:val="222222"/>
          <w:sz w:val="21"/>
          <w:szCs w:val="21"/>
        </w:rPr>
        <w:t xml:space="preserve">Once the user confirms all final settlements, RemmiNext generates a comprehensive, exportable Final Consolidation Report — the definitive answer to "what do I have, and where is it" on the day the user returns home. The report includes:</w:t>
      </w:r>
    </w:p>
    <w:p>
      <w:pPr>
        <w:pStyle w:val="ListParagraph"/>
        <w:numPr>
          <w:ilvl w:val="0"/>
          <w:numId w:val="2"/>
        </w:numPr>
        <w:spacing w:after="80" w:line="264"/>
      </w:pPr>
      <w:r>
        <w:rPr>
          <w:rFonts w:ascii="Calibri" w:cs="Calibri" w:eastAsia="Calibri" w:hAnsi="Calibri"/>
          <w:sz w:val="21"/>
          <w:szCs w:val="21"/>
        </w:rPr>
        <w:t xml:space="preserve">Total lifetime amount remitted to Bangladesh, with a year-by-year breakdown.</w:t>
      </w:r>
    </w:p>
    <w:p>
      <w:pPr>
        <w:pStyle w:val="ListParagraph"/>
        <w:numPr>
          <w:ilvl w:val="0"/>
          <w:numId w:val="2"/>
        </w:numPr>
        <w:spacing w:after="80" w:line="264"/>
      </w:pPr>
      <w:r>
        <w:rPr>
          <w:rFonts w:ascii="Calibri" w:cs="Calibri" w:eastAsia="Calibri" w:hAnsi="Calibri"/>
          <w:sz w:val="21"/>
          <w:szCs w:val="21"/>
        </w:rPr>
        <w:t xml:space="preserve">Total lifetime government incentive received.</w:t>
      </w:r>
    </w:p>
    <w:p>
      <w:pPr>
        <w:pStyle w:val="ListParagraph"/>
        <w:numPr>
          <w:ilvl w:val="0"/>
          <w:numId w:val="2"/>
        </w:numPr>
        <w:spacing w:after="80" w:line="264"/>
      </w:pPr>
      <w:r>
        <w:rPr>
          <w:rFonts w:ascii="Calibri" w:cs="Calibri" w:eastAsia="Calibri" w:hAnsi="Calibri"/>
          <w:sz w:val="21"/>
          <w:szCs w:val="21"/>
        </w:rPr>
        <w:t xml:space="preserve">Total lifetime bills paid, by category, confirming the family home's utilities were consistently maintained.</w:t>
      </w:r>
    </w:p>
    <w:p>
      <w:pPr>
        <w:pStyle w:val="ListParagraph"/>
        <w:numPr>
          <w:ilvl w:val="0"/>
          <w:numId w:val="2"/>
        </w:numPr>
        <w:spacing w:after="80" w:line="264"/>
      </w:pPr>
      <w:r>
        <w:rPr>
          <w:rFonts w:ascii="Calibri" w:cs="Calibri" w:eastAsia="Calibri" w:hAnsi="Calibri"/>
          <w:sz w:val="21"/>
          <w:szCs w:val="21"/>
        </w:rPr>
        <w:t xml:space="preserve">Final balance of every linked savings account, with the partner bank and account number for reference.</w:t>
      </w:r>
    </w:p>
    <w:p>
      <w:pPr>
        <w:pStyle w:val="ListParagraph"/>
        <w:numPr>
          <w:ilvl w:val="0"/>
          <w:numId w:val="2"/>
        </w:numPr>
        <w:spacing w:after="80" w:line="264"/>
      </w:pPr>
      <w:r>
        <w:rPr>
          <w:rFonts w:ascii="Calibri" w:cs="Calibri" w:eastAsia="Calibri" w:hAnsi="Calibri"/>
          <w:sz w:val="21"/>
          <w:szCs w:val="21"/>
        </w:rPr>
        <w:t xml:space="preserve">Status of every DPS scheme: matured and paid out, matured and pending payout, or still active with remaining tenure and a maturity date/value, with the partner bank and account number for reference.</w:t>
      </w:r>
    </w:p>
    <w:p>
      <w:pPr>
        <w:pStyle w:val="ListParagraph"/>
        <w:numPr>
          <w:ilvl w:val="0"/>
          <w:numId w:val="2"/>
        </w:numPr>
        <w:spacing w:after="80" w:line="264"/>
      </w:pPr>
      <w:r>
        <w:rPr>
          <w:rFonts w:ascii="Calibri" w:cs="Calibri" w:eastAsia="Calibri" w:hAnsi="Calibri"/>
          <w:sz w:val="21"/>
          <w:szCs w:val="21"/>
        </w:rPr>
        <w:t xml:space="preserve">A single consolidated "Nest Egg at Return" figure combining all of the above balances.</w:t>
      </w:r>
    </w:p>
    <w:p>
      <w:pPr>
        <w:pStyle w:val="ListParagraph"/>
        <w:numPr>
          <w:ilvl w:val="0"/>
          <w:numId w:val="2"/>
        </w:numPr>
        <w:spacing w:after="80" w:line="264"/>
      </w:pPr>
      <w:r>
        <w:rPr>
          <w:rFonts w:ascii="Calibri" w:cs="Calibri" w:eastAsia="Calibri" w:hAnsi="Calibri"/>
          <w:sz w:val="21"/>
          <w:szCs w:val="21"/>
        </w:rPr>
        <w:t xml:space="preserve">Contact details for each partner bank, in case the user needs to interact with them directly in Bangladesh going forward.</w:t>
      </w:r>
    </w:p>
    <w:p>
      <w:pPr>
        <w:pStyle w:val="Heading3"/>
        <w:spacing w:after="120" w:before="260"/>
      </w:pPr>
      <w:r>
        <w:rPr>
          <w:rFonts w:ascii="Calibri" w:cs="Calibri" w:eastAsia="Calibri" w:hAnsi="Calibri"/>
          <w:b/>
          <w:bCs/>
          <w:color w:val="0F6B72"/>
          <w:sz w:val="22"/>
          <w:szCs w:val="22"/>
        </w:rPr>
        <w:t xml:space="preserve">7.12.3 Guided Account Closure</w:t>
      </w:r>
    </w:p>
    <w:p>
      <w:pPr>
        <w:spacing w:after="60" w:before="200"/>
      </w:pPr>
      <w:r>
        <w:rPr>
          <w:rFonts w:ascii="Calibri" w:cs="Calibri" w:eastAsia="Calibri" w:hAnsi="Calibri"/>
          <w:b/>
          <w:bCs/>
          <w:color w:val="1F3864"/>
          <w:sz w:val="21"/>
          <w:szCs w:val="21"/>
        </w:rPr>
        <w:t xml:space="preserve">Complete Account Closure</w:t>
      </w:r>
      <w:r>
        <w:rPr>
          <w:rFonts w:ascii="Calibri" w:cs="Calibri" w:eastAsia="Calibri" w:hAnsi="Calibri"/>
          <w:b/>
          <w:bCs/>
          <w:color w:val="0F6B72"/>
          <w:sz w:val="18"/>
          <w:szCs w:val="18"/>
        </w:rPr>
        <w:t xml:space="preserve">  [RN-BPID-091]</w:t>
      </w:r>
    </w:p>
    <w:p>
      <w:pPr>
        <w:pStyle w:val="ListParagraph"/>
        <w:numPr>
          <w:ilvl w:val="0"/>
          <w:numId w:val="4"/>
        </w:numPr>
        <w:spacing w:after="60" w:line="260"/>
        <w:ind w:left="360"/>
      </w:pPr>
      <w:r>
        <w:rPr>
          <w:rFonts w:ascii="Calibri" w:cs="Calibri" w:eastAsia="Calibri" w:hAnsi="Calibri"/>
          <w:color w:val="333333"/>
          <w:sz w:val="20"/>
          <w:szCs w:val="20"/>
        </w:rPr>
        <w:t xml:space="preserve">After reviewing the Final Consolidation Report, the user confirms they wish to close their RemmiNext account.</w:t>
      </w:r>
    </w:p>
    <w:p>
      <w:pPr>
        <w:pStyle w:val="ListParagraph"/>
        <w:numPr>
          <w:ilvl w:val="0"/>
          <w:numId w:val="4"/>
        </w:numPr>
        <w:spacing w:after="60" w:line="260"/>
        <w:ind w:left="360"/>
      </w:pPr>
      <w:r>
        <w:rPr>
          <w:rFonts w:ascii="Calibri" w:cs="Calibri" w:eastAsia="Calibri" w:hAnsi="Calibri"/>
          <w:color w:val="333333"/>
          <w:sz w:val="20"/>
          <w:szCs w:val="20"/>
        </w:rPr>
        <w:t xml:space="preserve">The system confirms that no funds are held by RemmiNext itself (since savings/DPS balances sit with partner banks, not RemmiNext) and that no pending transactions remain.</w:t>
      </w:r>
    </w:p>
    <w:p>
      <w:pPr>
        <w:pStyle w:val="ListParagraph"/>
        <w:numPr>
          <w:ilvl w:val="0"/>
          <w:numId w:val="4"/>
        </w:numPr>
        <w:spacing w:after="60" w:line="260"/>
        <w:ind w:left="360"/>
      </w:pPr>
      <w:r>
        <w:rPr>
          <w:rFonts w:ascii="Calibri" w:cs="Calibri" w:eastAsia="Calibri" w:hAnsi="Calibri"/>
          <w:color w:val="333333"/>
          <w:sz w:val="20"/>
          <w:szCs w:val="20"/>
        </w:rPr>
        <w:t xml:space="preserve">The user's RemmiNext account is closed; the Final Consolidation Report remains downloadable/re-sendable to the user's email for a defined retention period even after closure.</w:t>
      </w:r>
    </w:p>
    <w:p>
      <w:pPr>
        <w:pStyle w:val="ListParagraph"/>
        <w:numPr>
          <w:ilvl w:val="0"/>
          <w:numId w:val="4"/>
        </w:numPr>
        <w:spacing w:after="60" w:line="260"/>
        <w:ind w:left="360"/>
      </w:pPr>
      <w:r>
        <w:rPr>
          <w:rFonts w:ascii="Calibri" w:cs="Calibri" w:eastAsia="Calibri" w:hAnsi="Calibri"/>
          <w:color w:val="333333"/>
          <w:sz w:val="20"/>
          <w:szCs w:val="20"/>
        </w:rPr>
        <w:t xml:space="preserve">RemmiNext retains the required transaction and compliance records per statutory retention obligations in both jurisdictions, independent of the customer-facing account closure.</w:t>
      </w:r>
    </w:p>
    <w:p>
      <w:pPr>
        <w:pBdr>
          <w:left w:val="single" w:color="0F6B72" w:sz="12" w:space="8"/>
        </w:pBdr>
        <w:spacing w:after="200" w:before="100"/>
        <w:ind w:left="200"/>
      </w:pPr>
      <w:r>
        <w:rPr>
          <w:rFonts w:ascii="Calibri" w:cs="Calibri" w:eastAsia="Calibri" w:hAnsi="Calibri"/>
          <w:i/>
          <w:iCs/>
          <w:color w:val="595959"/>
          <w:sz w:val="20"/>
          <w:szCs w:val="20"/>
        </w:rPr>
        <w:t xml:space="preserve">Note: Because DPS tenure frequently extends beyond the user's departure date, account closure must not assume the user's Bangladesh financial relationships end when their RemmiNext account does — the Final Consolidation Report is explicitly designed to hand off cleanly to the partner banks the user will continue dealing with directly in Bangladesh.</w:t>
      </w:r>
    </w:p>
    <w:p>
      <w:pPr>
        <w:pStyle w:val="Heading1"/>
        <w:pageBreakBefore/>
        <w:pBdr>
          <w:bottom w:val="single" w:color="1F3864" w:sz="6" w:space="4"/>
        </w:pBdr>
        <w:spacing w:after="240" w:before="480"/>
      </w:pPr>
      <w:r>
        <w:rPr>
          <w:rFonts w:ascii="Calibri" w:cs="Calibri" w:eastAsia="Calibri" w:hAnsi="Calibri"/>
          <w:b/>
          <w:bCs/>
          <w:color w:val="1F3864"/>
          <w:sz w:val="32"/>
          <w:szCs w:val="32"/>
        </w:rPr>
        <w:t xml:space="preserve">8. Non-Functional Requirements</w:t>
      </w:r>
    </w:p>
    <w:p>
      <w:pPr>
        <w:pStyle w:val="Heading2"/>
        <w:spacing w:after="160" w:before="360"/>
      </w:pPr>
      <w:r>
        <w:rPr>
          <w:rFonts w:ascii="Calibri" w:cs="Calibri" w:eastAsia="Calibri" w:hAnsi="Calibri"/>
          <w:b/>
          <w:bCs/>
          <w:color w:val="1F3864"/>
          <w:sz w:val="26"/>
          <w:szCs w:val="26"/>
        </w:rPr>
        <w:t xml:space="preserve">8.1 Security</w:t>
      </w:r>
    </w:p>
    <w:p>
      <w:pPr>
        <w:pStyle w:val="ListParagraph"/>
        <w:numPr>
          <w:ilvl w:val="0"/>
          <w:numId w:val="2"/>
        </w:numPr>
        <w:spacing w:after="80" w:line="264"/>
      </w:pPr>
      <w:r>
        <w:rPr>
          <w:rFonts w:ascii="Calibri" w:cs="Calibri" w:eastAsia="Calibri" w:hAnsi="Calibri"/>
          <w:sz w:val="21"/>
          <w:szCs w:val="21"/>
        </w:rPr>
        <w:t xml:space="preserve">All data in transit encrypted via TLS 1.2+; all sensitive data at rest (identity documents, biometric data, financial details) encrypted using industry-standard algorithms (e.g., AES-256).</w:t>
      </w:r>
    </w:p>
    <w:p>
      <w:pPr>
        <w:pStyle w:val="ListParagraph"/>
        <w:numPr>
          <w:ilvl w:val="0"/>
          <w:numId w:val="2"/>
        </w:numPr>
        <w:spacing w:after="80" w:line="264"/>
      </w:pPr>
      <w:r>
        <w:rPr>
          <w:rFonts w:ascii="Calibri" w:cs="Calibri" w:eastAsia="Calibri" w:hAnsi="Calibri"/>
          <w:sz w:val="21"/>
          <w:szCs w:val="21"/>
        </w:rPr>
        <w:t xml:space="preserve">Card funding flows must be handled by a PCI DSS-compliant payment gateway; RemmiNext systems must never store raw card PAN/CVV.</w:t>
      </w:r>
    </w:p>
    <w:p>
      <w:pPr>
        <w:pStyle w:val="ListParagraph"/>
        <w:numPr>
          <w:ilvl w:val="0"/>
          <w:numId w:val="2"/>
        </w:numPr>
        <w:spacing w:after="80" w:line="264"/>
      </w:pPr>
      <w:r>
        <w:rPr>
          <w:rFonts w:ascii="Calibri" w:cs="Calibri" w:eastAsia="Calibri" w:hAnsi="Calibri"/>
          <w:sz w:val="21"/>
          <w:szCs w:val="21"/>
        </w:rPr>
        <w:t xml:space="preserve">Multi-factor authentication (PIN + OTP/biometric) required for login, transaction confirmation above configurable thresholds, and any change to security-sensitive profile fields.</w:t>
      </w:r>
    </w:p>
    <w:p>
      <w:pPr>
        <w:pStyle w:val="ListParagraph"/>
        <w:numPr>
          <w:ilvl w:val="0"/>
          <w:numId w:val="2"/>
        </w:numPr>
        <w:spacing w:after="80" w:line="264"/>
      </w:pPr>
      <w:r>
        <w:rPr>
          <w:rFonts w:ascii="Calibri" w:cs="Calibri" w:eastAsia="Calibri" w:hAnsi="Calibri"/>
          <w:sz w:val="21"/>
          <w:szCs w:val="21"/>
        </w:rPr>
        <w:t xml:space="preserve">Role-based access control (RBAC) and maker-checker controls for all sensitive Ops Console actions (e.g., configuration changes, compliance case closure, manual payout override).</w:t>
      </w:r>
    </w:p>
    <w:p>
      <w:pPr>
        <w:pStyle w:val="ListParagraph"/>
        <w:numPr>
          <w:ilvl w:val="0"/>
          <w:numId w:val="2"/>
        </w:numPr>
        <w:spacing w:after="80" w:line="264"/>
      </w:pPr>
      <w:r>
        <w:rPr>
          <w:rFonts w:ascii="Calibri" w:cs="Calibri" w:eastAsia="Calibri" w:hAnsi="Calibri"/>
          <w:sz w:val="21"/>
          <w:szCs w:val="21"/>
        </w:rPr>
        <w:t xml:space="preserve">Full audit trail of all customer and staff actions affecting funds, KYC status, or configuration, immutable and retained per statutory retention requirements.</w:t>
      </w:r>
    </w:p>
    <w:p>
      <w:pPr>
        <w:pStyle w:val="Heading2"/>
        <w:spacing w:after="160" w:before="360"/>
      </w:pPr>
      <w:r>
        <w:rPr>
          <w:rFonts w:ascii="Calibri" w:cs="Calibri" w:eastAsia="Calibri" w:hAnsi="Calibri"/>
          <w:b/>
          <w:bCs/>
          <w:color w:val="1F3864"/>
          <w:sz w:val="26"/>
          <w:szCs w:val="26"/>
        </w:rPr>
        <w:t xml:space="preserve">8.2 Performance &amp; Availability</w:t>
      </w:r>
    </w:p>
    <w:p>
      <w:pPr>
        <w:pStyle w:val="ListParagraph"/>
        <w:numPr>
          <w:ilvl w:val="0"/>
          <w:numId w:val="2"/>
        </w:numPr>
        <w:spacing w:after="80" w:line="264"/>
      </w:pPr>
      <w:r>
        <w:rPr>
          <w:rFonts w:ascii="Calibri" w:cs="Calibri" w:eastAsia="Calibri" w:hAnsi="Calibri"/>
          <w:sz w:val="21"/>
          <w:szCs w:val="21"/>
        </w:rPr>
        <w:t xml:space="preserve">Customer App target uptime: 99.9%, excluding scheduled maintenance windows communicated in advance.</w:t>
      </w:r>
    </w:p>
    <w:p>
      <w:pPr>
        <w:pStyle w:val="ListParagraph"/>
        <w:numPr>
          <w:ilvl w:val="0"/>
          <w:numId w:val="2"/>
        </w:numPr>
        <w:spacing w:after="80" w:line="264"/>
      </w:pPr>
      <w:r>
        <w:rPr>
          <w:rFonts w:ascii="Calibri" w:cs="Calibri" w:eastAsia="Calibri" w:hAnsi="Calibri"/>
          <w:sz w:val="21"/>
          <w:szCs w:val="21"/>
        </w:rPr>
        <w:t xml:space="preserve">FX quote generation: under 2 seconds under normal load.</w:t>
      </w:r>
    </w:p>
    <w:p>
      <w:pPr>
        <w:pStyle w:val="ListParagraph"/>
        <w:numPr>
          <w:ilvl w:val="0"/>
          <w:numId w:val="2"/>
        </w:numPr>
        <w:spacing w:after="80" w:line="264"/>
      </w:pPr>
      <w:r>
        <w:rPr>
          <w:rFonts w:ascii="Calibri" w:cs="Calibri" w:eastAsia="Calibri" w:hAnsi="Calibri"/>
          <w:sz w:val="21"/>
          <w:szCs w:val="21"/>
        </w:rPr>
        <w:t xml:space="preserve">Transaction submission (funding capture to "Processing" status): under 10 seconds under normal load, excluding third-party payment gateway response time.</w:t>
      </w:r>
    </w:p>
    <w:p>
      <w:pPr>
        <w:pStyle w:val="ListParagraph"/>
        <w:numPr>
          <w:ilvl w:val="0"/>
          <w:numId w:val="2"/>
        </w:numPr>
        <w:spacing w:after="80" w:line="264"/>
      </w:pPr>
      <w:r>
        <w:rPr>
          <w:rFonts w:ascii="Calibri" w:cs="Calibri" w:eastAsia="Calibri" w:hAnsi="Calibri"/>
          <w:sz w:val="21"/>
          <w:szCs w:val="21"/>
        </w:rPr>
        <w:t xml:space="preserve">Payout partner integrations must support asynchronous status callbacks so payout confirmation does not block the customer transaction flow.</w:t>
      </w:r>
    </w:p>
    <w:p>
      <w:pPr>
        <w:pStyle w:val="Heading2"/>
        <w:spacing w:after="160" w:before="360"/>
      </w:pPr>
      <w:r>
        <w:rPr>
          <w:rFonts w:ascii="Calibri" w:cs="Calibri" w:eastAsia="Calibri" w:hAnsi="Calibri"/>
          <w:b/>
          <w:bCs/>
          <w:color w:val="1F3864"/>
          <w:sz w:val="26"/>
          <w:szCs w:val="26"/>
        </w:rPr>
        <w:t xml:space="preserve">8.3 Scalability</w:t>
      </w:r>
    </w:p>
    <w:p>
      <w:pPr>
        <w:spacing w:after="160" w:line="276"/>
      </w:pPr>
      <w:r>
        <w:rPr>
          <w:rFonts w:ascii="Calibri" w:cs="Calibri" w:eastAsia="Calibri" w:hAnsi="Calibri"/>
          <w:b w:val="false"/>
          <w:bCs w:val="false"/>
          <w:i w:val="false"/>
          <w:iCs w:val="false"/>
          <w:color w:val="222222"/>
          <w:sz w:val="21"/>
          <w:szCs w:val="21"/>
        </w:rPr>
        <w:t xml:space="preserve">The platform must be architected to scale independently across customer growth (registration/KYC throughput), transaction volume (remittance/bill/DPS processing), and reporting/analytics load, without a single component becoming a bottleneck as the target user base in Malaysia's Bangladeshi worker population grows.</w:t>
      </w:r>
    </w:p>
    <w:p>
      <w:pPr>
        <w:pStyle w:val="Heading2"/>
        <w:spacing w:after="160" w:before="360"/>
      </w:pPr>
      <w:r>
        <w:rPr>
          <w:rFonts w:ascii="Calibri" w:cs="Calibri" w:eastAsia="Calibri" w:hAnsi="Calibri"/>
          <w:b/>
          <w:bCs/>
          <w:color w:val="1F3864"/>
          <w:sz w:val="26"/>
          <w:szCs w:val="26"/>
        </w:rPr>
        <w:t xml:space="preserve">8.4 Localisation &amp; Accessibility</w:t>
      </w:r>
    </w:p>
    <w:p>
      <w:pPr>
        <w:pStyle w:val="ListParagraph"/>
        <w:numPr>
          <w:ilvl w:val="0"/>
          <w:numId w:val="2"/>
        </w:numPr>
        <w:spacing w:after="80" w:line="264"/>
      </w:pPr>
      <w:r>
        <w:rPr>
          <w:rFonts w:ascii="Calibri" w:cs="Calibri" w:eastAsia="Calibri" w:hAnsi="Calibri"/>
          <w:sz w:val="21"/>
          <w:szCs w:val="21"/>
        </w:rPr>
        <w:t xml:space="preserve">Full UI localisation in Bengali (primary), English, and Bahasa Malaysia, including number formatting (e.g., Bangladeshi lakh/crore grouping where appropriate for BDT figures) and date formats familiar to the target persona.</w:t>
      </w:r>
    </w:p>
    <w:p>
      <w:pPr>
        <w:pStyle w:val="ListParagraph"/>
        <w:numPr>
          <w:ilvl w:val="0"/>
          <w:numId w:val="2"/>
        </w:numPr>
        <w:spacing w:after="80" w:line="264"/>
      </w:pPr>
      <w:r>
        <w:rPr>
          <w:rFonts w:ascii="Calibri" w:cs="Calibri" w:eastAsia="Calibri" w:hAnsi="Calibri"/>
          <w:sz w:val="21"/>
          <w:szCs w:val="21"/>
        </w:rPr>
        <w:t xml:space="preserve">UI designed for low digital literacy: minimal jargon, clear iconography, and step-by-step guided flows rather than dense forms.</w:t>
      </w:r>
    </w:p>
    <w:p>
      <w:pPr>
        <w:pStyle w:val="ListParagraph"/>
        <w:numPr>
          <w:ilvl w:val="0"/>
          <w:numId w:val="2"/>
        </w:numPr>
        <w:spacing w:after="80" w:line="264"/>
      </w:pPr>
      <w:r>
        <w:rPr>
          <w:rFonts w:ascii="Calibri" w:cs="Calibri" w:eastAsia="Calibri" w:hAnsi="Calibri"/>
          <w:sz w:val="21"/>
          <w:szCs w:val="21"/>
        </w:rPr>
        <w:t xml:space="preserve">Support for lower-end Android devices and constrained/intermittent mobile data connectivity common in worker housing/dormitory settings.</w:t>
      </w:r>
    </w:p>
    <w:p>
      <w:pPr>
        <w:pStyle w:val="ListParagraph"/>
        <w:numPr>
          <w:ilvl w:val="0"/>
          <w:numId w:val="2"/>
        </w:numPr>
        <w:spacing w:after="80" w:line="264"/>
      </w:pPr>
      <w:r>
        <w:rPr>
          <w:rFonts w:ascii="Calibri" w:cs="Calibri" w:eastAsia="Calibri" w:hAnsi="Calibri"/>
          <w:sz w:val="21"/>
          <w:szCs w:val="21"/>
        </w:rPr>
        <w:t xml:space="preserve">Compliance with mobile accessibility best practice (readable font sizes, sufficient colour contrast, screen-reader label support).</w:t>
      </w:r>
    </w:p>
    <w:p>
      <w:pPr>
        <w:pStyle w:val="Heading2"/>
        <w:spacing w:after="160" w:before="360"/>
      </w:pPr>
      <w:r>
        <w:rPr>
          <w:rFonts w:ascii="Calibri" w:cs="Calibri" w:eastAsia="Calibri" w:hAnsi="Calibri"/>
          <w:b/>
          <w:bCs/>
          <w:color w:val="1F3864"/>
          <w:sz w:val="26"/>
          <w:szCs w:val="26"/>
        </w:rPr>
        <w:t xml:space="preserve">8.5 Data Privacy &amp; Residency</w:t>
      </w:r>
    </w:p>
    <w:p>
      <w:pPr>
        <w:pStyle w:val="ListParagraph"/>
        <w:numPr>
          <w:ilvl w:val="0"/>
          <w:numId w:val="2"/>
        </w:numPr>
        <w:spacing w:after="80" w:line="264"/>
      </w:pPr>
      <w:r>
        <w:rPr>
          <w:rFonts w:ascii="Calibri" w:cs="Calibri" w:eastAsia="Calibri" w:hAnsi="Calibri"/>
          <w:sz w:val="21"/>
          <w:szCs w:val="21"/>
        </w:rPr>
        <w:t xml:space="preserve">Compliance with Malaysia's Personal Data Protection Act 2010 (PDPA) for all customer data collected in Malaysia.</w:t>
      </w:r>
    </w:p>
    <w:p>
      <w:pPr>
        <w:pStyle w:val="ListParagraph"/>
        <w:numPr>
          <w:ilvl w:val="0"/>
          <w:numId w:val="2"/>
        </w:numPr>
        <w:spacing w:after="80" w:line="264"/>
      </w:pPr>
      <w:r>
        <w:rPr>
          <w:rFonts w:ascii="Calibri" w:cs="Calibri" w:eastAsia="Calibri" w:hAnsi="Calibri"/>
          <w:sz w:val="21"/>
          <w:szCs w:val="21"/>
        </w:rPr>
        <w:t xml:space="preserve">Compliance with applicable Bangladeshi data handling requirements for beneficiary and payout-partner-shared data.</w:t>
      </w:r>
    </w:p>
    <w:p>
      <w:pPr>
        <w:pStyle w:val="ListParagraph"/>
        <w:numPr>
          <w:ilvl w:val="0"/>
          <w:numId w:val="2"/>
        </w:numPr>
        <w:spacing w:after="80" w:line="264"/>
      </w:pPr>
      <w:r>
        <w:rPr>
          <w:rFonts w:ascii="Calibri" w:cs="Calibri" w:eastAsia="Calibri" w:hAnsi="Calibri"/>
          <w:sz w:val="21"/>
          <w:szCs w:val="21"/>
        </w:rPr>
        <w:t xml:space="preserve">Clear, in-language consent capture at onboarding for data collection, screening checks, and data sharing with payout/biller/savings partners.</w:t>
      </w:r>
    </w:p>
    <w:p>
      <w:pPr>
        <w:pStyle w:val="ListParagraph"/>
        <w:numPr>
          <w:ilvl w:val="0"/>
          <w:numId w:val="2"/>
        </w:numPr>
        <w:spacing w:after="80" w:line="264"/>
      </w:pPr>
      <w:r>
        <w:rPr>
          <w:rFonts w:ascii="Calibri" w:cs="Calibri" w:eastAsia="Calibri" w:hAnsi="Calibri"/>
          <w:sz w:val="21"/>
          <w:szCs w:val="21"/>
        </w:rPr>
        <w:t xml:space="preserve">Data retention and deletion policies aligned to statutory minimums in both jurisdictions, with account closure (Module 12) not triggering premature deletion of records still subject to regulatory retention.</w:t>
      </w:r>
    </w:p>
    <w:p>
      <w:pPr>
        <w:pStyle w:val="Heading2"/>
        <w:spacing w:after="160" w:before="360"/>
      </w:pPr>
      <w:r>
        <w:rPr>
          <w:rFonts w:ascii="Calibri" w:cs="Calibri" w:eastAsia="Calibri" w:hAnsi="Calibri"/>
          <w:b/>
          <w:bCs/>
          <w:color w:val="1F3864"/>
          <w:sz w:val="26"/>
          <w:szCs w:val="26"/>
        </w:rPr>
        <w:t xml:space="preserve">8.6 Disaster Recovery &amp; Business Continuity</w:t>
      </w:r>
    </w:p>
    <w:p>
      <w:pPr>
        <w:spacing w:after="160" w:line="276"/>
      </w:pPr>
      <w:r>
        <w:rPr>
          <w:rFonts w:ascii="Calibri" w:cs="Calibri" w:eastAsia="Calibri" w:hAnsi="Calibri"/>
          <w:b w:val="false"/>
          <w:bCs w:val="false"/>
          <w:i w:val="false"/>
          <w:iCs w:val="false"/>
          <w:color w:val="222222"/>
          <w:sz w:val="21"/>
          <w:szCs w:val="21"/>
        </w:rPr>
        <w:t xml:space="preserve">Defined Recovery Time Objective (RTO) and Recovery Point Objective (RPO) for core transaction processing, with regular DR testing. Given the platform moves customers' earned income, transaction integrity and recoverability take precedence over feature velocity in any architectural trade-off.</w:t>
      </w:r>
    </w:p>
    <w:p>
      <w:pPr>
        <w:pStyle w:val="Heading2"/>
        <w:spacing w:after="160" w:before="360"/>
      </w:pPr>
      <w:r>
        <w:rPr>
          <w:rFonts w:ascii="Calibri" w:cs="Calibri" w:eastAsia="Calibri" w:hAnsi="Calibri"/>
          <w:b/>
          <w:bCs/>
          <w:color w:val="1F3864"/>
          <w:sz w:val="26"/>
          <w:szCs w:val="26"/>
        </w:rPr>
        <w:t xml:space="preserve">8.7 Auditability</w:t>
      </w:r>
    </w:p>
    <w:p>
      <w:pPr>
        <w:spacing w:after="160" w:line="276"/>
      </w:pPr>
      <w:r>
        <w:rPr>
          <w:rFonts w:ascii="Calibri" w:cs="Calibri" w:eastAsia="Calibri" w:hAnsi="Calibri"/>
          <w:b w:val="false"/>
          <w:bCs w:val="false"/>
          <w:i w:val="false"/>
          <w:iCs w:val="false"/>
          <w:color w:val="222222"/>
          <w:sz w:val="21"/>
          <w:szCs w:val="21"/>
        </w:rPr>
        <w:t xml:space="preserve">Every remittance, bill payment, and savings/DPS transaction must be fully reconstructible from system records for regulator or internal audit purposes: who initiated it, what checks were run and their results, the exact FX rate and fees applied, and the full status history to final settlement.</w:t>
      </w:r>
    </w:p>
    <w:p>
      <w:pPr>
        <w:pStyle w:val="Heading1"/>
        <w:pageBreakBefore/>
        <w:pBdr>
          <w:bottom w:val="single" w:color="1F3864" w:sz="6" w:space="4"/>
        </w:pBdr>
        <w:spacing w:after="240" w:before="480"/>
      </w:pPr>
      <w:r>
        <w:rPr>
          <w:rFonts w:ascii="Calibri" w:cs="Calibri" w:eastAsia="Calibri" w:hAnsi="Calibri"/>
          <w:b/>
          <w:bCs/>
          <w:color w:val="1F3864"/>
          <w:sz w:val="32"/>
          <w:szCs w:val="32"/>
        </w:rPr>
        <w:t xml:space="preserve">9. Risks &amp; Mitigations</w:t>
      </w:r>
    </w:p>
    <w:tbl>
      <w:tblPr>
        <w:tblW w:type="dxa" w:w="1000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5800"/>
      </w:tblGrid>
      <w:tr>
        <w:trPr>
          <w:tblHeader/>
        </w:trPr>
        <w:tc>
          <w:tcPr>
            <w:tcW w:type="dxa" w:w="42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Risk</w:t>
            </w:r>
          </w:p>
        </w:tc>
        <w:tc>
          <w:tcPr>
            <w:tcW w:type="dxa" w:w="58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Mitigation</w:t>
            </w:r>
          </w:p>
        </w:tc>
      </w:tr>
      <w:tr>
        <w:tc>
          <w:tcPr>
            <w:tcW w:type="dxa" w:w="4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Regulatory change in either jurisdiction (BNM or Bangladesh Bank circular) affects licensing, limits, or incentive rates.</w:t>
            </w:r>
          </w:p>
        </w:tc>
        <w:tc>
          <w:tcPr>
            <w:tcW w:type="dxa" w:w="58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Keep all regulatory parameters (limits, incentive rate, TVR thresholds) configuration-driven (Module 1), not hard-coded; maintain a compliance monitoring function for circular updates.</w:t>
            </w:r>
          </w:p>
        </w:tc>
      </w:tr>
      <w:tr>
        <w:tc>
          <w:tcPr>
            <w:tcW w:type="dxa" w:w="4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Payout partner (bank/MFS/agent) API downtime disrupts payout, bill payment, or DPS contribution.</w:t>
            </w:r>
          </w:p>
        </w:tc>
        <w:tc>
          <w:tcPr>
            <w:tcW w:type="dxa" w:w="58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Onboard more than one payout partner per payout method where feasible from R4 onward; implement queuing/retry with clear customer-facing status rather than silent failure.</w:t>
            </w:r>
          </w:p>
        </w:tc>
      </w:tr>
      <w:tr>
        <w:tc>
          <w:tcPr>
            <w:tcW w:type="dxa" w:w="4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FX volatility between quote and settlement erodes margin or causes customer disputes.</w:t>
            </w:r>
          </w:p>
        </w:tc>
        <w:tc>
          <w:tcPr>
            <w:tcW w:type="dxa" w:w="58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Short, clearly communicated rate-lock window (7.4.4); transparent display of the exact rate applied on every receipt.</w:t>
            </w:r>
          </w:p>
        </w:tc>
      </w:tr>
      <w:tr>
        <w:tc>
          <w:tcPr>
            <w:tcW w:type="dxa" w:w="4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Partner bank changes DPS/savings product terms without notice.</w:t>
            </w:r>
          </w:p>
        </w:tc>
        <w:tc>
          <w:tcPr>
            <w:tcW w:type="dxa" w:w="58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Automated or scheduled sync of the partner bank product catalogue (7.6.3); clear "indicative, not guaranteed" labelling on all projected figures.</w:t>
            </w:r>
          </w:p>
        </w:tc>
      </w:tr>
      <w:tr>
        <w:tc>
          <w:tcPr>
            <w:tcW w:type="dxa" w:w="4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Fraud: mule beneficiary accounts, fake KYC documents, or account takeover.</w:t>
            </w:r>
          </w:p>
        </w:tc>
        <w:tc>
          <w:tcPr>
            <w:tcW w:type="dxa" w:w="58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Layered controls: document authenticity checks, liveliness detection, sanctions/NTDBW screening at every beneficiary addition, transaction monitoring, and step-up authentication on new-device login.</w:t>
            </w:r>
          </w:p>
        </w:tc>
      </w:tr>
      <w:tr>
        <w:tc>
          <w:tcPr>
            <w:tcW w:type="dxa" w:w="4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Low digital literacy in the target persona leads to user error (wrong beneficiary details, missed recurring payments) or support burden.</w:t>
            </w:r>
          </w:p>
        </w:tc>
        <w:tc>
          <w:tcPr>
            <w:tcW w:type="dxa" w:w="58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Guided, plain-language flows; proactive reminders before recurring instructions run; in-language (Bengali) support channel.</w:t>
            </w:r>
          </w:p>
        </w:tc>
      </w:tr>
      <w:tr>
        <w:tc>
          <w:tcPr>
            <w:tcW w:type="dxa" w:w="4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Work permit expiry disrupts a customer's ability to transact, or is missed by the platform.</w:t>
            </w:r>
          </w:p>
        </w:tc>
        <w:tc>
          <w:tcPr>
            <w:tcW w:type="dxa" w:w="58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Automated work permit expiry tracking and proactive renewal prompts (7.2.3), with graduated (not abrupt) restriction of transacting capability.</w:t>
            </w:r>
          </w:p>
        </w:tc>
      </w:tr>
      <w:tr>
        <w:tc>
          <w:tcPr>
            <w:tcW w:type="dxa" w:w="4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Government remittance incentive scheme is discontinued or changed.</w:t>
            </w:r>
          </w:p>
        </w:tc>
        <w:tc>
          <w:tcPr>
            <w:tcW w:type="dxa" w:w="58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Incentive display and reconciliation are additive and clearly separated from the core Send Amount/Receive Amount calculation, so removal does not require re-architecting the remittance flow.</w:t>
            </w:r>
          </w:p>
        </w:tc>
      </w:tr>
    </w:tbl>
    <w:p>
      <w:pPr>
        <w:pStyle w:val="Heading1"/>
        <w:pageBreakBefore/>
        <w:pBdr>
          <w:bottom w:val="single" w:color="1F3864" w:sz="6" w:space="4"/>
        </w:pBdr>
        <w:spacing w:after="240" w:before="480"/>
      </w:pPr>
      <w:r>
        <w:rPr>
          <w:rFonts w:ascii="Calibri" w:cs="Calibri" w:eastAsia="Calibri" w:hAnsi="Calibri"/>
          <w:b/>
          <w:bCs/>
          <w:color w:val="1F3864"/>
          <w:sz w:val="32"/>
          <w:szCs w:val="32"/>
        </w:rPr>
        <w:t xml:space="preserve">10. Acceptance Criteria Approach</w:t>
      </w:r>
    </w:p>
    <w:p>
      <w:pPr>
        <w:spacing w:after="160" w:line="276"/>
      </w:pPr>
      <w:r>
        <w:rPr>
          <w:rFonts w:ascii="Calibri" w:cs="Calibri" w:eastAsia="Calibri" w:hAnsi="Calibri"/>
          <w:b w:val="false"/>
          <w:bCs w:val="false"/>
          <w:i w:val="false"/>
          <w:iCs w:val="false"/>
          <w:color w:val="222222"/>
          <w:sz w:val="21"/>
          <w:szCs w:val="21"/>
        </w:rPr>
        <w:t xml:space="preserve">This document describes business requirements at a level suitable for design and estimation. Detailed, testable acceptance criteria for each BPID referenced in Section 7 will be maintained separately in the live Requirement Traceability Matrix (RTM), using a Given/When/Then (Gherkin-style) format, for example:</w:t>
      </w:r>
    </w:p>
    <w:p>
      <w:pPr>
        <w:pBdr>
          <w:left w:val="single" w:color="0F6B72" w:sz="12" w:space="8"/>
        </w:pBdr>
        <w:spacing w:after="120" w:before="120"/>
        <w:ind w:left="360"/>
      </w:pPr>
      <w:r>
        <w:rPr>
          <w:rFonts w:ascii="Calibri" w:cs="Calibri" w:eastAsia="Calibri" w:hAnsi="Calibri"/>
          <w:i/>
          <w:iCs/>
          <w:color w:val="595959"/>
          <w:sz w:val="20"/>
          <w:szCs w:val="20"/>
        </w:rPr>
        <w:t xml:space="preserve">Given a registered customer with a linked bank beneficiary in Bangladesh, When they submit a remittance below their daily limit with a valid funding source, Then the transaction reaches "Processing" status within 10 seconds and the FX rate applied is locked and printed on the receipt.</w:t>
      </w:r>
    </w:p>
    <w:p>
      <w:pPr>
        <w:spacing w:after="160" w:line="276"/>
      </w:pPr>
      <w:r>
        <w:rPr>
          <w:rFonts w:ascii="Calibri" w:cs="Calibri" w:eastAsia="Calibri" w:hAnsi="Calibri"/>
          <w:b w:val="false"/>
          <w:bCs w:val="false"/>
          <w:i w:val="false"/>
          <w:iCs w:val="false"/>
          <w:color w:val="222222"/>
          <w:sz w:val="21"/>
          <w:szCs w:val="21"/>
        </w:rPr>
        <w:t xml:space="preserve">The RTM must map every BPID to: the originating business requirement (this document, by section), one or more test cases, the responsible tester, and the current pass/fail/blocked status. The RTM is considered a living document and takes precedence over this BRD only where a formally agreed change request has been logged against a specific BPID.</w:t>
      </w:r>
    </w:p>
    <w:p>
      <w:pPr>
        <w:pStyle w:val="Heading1"/>
        <w:pageBreakBefore/>
        <w:pBdr>
          <w:bottom w:val="single" w:color="1F3864" w:sz="6" w:space="4"/>
        </w:pBdr>
        <w:spacing w:after="240" w:before="480"/>
      </w:pPr>
      <w:r>
        <w:rPr>
          <w:rFonts w:ascii="Calibri" w:cs="Calibri" w:eastAsia="Calibri" w:hAnsi="Calibri"/>
          <w:b/>
          <w:bCs/>
          <w:color w:val="1F3864"/>
          <w:sz w:val="32"/>
          <w:szCs w:val="32"/>
        </w:rPr>
        <w:t xml:space="preserve">Appendix A — Sample Payout Partner &amp; Biller Reference List</w:t>
      </w:r>
    </w:p>
    <w:p>
      <w:pPr>
        <w:spacing w:after="160" w:line="276"/>
      </w:pPr>
      <w:r>
        <w:rPr>
          <w:rFonts w:ascii="Calibri" w:cs="Calibri" w:eastAsia="Calibri" w:hAnsi="Calibri"/>
          <w:b w:val="false"/>
          <w:bCs w:val="false"/>
          <w:i w:val="false"/>
          <w:iCs w:val="false"/>
          <w:color w:val="222222"/>
          <w:sz w:val="21"/>
          <w:szCs w:val="21"/>
        </w:rPr>
        <w:t xml:space="preserve">The following is an illustrative, non-exhaustive list to guide initial partner onboarding discussions. Final partner selection is subject to commercial agreement and licensing verification, and must be maintained as live configuration data (Section 7.1.6), not as a fixed list in code.</w:t>
      </w:r>
    </w:p>
    <w:p>
      <w:pPr>
        <w:pStyle w:val="Heading3"/>
        <w:spacing w:after="120" w:before="260"/>
      </w:pPr>
      <w:r>
        <w:rPr>
          <w:rFonts w:ascii="Calibri" w:cs="Calibri" w:eastAsia="Calibri" w:hAnsi="Calibri"/>
          <w:b/>
          <w:bCs/>
          <w:color w:val="0F6B72"/>
          <w:sz w:val="22"/>
          <w:szCs w:val="22"/>
        </w:rPr>
        <w:t xml:space="preserve">A.1 Illustrative Payout Banks / MFS Providers</w:t>
      </w:r>
    </w:p>
    <w:p>
      <w:pPr>
        <w:pStyle w:val="ListParagraph"/>
        <w:numPr>
          <w:ilvl w:val="0"/>
          <w:numId w:val="2"/>
        </w:numPr>
        <w:spacing w:after="80" w:line="264"/>
      </w:pPr>
      <w:r>
        <w:rPr>
          <w:rFonts w:ascii="Calibri" w:cs="Calibri" w:eastAsia="Calibri" w:hAnsi="Calibri"/>
          <w:sz w:val="21"/>
          <w:szCs w:val="21"/>
        </w:rPr>
        <w:t xml:space="preserve">Major Bangladeshi commercial banks with nationwide branch/BEFTN coverage.</w:t>
      </w:r>
    </w:p>
    <w:p>
      <w:pPr>
        <w:pStyle w:val="ListParagraph"/>
        <w:numPr>
          <w:ilvl w:val="0"/>
          <w:numId w:val="2"/>
        </w:numPr>
        <w:spacing w:after="80" w:line="264"/>
      </w:pPr>
      <w:r>
        <w:rPr>
          <w:rFonts w:ascii="Calibri" w:cs="Calibri" w:eastAsia="Calibri" w:hAnsi="Calibri"/>
          <w:sz w:val="21"/>
          <w:szCs w:val="21"/>
        </w:rPr>
        <w:t xml:space="preserve">bKash, Nagad, Rocket, Upay — mobile financial service (MFS) wallets.</w:t>
      </w:r>
    </w:p>
    <w:p>
      <w:pPr>
        <w:pStyle w:val="ListParagraph"/>
        <w:numPr>
          <w:ilvl w:val="0"/>
          <w:numId w:val="2"/>
        </w:numPr>
        <w:spacing w:after="80" w:line="264"/>
      </w:pPr>
      <w:r>
        <w:rPr>
          <w:rFonts w:ascii="Calibri" w:cs="Calibri" w:eastAsia="Calibri" w:hAnsi="Calibri"/>
          <w:sz w:val="21"/>
          <w:szCs w:val="21"/>
        </w:rPr>
        <w:t xml:space="preserve">A licensed cash-pickup agent network with coverage across major districts and rural upazilas relevant to the customer base's family locations.</w:t>
      </w:r>
    </w:p>
    <w:p>
      <w:pPr>
        <w:pStyle w:val="Heading3"/>
        <w:spacing w:after="120" w:before="260"/>
      </w:pPr>
      <w:r>
        <w:rPr>
          <w:rFonts w:ascii="Calibri" w:cs="Calibri" w:eastAsia="Calibri" w:hAnsi="Calibri"/>
          <w:b/>
          <w:bCs/>
          <w:color w:val="0F6B72"/>
          <w:sz w:val="22"/>
          <w:szCs w:val="22"/>
        </w:rPr>
        <w:t xml:space="preserve">A.2 Illustrative Utility Billers</w:t>
      </w:r>
    </w:p>
    <w:tbl>
      <w:tblPr>
        <w:tblW w:type="dxa" w:w="100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7400"/>
      </w:tblGrid>
      <w:tr>
        <w:trPr>
          <w:tblHeader/>
        </w:trPr>
        <w:tc>
          <w:tcPr>
            <w:tcW w:type="dxa" w:w="26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Category</w:t>
            </w:r>
          </w:p>
        </w:tc>
        <w:tc>
          <w:tcPr>
            <w:tcW w:type="dxa" w:w="74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Illustrative Billers</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Electricity</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DESCO, DPDC, NESCO, WZPDCL, PBS (Palli Bidyut Samity)</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Gas</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Titas Gas, Karnaphuli Gas, Jalalabad Gas, Bakhrabad Gas</w:t>
            </w:r>
          </w:p>
        </w:tc>
      </w:tr>
      <w:tr>
        <w:tc>
          <w:tcPr>
            <w:tcW w:type="dxa" w:w="2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Water</w:t>
            </w:r>
          </w:p>
        </w:tc>
        <w:tc>
          <w:tcPr>
            <w:tcW w:type="dxa" w:w="7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Dhaka WASA, Chattogram WASA</w:t>
            </w:r>
          </w:p>
        </w:tc>
      </w:tr>
      <w:tr>
        <w:tc>
          <w:tcPr>
            <w:tcW w:type="dxa" w:w="2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Mobile Operators</w:t>
            </w:r>
          </w:p>
        </w:tc>
        <w:tc>
          <w:tcPr>
            <w:tcW w:type="dxa" w:w="7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Grameenphone, Robi, Banglalink, Teletalk</w:t>
            </w:r>
          </w:p>
        </w:tc>
      </w:tr>
    </w:tbl>
    <w:p>
      <w:pPr>
        <w:pStyle w:val="Heading1"/>
        <w:pageBreakBefore/>
        <w:pBdr>
          <w:bottom w:val="single" w:color="1F3864" w:sz="6" w:space="4"/>
        </w:pBdr>
        <w:spacing w:after="240" w:before="480"/>
      </w:pPr>
      <w:r>
        <w:rPr>
          <w:rFonts w:ascii="Calibri" w:cs="Calibri" w:eastAsia="Calibri" w:hAnsi="Calibri"/>
          <w:b/>
          <w:bCs/>
          <w:color w:val="1F3864"/>
          <w:sz w:val="32"/>
          <w:szCs w:val="32"/>
        </w:rPr>
        <w:t xml:space="preserve">Appendix B — Document Sign-Off</w:t>
      </w:r>
    </w:p>
    <w:p>
      <w:pPr>
        <w:spacing w:after="160" w:line="276"/>
      </w:pPr>
      <w:r>
        <w:rPr>
          <w:rFonts w:ascii="Calibri" w:cs="Calibri" w:eastAsia="Calibri" w:hAnsi="Calibri"/>
          <w:b w:val="false"/>
          <w:bCs w:val="false"/>
          <w:i w:val="false"/>
          <w:iCs w:val="false"/>
          <w:color w:val="222222"/>
          <w:sz w:val="21"/>
          <w:szCs w:val="21"/>
        </w:rPr>
        <w:t xml:space="preserve">By signing below, the named stakeholders confirm they have reviewed this Business Requirements Document and agree it accurately represents the intended scope for the RemmiNext platform described herein.</w:t>
      </w:r>
    </w:p>
    <w:tbl>
      <w:tblPr>
        <w:tblW w:type="dxa" w:w="1000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3600"/>
        <w:gridCol w:w="2200"/>
        <w:gridCol w:w="1800"/>
      </w:tblGrid>
      <w:tr>
        <w:trPr>
          <w:tblHeader/>
        </w:trPr>
        <w:tc>
          <w:tcPr>
            <w:tcW w:type="dxa" w:w="24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Name</w:t>
            </w:r>
          </w:p>
        </w:tc>
        <w:tc>
          <w:tcPr>
            <w:tcW w:type="dxa" w:w="36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Role</w:t>
            </w:r>
          </w:p>
        </w:tc>
        <w:tc>
          <w:tcPr>
            <w:tcW w:type="dxa" w:w="22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Signature</w:t>
            </w:r>
          </w:p>
        </w:tc>
        <w:tc>
          <w:tcPr>
            <w:tcW w:type="dxa" w:w="1800"/>
            <w:shd w:fill="1F3864" w:val="clear"/>
            <w:tcMar>
              <w:top w:type="dxa" w:w="90"/>
              <w:left w:type="dxa" w:w="110"/>
              <w:bottom w:type="dxa" w:w="90"/>
              <w:right w:type="dxa" w:w="110"/>
            </w:tcMar>
            <w:vAlign w:val="center"/>
          </w:tcPr>
          <w:p>
            <w:pPr>
              <w:spacing w:after="40"/>
            </w:pPr>
            <w:r>
              <w:rPr>
                <w:rFonts w:ascii="Calibri" w:cs="Calibri" w:eastAsia="Calibri" w:hAnsi="Calibri"/>
                <w:b/>
                <w:bCs/>
                <w:color w:val="FFFFFF"/>
                <w:sz w:val="19"/>
                <w:szCs w:val="19"/>
              </w:rPr>
              <w:t xml:space="preserve">Date</w:t>
            </w:r>
          </w:p>
        </w:tc>
      </w:tr>
      <w:tr>
        <w:tc>
          <w:tcPr>
            <w:tcW w:type="dxa" w:w="2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
            </w:r>
          </w:p>
        </w:tc>
        <w:tc>
          <w:tcPr>
            <w:tcW w:type="dxa" w:w="3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Chief Executive Officer, RemmiNext</w:t>
            </w:r>
          </w:p>
        </w:tc>
        <w:tc>
          <w:tcPr>
            <w:tcW w:type="dxa" w:w="2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
            </w:r>
          </w:p>
        </w:tc>
        <w:tc>
          <w:tcPr>
            <w:tcW w:type="dxa" w:w="18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
            </w:r>
          </w:p>
        </w:tc>
      </w:tr>
      <w:tr>
        <w:tc>
          <w:tcPr>
            <w:tcW w:type="dxa" w:w="2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
            </w:r>
          </w:p>
        </w:tc>
        <w:tc>
          <w:tcPr>
            <w:tcW w:type="dxa" w:w="3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Head of Compliance (MLRO), RemmiNext</w:t>
            </w:r>
          </w:p>
        </w:tc>
        <w:tc>
          <w:tcPr>
            <w:tcW w:type="dxa" w:w="2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
            </w:r>
          </w:p>
        </w:tc>
        <w:tc>
          <w:tcPr>
            <w:tcW w:type="dxa" w:w="18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
            </w:r>
          </w:p>
        </w:tc>
      </w:tr>
      <w:tr>
        <w:tc>
          <w:tcPr>
            <w:tcW w:type="dxa" w:w="24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
            </w:r>
          </w:p>
        </w:tc>
        <w:tc>
          <w:tcPr>
            <w:tcW w:type="dxa" w:w="36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Head of Product, RemmiNext</w:t>
            </w:r>
          </w:p>
        </w:tc>
        <w:tc>
          <w:tcPr>
            <w:tcW w:type="dxa" w:w="22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
            </w:r>
          </w:p>
        </w:tc>
        <w:tc>
          <w:tcPr>
            <w:tcW w:type="dxa" w:w="1800"/>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
            </w:r>
          </w:p>
        </w:tc>
      </w:tr>
      <w:tr>
        <w:tc>
          <w:tcPr>
            <w:tcW w:type="dxa" w:w="24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
            </w:r>
          </w:p>
        </w:tc>
        <w:tc>
          <w:tcPr>
            <w:tcW w:type="dxa" w:w="36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Project Manager, Delivery Partner</w:t>
            </w:r>
          </w:p>
        </w:tc>
        <w:tc>
          <w:tcPr>
            <w:tcW w:type="dxa" w:w="22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
            </w:r>
          </w:p>
        </w:tc>
        <w:tc>
          <w:tcPr>
            <w:tcW w:type="dxa" w:w="1800"/>
            <w:shd w:fill="EDF2F7" w:val="clear"/>
            <w:tcMar>
              <w:top w:type="dxa" w:w="90"/>
              <w:left w:type="dxa" w:w="110"/>
              <w:bottom w:type="dxa" w:w="90"/>
              <w:right w:type="dxa" w:w="110"/>
            </w:tcMar>
            <w:vAlign w:val="center"/>
          </w:tcPr>
          <w:p>
            <w:pPr>
              <w:spacing w:after="40"/>
            </w:pPr>
            <w:r>
              <w:rPr>
                <w:rFonts w:ascii="Calibri" w:cs="Calibri" w:eastAsia="Calibri" w:hAnsi="Calibri"/>
                <w:b w:val="false"/>
                <w:bCs w:val="false"/>
                <w:color w:val="222222"/>
                <w:sz w:val="19"/>
                <w:szCs w:val="19"/>
              </w:rPr>
              <w:t xml:space="preserve"/>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rFonts w:ascii="Calibri" w:cs="Calibri" w:eastAsia="Calibri" w:hAnsi="Calibri"/>
        <w:color w:val="595959"/>
        <w:sz w:val="16"/>
        <w:szCs w:val="16"/>
      </w:rPr>
      <w:t xml:space="preserve">RemmiNext — Business Requirements Document</w:t>
    </w:r>
    <w:r>
      <w:rPr>
        <w:rFonts w:ascii="Calibri" w:cs="Calibri" w:eastAsia="Calibri" w:hAnsi="Calibri"/>
        <w:color w:val="59595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RemmiNext Business Requirements Document</dc:title>
  <dc:creator>RemmiNext Business Analysis Team</dc:creator>
  <dc:description>Business Requirements Document for RemmiNext — Malaysia to Bangladesh remittance, bill payment, and savings/DPS platform</dc:description>
  <cp:lastModifiedBy>Un-named</cp:lastModifiedBy>
  <cp:revision>1</cp:revision>
  <dcterms:created xsi:type="dcterms:W3CDTF">2026-07-16T08:34:08.070Z</dcterms:created>
  <dcterms:modified xsi:type="dcterms:W3CDTF">2026-07-16T08:34:08.071Z</dcterms:modified>
</cp:coreProperties>
</file>

<file path=docProps/custom.xml><?xml version="1.0" encoding="utf-8"?>
<Properties xmlns="http://schemas.openxmlformats.org/officeDocument/2006/custom-properties" xmlns:vt="http://schemas.openxmlformats.org/officeDocument/2006/docPropsVTypes"/>
</file>