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40" w:lineRule="auto"/>
        <w:jc w:val="center"/>
        <w:rPr/>
        <w:sectPr>
          <w:pgSz w:h="15840" w:w="12240" w:orient="portrait"/>
          <w:pgMar w:bottom="0" w:top="0" w:left="0" w:right="0" w:header="0" w:footer="0"/>
          <w:pgNumType w:start="1"/>
        </w:sectPr>
      </w:pPr>
      <w:r w:rsidDel="00000000" w:rsidR="00000000" w:rsidRPr="00000000">
        <w:rPr/>
        <w:drawing>
          <wp:inline distB="0" distT="0" distL="114300" distR="114300">
            <wp:extent cx="8050803" cy="10053638"/>
            <wp:effectExtent b="0" l="0" r="0" t="0"/>
            <wp:docPr descr="Cover illustration: a Bangladeshi woman uses a phone at a community service desk; title Shebar Janala and subtitle A clear path from need to public service." id="1" name="image20.png"/>
            <a:graphic>
              <a:graphicData uri="http://schemas.openxmlformats.org/drawingml/2006/picture">
                <pic:pic>
                  <pic:nvPicPr>
                    <pic:cNvPr descr="Cover illustration: a Bangladeshi woman uses a phone at a community service desk; title Shebar Janala and subtitle A clear path from need to public service." id="0" name="image20.png"/>
                    <pic:cNvPicPr preferRelativeResize="0"/>
                  </pic:nvPicPr>
                  <pic:blipFill>
                    <a:blip r:embed="rId6"/>
                    <a:srcRect b="3504" l="0" r="0" t="0"/>
                    <a:stretch>
                      <a:fillRect/>
                    </a:stretch>
                  </pic:blipFill>
                  <pic:spPr>
                    <a:xfrm>
                      <a:off x="0" y="0"/>
                      <a:ext cx="8050803" cy="10053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01 | THE HUMAN PROBLEM</w:t>
      </w:r>
      <w:r w:rsidDel="00000000" w:rsidR="00000000" w:rsidRPr="00000000">
        <w:rPr>
          <w:rtl w:val="0"/>
        </w:rPr>
      </w:r>
    </w:p>
    <w:p w:rsidR="00000000" w:rsidDel="00000000" w:rsidP="00000000" w:rsidRDefault="00000000" w:rsidRPr="00000000" w14:paraId="00000003">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The distance between a need and a service</w:t>
      </w:r>
      <w:r w:rsidDel="00000000" w:rsidR="00000000" w:rsidRPr="00000000">
        <w:rPr>
          <w:rtl w:val="0"/>
        </w:rPr>
      </w:r>
    </w:p>
    <w:p w:rsidR="00000000" w:rsidDel="00000000" w:rsidP="00000000" w:rsidRDefault="00000000" w:rsidRPr="00000000" w14:paraId="00000004">
      <w:pPr>
        <w:keepNext w:val="0"/>
        <w:spacing w:after="140" w:before="0" w:line="240" w:lineRule="auto"/>
        <w:rPr>
          <w:b w:val="1"/>
          <w:bCs w:val="1"/>
          <w:color w:val="084b39"/>
        </w:rPr>
      </w:pPr>
      <w:r w:rsidDel="00000000" w:rsidR="00000000" w:rsidRPr="00000000">
        <w:rPr>
          <w:rtl w:val="0"/>
        </w:rPr>
      </w:r>
    </w:p>
    <w:p w:rsidR="00000000" w:rsidDel="00000000" w:rsidP="00000000" w:rsidRDefault="00000000" w:rsidRPr="00000000" w14:paraId="00000005">
      <w:pPr>
        <w:keepNext w:val="0"/>
        <w:spacing w:after="14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The barrier is rarely a complete absence of services. </w:t>
      </w:r>
      <w:r w:rsidDel="00000000" w:rsidR="00000000" w:rsidRPr="00000000">
        <w:rPr>
          <w:rFonts w:ascii="Times New Roman" w:cs="Times New Roman" w:eastAsia="Times New Roman" w:hAnsi="Times New Roman"/>
          <w:b w:val="0"/>
          <w:bCs w:val="0"/>
          <w:i w:val="0"/>
          <w:iCs w:val="0"/>
          <w:color w:val="1a1e1c"/>
          <w:sz w:val="24"/>
          <w:szCs w:val="24"/>
          <w:rtl w:val="0"/>
        </w:rPr>
        <w:t xml:space="preserve">It is the distance between a person’s lived situation and the administrative language, channels and proof required to reach the right 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523875</wp:posOffset>
            </wp:positionV>
            <wp:extent cx="2378393" cy="2132737"/>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7"/>
                    <a:srcRect b="0" l="0" r="0" t="28229"/>
                    <a:stretch>
                      <a:fillRect/>
                    </a:stretch>
                  </pic:blipFill>
                  <pic:spPr>
                    <a:xfrm>
                      <a:off x="0" y="0"/>
                      <a:ext cx="2378393" cy="2132737"/>
                    </a:xfrm>
                    <a:prstGeom prst="rect"/>
                    <a:ln/>
                  </pic:spPr>
                </pic:pic>
              </a:graphicData>
            </a:graphic>
          </wp:anchor>
        </w:drawing>
      </w:r>
    </w:p>
    <w:p w:rsidR="00000000" w:rsidDel="00000000" w:rsidP="00000000" w:rsidRDefault="00000000" w:rsidRPr="00000000" w14:paraId="00000006">
      <w:pPr>
        <w:keepNext w:val="0"/>
        <w:spacing w:after="140" w:before="0" w:line="240" w:lineRule="auto"/>
        <w:rPr/>
      </w:pPr>
      <w:r w:rsidDel="00000000" w:rsidR="00000000" w:rsidRPr="00000000">
        <w:rPr>
          <w:rtl w:val="0"/>
        </w:rPr>
      </w:r>
    </w:p>
    <w:tbl>
      <w:tblPr>
        <w:tblStyle w:val="Table1"/>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007">
            <w:pPr>
              <w:keepNext w:val="0"/>
              <w:spacing w:after="20" w:before="0" w:line="240" w:lineRule="auto"/>
              <w:jc w:val="right"/>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scenario  </w:t>
            </w:r>
            <w:r w:rsidDel="00000000" w:rsidR="00000000" w:rsidRPr="00000000">
              <w:rPr>
                <w:rFonts w:ascii="Times New Roman" w:cs="Times New Roman" w:eastAsia="Times New Roman" w:hAnsi="Times New Roman"/>
                <w:b w:val="0"/>
                <w:bCs w:val="0"/>
                <w:i w:val="1"/>
                <w:iCs w:val="1"/>
                <w:color w:val="1a1e1c"/>
                <w:sz w:val="24"/>
                <w:szCs w:val="24"/>
                <w:rtl w:val="0"/>
              </w:rPr>
              <w:t xml:space="preserve">Rokeya</w:t>
            </w:r>
            <w:r w:rsidDel="00000000" w:rsidR="00000000" w:rsidRPr="00000000">
              <w:rPr>
                <w:rFonts w:ascii="Times New Roman" w:cs="Times New Roman" w:eastAsia="Times New Roman" w:hAnsi="Times New Roman"/>
                <w:b w:val="0"/>
                <w:bCs w:val="0"/>
                <w:i w:val="0"/>
                <w:iCs w:val="0"/>
                <w:color w:val="1a1e1c"/>
                <w:sz w:val="24"/>
                <w:szCs w:val="24"/>
                <w:rtl w:val="0"/>
              </w:rPr>
              <w:t xml:space="preserve"> has recently lost her husband. She has heard that an allowance may exist, but she does not know the programme name, whether her age, income and location meet its rules, which documents are required, or where to ask. A portal can show pages. A helpline can explain a question. A general assistant can sound confident. What Rokeya needs is a clear answer in Bangla, the basis for that answer, an honest statement of uncertainty, and one practical next step. Rokeya is illustrative, not a verified beneficiary or pilot participant.</w:t>
            </w:r>
            <w:r w:rsidDel="00000000" w:rsidR="00000000" w:rsidRPr="00000000">
              <w:rPr>
                <w:rtl w:val="0"/>
              </w:rPr>
            </w:r>
          </w:p>
        </w:tc>
      </w:tr>
    </w:tbl>
    <w:p w:rsidR="00000000" w:rsidDel="00000000" w:rsidP="00000000" w:rsidRDefault="00000000" w:rsidRPr="00000000" w14:paraId="00000008">
      <w:pPr>
        <w:keepNext w:val="0"/>
        <w:spacing w:after="20" w:before="0" w:line="240" w:lineRule="auto"/>
        <w:rPr/>
      </w:pPr>
      <w:r w:rsidDel="00000000" w:rsidR="00000000" w:rsidRPr="00000000">
        <w:rPr>
          <w:rtl w:val="0"/>
        </w:rPr>
      </w:r>
    </w:p>
    <w:p w:rsidR="00000000" w:rsidDel="00000000" w:rsidP="00000000" w:rsidRDefault="00000000" w:rsidRPr="00000000" w14:paraId="00000009">
      <w:pPr>
        <w:keepNext w:val="1"/>
        <w:spacing w:after="40" w:before="40" w:line="240" w:lineRule="auto"/>
        <w:jc w:val="center"/>
        <w:rPr/>
      </w:pPr>
      <w:r w:rsidDel="00000000" w:rsidR="00000000" w:rsidRPr="00000000">
        <w:rPr/>
        <w:drawing>
          <wp:inline distB="0" distT="0" distL="114300" distR="114300">
            <wp:extent cx="6309360" cy="1640434"/>
            <wp:effectExtent b="0" l="0" r="0" t="0"/>
            <wp:docPr descr="Five linked barriers: discover, understand, decide, act, and trust or remedy." id="2" name="image8.png"/>
            <a:graphic>
              <a:graphicData uri="http://schemas.openxmlformats.org/drawingml/2006/picture">
                <pic:pic>
                  <pic:nvPicPr>
                    <pic:cNvPr descr="Five linked barriers: discover, understand, decide, act, and trust or remedy." id="0" name="image8.png"/>
                    <pic:cNvPicPr preferRelativeResize="0"/>
                  </pic:nvPicPr>
                  <pic:blipFill>
                    <a:blip r:embed="rId8"/>
                    <a:srcRect b="0" l="0" r="0" t="0"/>
                    <a:stretch>
                      <a:fillRect/>
                    </a:stretch>
                  </pic:blipFill>
                  <pic:spPr>
                    <a:xfrm>
                      <a:off x="0" y="0"/>
                      <a:ext cx="6309360" cy="16404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1. The access gap is a chain; failure at any link can turn an available service into an unreachable one.</w:t>
      </w:r>
      <w:r w:rsidDel="00000000" w:rsidR="00000000" w:rsidRPr="00000000">
        <w:rPr>
          <w:rtl w:val="0"/>
        </w:rPr>
      </w:r>
    </w:p>
    <w:p w:rsidR="00000000" w:rsidDel="00000000" w:rsidP="00000000" w:rsidRDefault="00000000" w:rsidRPr="00000000" w14:paraId="0000000B">
      <w:pPr>
        <w:keepNext w:val="0"/>
        <w:spacing w:after="100" w:before="0" w:line="240" w:lineRule="auto"/>
        <w:rPr/>
      </w:pPr>
      <w:r w:rsidDel="00000000" w:rsidR="00000000" w:rsidRPr="00000000">
        <w:rPr>
          <w:rtl w:val="0"/>
        </w:rPr>
      </w:r>
    </w:p>
    <w:p w:rsidR="00000000" w:rsidDel="00000000" w:rsidP="00000000" w:rsidRDefault="00000000" w:rsidRPr="00000000" w14:paraId="0000000C">
      <w:pPr>
        <w:keepNext w:val="0"/>
        <w:spacing w:after="100" w:before="0" w:line="240" w:lineRule="auto"/>
        <w:rPr/>
      </w:pPr>
      <w:r w:rsidDel="00000000" w:rsidR="00000000" w:rsidRPr="00000000">
        <w:rPr>
          <w:rtl w:val="0"/>
        </w:rPr>
      </w:r>
    </w:p>
    <w:p w:rsidR="00000000" w:rsidDel="00000000" w:rsidP="00000000" w:rsidRDefault="00000000" w:rsidRPr="00000000" w14:paraId="0000000D">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Bangladesh’s official social-protection strategy describes continuing fragmentation, targeting errors, exclusion of poor and vulnerable households, uneven accountability and weak coverage for some groups even after major progress in digitisation.[1] These are not arguments against existing systems. They are evidence that a citizen-facing navigation and explanation layer still matters.</w:t>
      </w:r>
      <w:r w:rsidDel="00000000" w:rsidR="00000000" w:rsidRPr="00000000">
        <w:rPr>
          <w:rtl w:val="0"/>
        </w:rPr>
      </w:r>
    </w:p>
    <w:p w:rsidR="00000000" w:rsidDel="00000000" w:rsidP="00000000" w:rsidRDefault="00000000" w:rsidRPr="00000000" w14:paraId="0000000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burden is heaviest for people who must cross several barriers at once: limited literacy or digital confidence, Bangla-first communication, shared devices, uncertain connectivity, disability, distance from an office, or a life event that does not map neatly to a ministry name.</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02 | EXISTING SOLUTIONS AND THE VISION</w:t>
      </w:r>
      <w:r w:rsidDel="00000000" w:rsidR="00000000" w:rsidRPr="00000000">
        <w:rPr>
          <w:rtl w:val="0"/>
        </w:rPr>
      </w:r>
    </w:p>
    <w:p w:rsidR="00000000" w:rsidDel="00000000" w:rsidP="00000000" w:rsidRDefault="00000000" w:rsidRPr="00000000" w14:paraId="0000001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1"/>
          <w:iCs w:val="1"/>
          <w:color w:val="084b39"/>
          <w:sz w:val="44"/>
          <w:szCs w:val="44"/>
          <w:rtl w:val="0"/>
        </w:rPr>
        <w:t xml:space="preserve">Complement</w:t>
      </w:r>
      <w:r w:rsidDel="00000000" w:rsidR="00000000" w:rsidRPr="00000000">
        <w:rPr>
          <w:rFonts w:ascii="Times New Roman" w:cs="Times New Roman" w:eastAsia="Times New Roman" w:hAnsi="Times New Roman"/>
          <w:b w:val="1"/>
          <w:bCs w:val="1"/>
          <w:i w:val="0"/>
          <w:iCs w:val="0"/>
          <w:color w:val="084b39"/>
          <w:sz w:val="44"/>
          <w:szCs w:val="44"/>
          <w:rtl w:val="0"/>
        </w:rPr>
        <w:t xml:space="preserve"> the channels that already work</w:t>
      </w:r>
      <w:r w:rsidDel="00000000" w:rsidR="00000000" w:rsidRPr="00000000">
        <w:rPr>
          <w:rtl w:val="0"/>
        </w:rPr>
      </w:r>
    </w:p>
    <w:p w:rsidR="00000000" w:rsidDel="00000000" w:rsidP="00000000" w:rsidRDefault="00000000" w:rsidRPr="00000000" w14:paraId="00000012">
      <w:pPr>
        <w:keepNext w:val="0"/>
        <w:spacing w:after="140" w:before="0" w:line="240" w:lineRule="auto"/>
        <w:rPr>
          <w:rFonts w:ascii="Times New Roman" w:cs="Times New Roman" w:eastAsia="Times New Roman" w:hAnsi="Times New Roman"/>
          <w:b w:val="0"/>
          <w:bCs w:val="0"/>
          <w:i w:val="0"/>
          <w:iCs w:val="0"/>
          <w:color w:val="1a1e1c"/>
          <w:sz w:val="24"/>
          <w:szCs w:val="24"/>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 already has important public-service channels. Shebar Janala is not a replacement portal, call centre or authority. Its role is to translate a lived need into grounded guidance, then hand the citizen to the relevant official or assisted channel with a clearer case.</w:t>
      </w:r>
    </w:p>
    <w:p w:rsidR="00000000" w:rsidDel="00000000" w:rsidP="00000000" w:rsidRDefault="00000000" w:rsidRPr="00000000" w14:paraId="00000013">
      <w:pPr>
        <w:keepNext w:val="0"/>
        <w:spacing w:after="140" w:before="0" w:line="240" w:lineRule="auto"/>
        <w:rPr/>
      </w:pPr>
      <w:r w:rsidDel="00000000" w:rsidR="00000000" w:rsidRPr="00000000">
        <w:rPr>
          <w:rtl w:val="0"/>
        </w:rPr>
      </w:r>
    </w:p>
    <w:tbl>
      <w:tblPr>
        <w:tblStyle w:val="Table2"/>
        <w:tblW w:w="9936.0" w:type="dxa"/>
        <w:jc w:val="left"/>
        <w:tblInd w:w="5.0" w:type="dxa"/>
        <w:tblLayout w:type="fixed"/>
        <w:tblLook w:val="0400"/>
      </w:tblPr>
      <w:tblGrid>
        <w:gridCol w:w="1944"/>
        <w:gridCol w:w="3240"/>
        <w:gridCol w:w="4752"/>
        <w:tblGridChange w:id="0">
          <w:tblGrid>
            <w:gridCol w:w="1944"/>
            <w:gridCol w:w="3240"/>
            <w:gridCol w:w="4752"/>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Existing channel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What it does well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Where Shebar Janala adds a distinct layer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myGov</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One-stop search, application and status functions across government services.[2]</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Begins from a free-form life event; evaluates encoded programme rules; explains conditions and uncertainty.</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A">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National Helpline 333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Voice-based information, service assistance and grievance access without requiring internet literacy.[3]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Creates a persistent, replayable rule trace, saved plan and follow-up record that can support a call or referral.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Union Digital Centres / caseworkers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Trusted assisted access for people who need human help.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Gives the operator a consistent bilingual explanation, document checklist and next-step workflow.</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General-purpose AI</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Flexible conversation and plain-language explanation.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Restricts citizen-visible facts to retrieved records; encoded rules—not a language model—evaluate eligibility guidance.</w:t>
            </w:r>
            <w:r w:rsidDel="00000000" w:rsidR="00000000" w:rsidRPr="00000000">
              <w:rPr>
                <w:rtl w:val="0"/>
              </w:rPr>
            </w:r>
          </w:p>
        </w:tc>
      </w:tr>
    </w:tbl>
    <w:p w:rsidR="00000000" w:rsidDel="00000000" w:rsidP="00000000" w:rsidRDefault="00000000" w:rsidRPr="00000000" w14:paraId="00000023">
      <w:pPr>
        <w:keepNext w:val="0"/>
        <w:spacing w:after="20" w:before="0" w:line="240" w:lineRule="auto"/>
        <w:rPr/>
      </w:pPr>
      <w:r w:rsidDel="00000000" w:rsidR="00000000" w:rsidRPr="00000000">
        <w:rPr>
          <w:rtl w:val="0"/>
        </w:rPr>
      </w:r>
    </w:p>
    <w:p w:rsidR="00000000" w:rsidDel="00000000" w:rsidP="00000000" w:rsidRDefault="00000000" w:rsidRPr="00000000" w14:paraId="00000024">
      <w:pPr>
        <w:keepNext w:val="1"/>
        <w:spacing w:after="80" w:before="140" w:line="240" w:lineRule="auto"/>
        <w:rPr>
          <w:b w:val="1"/>
          <w:bCs w:val="1"/>
          <w:color w:val="084b39"/>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304800</wp:posOffset>
            </wp:positionV>
            <wp:extent cx="1717357" cy="3812750"/>
            <wp:effectExtent b="25400" l="25400" r="25400" t="25400"/>
            <wp:wrapSquare wrapText="bothSides" distB="114300" distT="114300" distL="114300" distR="114300"/>
            <wp:docPr id="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1717357" cy="3812750"/>
                    </a:xfrm>
                    <a:prstGeom prst="rect"/>
                    <a:ln w="25400">
                      <a:solidFill>
                        <a:srgbClr val="0E7A5C"/>
                      </a:solidFill>
                      <a:prstDash val="solid"/>
                    </a:ln>
                  </pic:spPr>
                </pic:pic>
              </a:graphicData>
            </a:graphic>
          </wp:anchor>
        </w:drawing>
      </w:r>
    </w:p>
    <w:p w:rsidR="00000000" w:rsidDel="00000000" w:rsidP="00000000" w:rsidRDefault="00000000" w:rsidRPr="00000000" w14:paraId="00000025">
      <w:pPr>
        <w:keepNext w:val="1"/>
        <w:spacing w:after="80" w:before="140" w:line="240" w:lineRule="auto"/>
        <w:rPr>
          <w:b w:val="1"/>
          <w:bCs w:val="1"/>
          <w:color w:val="084b39"/>
          <w:sz w:val="48"/>
          <w:szCs w:val="48"/>
        </w:rPr>
      </w:pPr>
      <w:r w:rsidDel="00000000" w:rsidR="00000000" w:rsidRPr="00000000">
        <w:rPr>
          <w:rtl w:val="0"/>
        </w:rPr>
      </w:r>
    </w:p>
    <w:p w:rsidR="00000000" w:rsidDel="00000000" w:rsidP="00000000" w:rsidRDefault="00000000" w:rsidRPr="00000000" w14:paraId="00000026">
      <w:pPr>
        <w:keepNext w:val="1"/>
        <w:spacing w:after="80" w:before="140" w:line="240" w:lineRule="auto"/>
        <w:rPr>
          <w:sz w:val="48"/>
          <w:szCs w:val="48"/>
        </w:rPr>
      </w:pPr>
      <w:r w:rsidDel="00000000" w:rsidR="00000000" w:rsidRPr="00000000">
        <w:rPr>
          <w:rFonts w:ascii="Times New Roman" w:cs="Times New Roman" w:eastAsia="Times New Roman" w:hAnsi="Times New Roman"/>
          <w:b w:val="1"/>
          <w:bCs w:val="1"/>
          <w:i w:val="0"/>
          <w:iCs w:val="0"/>
          <w:color w:val="084b39"/>
          <w:sz w:val="48"/>
          <w:szCs w:val="48"/>
          <w:rtl w:val="0"/>
        </w:rPr>
        <w:t xml:space="preserve">The vision</w:t>
      </w:r>
      <w:r w:rsidDel="00000000" w:rsidR="00000000" w:rsidRPr="00000000">
        <w:rPr>
          <w:rtl w:val="0"/>
        </w:rPr>
      </w:r>
    </w:p>
    <w:p w:rsidR="00000000" w:rsidDel="00000000" w:rsidP="00000000" w:rsidRDefault="00000000" w:rsidRPr="00000000" w14:paraId="00000027">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person should be able to say what happened in their own words and leave with a defensible next step: relevant services, a condition-by-condition explanation, required documents, a nearby place to go, and a record they can return to. The same system should let authorised local actors review issues, entitlements and public-resource signals without hiding uncertainty or sample data.</w:t>
      </w:r>
      <w:r w:rsidDel="00000000" w:rsidR="00000000" w:rsidRPr="00000000">
        <w:rPr>
          <w:rtl w:val="0"/>
        </w:rPr>
      </w:r>
    </w:p>
    <w:tbl>
      <w:tblPr>
        <w:tblStyle w:val="Table3"/>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9a4b0b" w:space="0" w:sz="12" w:val="single"/>
              <w:bottom w:color="9a4b0b" w:space="0" w:sz="12" w:val="single"/>
            </w:tcBorders>
            <w:shd w:fill="fff1d9" w:val="clear"/>
            <w:tcMar>
              <w:top w:w="130.0" w:type="dxa"/>
              <w:bottom w:w="130.0" w:type="dxa"/>
            </w:tcMar>
            <w:vAlign w:val="center"/>
          </w:tcPr>
          <w:p w:rsidR="00000000" w:rsidDel="00000000" w:rsidP="00000000" w:rsidRDefault="00000000" w:rsidRPr="00000000" w14:paraId="00000028">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9a4b0b"/>
                <w:sz w:val="24"/>
                <w:szCs w:val="24"/>
                <w:rtl w:val="0"/>
              </w:rPr>
              <w:t xml:space="preserve">Scope today  </w:t>
            </w:r>
            <w:r w:rsidDel="00000000" w:rsidR="00000000" w:rsidRPr="00000000">
              <w:rPr>
                <w:rFonts w:ascii="Times New Roman" w:cs="Times New Roman" w:eastAsia="Times New Roman" w:hAnsi="Times New Roman"/>
                <w:b w:val="0"/>
                <w:bCs w:val="0"/>
                <w:i w:val="0"/>
                <w:iCs w:val="0"/>
                <w:color w:val="1a1e1c"/>
                <w:sz w:val="24"/>
                <w:szCs w:val="24"/>
                <w:rtl w:val="0"/>
              </w:rPr>
              <w:t xml:space="preserve">A working bilingual prototype joins service discovery, encoded-rule eligibility guidance, action planning, nearby-service discovery, issue reporting, entitlements, local budget visibility, oversight and public transparency. The data shown in demonstration dashboards is sample data. No government or NGO adoption, nationwide coverage or real-world outcome is claimed.</w:t>
            </w:r>
            <w:r w:rsidDel="00000000" w:rsidR="00000000" w:rsidRPr="00000000">
              <w:rPr>
                <w:rtl w:val="0"/>
              </w:rPr>
            </w:r>
          </w:p>
        </w:tc>
      </w:tr>
    </w:tbl>
    <w:p w:rsidR="00000000" w:rsidDel="00000000" w:rsidP="00000000" w:rsidRDefault="00000000" w:rsidRPr="00000000" w14:paraId="00000029">
      <w:pPr>
        <w:keepNext w:val="0"/>
        <w:spacing w:after="20" w:before="0" w:lin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03 | THE SOLUTION</w:t>
      </w:r>
      <w:r w:rsidDel="00000000" w:rsidR="00000000" w:rsidRPr="00000000">
        <w:rPr>
          <w:rtl w:val="0"/>
        </w:rPr>
      </w:r>
    </w:p>
    <w:p w:rsidR="00000000" w:rsidDel="00000000" w:rsidP="00000000" w:rsidRDefault="00000000" w:rsidRPr="00000000" w14:paraId="0000002C">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One journey, not another directory</w:t>
      </w:r>
      <w:r w:rsidDel="00000000" w:rsidR="00000000" w:rsidRPr="00000000">
        <w:rPr>
          <w:rtl w:val="0"/>
        </w:rPr>
      </w:r>
    </w:p>
    <w:p w:rsidR="00000000" w:rsidDel="00000000" w:rsidP="00000000" w:rsidRDefault="00000000" w:rsidRPr="00000000" w14:paraId="0000002D">
      <w:pPr>
        <w:keepNext w:val="0"/>
        <w:spacing w:after="12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organises public-service access around the citizen’s journey rather than the institution’s org chart. A person can ask in Bangla or English, explore programmes, receive rule-based guidance, see documents and service locations, save an opportunity, create an action plan, and track progress. Related civic workflows extend the same idea to local issues, entitlements and public-resource transparency.</w:t>
      </w:r>
      <w:r w:rsidDel="00000000" w:rsidR="00000000" w:rsidRPr="00000000">
        <w:rPr>
          <w:rtl w:val="0"/>
        </w:rPr>
      </w:r>
    </w:p>
    <w:p w:rsidR="00000000" w:rsidDel="00000000" w:rsidP="00000000" w:rsidRDefault="00000000" w:rsidRPr="00000000" w14:paraId="0000002E">
      <w:pPr>
        <w:keepNext w:val="1"/>
        <w:spacing w:after="40" w:before="40" w:line="240" w:lineRule="auto"/>
        <w:jc w:val="center"/>
        <w:rPr/>
      </w:pPr>
      <w:r w:rsidDel="00000000" w:rsidR="00000000" w:rsidRPr="00000000">
        <w:rPr/>
        <w:drawing>
          <wp:inline distB="0" distT="0" distL="114300" distR="114300">
            <wp:extent cx="6309360" cy="1556309"/>
            <wp:effectExtent b="0" l="0" r="0" t="0"/>
            <wp:docPr descr="Citizen journey from need to finding, checking, explaining, acting and tracking." id="3" name="image2.png"/>
            <a:graphic>
              <a:graphicData uri="http://schemas.openxmlformats.org/drawingml/2006/picture">
                <pic:pic>
                  <pic:nvPicPr>
                    <pic:cNvPr descr="Citizen journey from need to finding, checking, explaining, acting and tracking." id="0" name="image2.png"/>
                    <pic:cNvPicPr preferRelativeResize="0"/>
                  </pic:nvPicPr>
                  <pic:blipFill>
                    <a:blip r:embed="rId10"/>
                    <a:srcRect b="0" l="0" r="0" t="0"/>
                    <a:stretch>
                      <a:fillRect/>
                    </a:stretch>
                  </pic:blipFill>
                  <pic:spPr>
                    <a:xfrm>
                      <a:off x="0" y="0"/>
                      <a:ext cx="6309360" cy="15563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2. The complete user journey. The system gives eligibility guidance, not an official benefit determination.</w:t>
      </w:r>
      <w:r w:rsidDel="00000000" w:rsidR="00000000" w:rsidRPr="00000000">
        <w:rPr>
          <w:rtl w:val="0"/>
        </w:rPr>
      </w:r>
    </w:p>
    <w:p w:rsidR="00000000" w:rsidDel="00000000" w:rsidP="00000000" w:rsidRDefault="00000000" w:rsidRPr="00000000" w14:paraId="00000030">
      <w:pPr>
        <w:keepNext w:val="1"/>
        <w:spacing w:after="40" w:before="40" w:line="240" w:lineRule="auto"/>
        <w:jc w:val="center"/>
        <w:rPr/>
      </w:pPr>
      <w:r w:rsidDel="00000000" w:rsidR="00000000" w:rsidRPr="00000000">
        <w:rPr>
          <w:rtl w:val="0"/>
        </w:rPr>
      </w:r>
    </w:p>
    <w:p w:rsidR="00000000" w:rsidDel="00000000" w:rsidP="00000000" w:rsidRDefault="00000000" w:rsidRPr="00000000" w14:paraId="00000031">
      <w:pPr>
        <w:keepNext w:val="1"/>
        <w:spacing w:after="40" w:before="40" w:line="240" w:lineRule="auto"/>
        <w:jc w:val="center"/>
        <w:rPr/>
      </w:pPr>
      <w:r w:rsidDel="00000000" w:rsidR="00000000" w:rsidRPr="00000000">
        <w:rPr/>
        <w:drawing>
          <wp:inline distB="114300" distT="114300" distL="114300" distR="114300">
            <wp:extent cx="1623491" cy="3609588"/>
            <wp:effectExtent b="25400" l="25400" r="25400" t="2540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623491" cy="3609588"/>
                    </a:xfrm>
                    <a:prstGeom prst="rect"/>
                    <a:ln w="25400">
                      <a:solidFill>
                        <a:srgbClr val="0E7A5C"/>
                      </a:solidFill>
                      <a:prstDash val="solid"/>
                    </a:ln>
                  </pic:spPr>
                </pic:pic>
              </a:graphicData>
            </a:graphic>
          </wp:inline>
        </w:drawing>
      </w:r>
      <w:r w:rsidDel="00000000" w:rsidR="00000000" w:rsidRPr="00000000">
        <w:rPr/>
        <w:drawing>
          <wp:inline distB="114300" distT="114300" distL="114300" distR="114300">
            <wp:extent cx="1622986" cy="3607752"/>
            <wp:effectExtent b="25400" l="25400" r="25400" t="2540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622986" cy="3607752"/>
                    </a:xfrm>
                    <a:prstGeom prst="rect"/>
                    <a:ln w="25400">
                      <a:solidFill>
                        <a:srgbClr val="0E7A5C"/>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and civic data shown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Citizen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interface turns a question into reasons, documents, places and a plan instead of stopping at a search result.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Operator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Authorised staff can review programmes, issues, beneficiaries, escalations and anomaly signals in the same operational model.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Trust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Source status, rule versions, profile snapshots, history records and hash-chain checks create a basis for review—while current coverage limits remain visible.</w:t>
      </w:r>
      <w:r w:rsidDel="00000000" w:rsidR="00000000" w:rsidRPr="00000000">
        <w:rPr>
          <w:rtl w:val="0"/>
        </w:rPr>
      </w:r>
    </w:p>
    <w:p w:rsidR="00000000" w:rsidDel="00000000" w:rsidP="00000000" w:rsidRDefault="00000000" w:rsidRPr="00000000" w14:paraId="00000036">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04 | WHY AI MATTERS</w:t>
      </w:r>
      <w:r w:rsidDel="00000000" w:rsidR="00000000" w:rsidRPr="00000000">
        <w:rPr>
          <w:rtl w:val="0"/>
        </w:rPr>
      </w:r>
    </w:p>
    <w:p w:rsidR="00000000" w:rsidDel="00000000" w:rsidP="00000000" w:rsidRDefault="00000000" w:rsidRPr="00000000" w14:paraId="00000037">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AI handles language. Rules handle rights.</w:t>
      </w:r>
      <w:r w:rsidDel="00000000" w:rsidR="00000000" w:rsidRPr="00000000">
        <w:rPr>
          <w:rtl w:val="0"/>
        </w:rPr>
      </w:r>
    </w:p>
    <w:p w:rsidR="00000000" w:rsidDel="00000000" w:rsidP="00000000" w:rsidRDefault="00000000" w:rsidRPr="00000000" w14:paraId="00000038">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AI is useful where human language is open-ended: speech recognition, paraphrase matching and plain-language rendering. It is the wrong authority for income thresholds, age cut-offs or official eligibility. Shebar Janala therefore separates probabilistic language work from deterministic civic decisions.</w:t>
      </w:r>
      <w:r w:rsidDel="00000000" w:rsidR="00000000" w:rsidRPr="00000000">
        <w:rPr>
          <w:rtl w:val="0"/>
        </w:rPr>
      </w:r>
    </w:p>
    <w:p w:rsidR="00000000" w:rsidDel="00000000" w:rsidP="00000000" w:rsidRDefault="00000000" w:rsidRPr="00000000" w14:paraId="00000039">
      <w:pPr>
        <w:keepNext w:val="1"/>
        <w:spacing w:after="40" w:before="40" w:line="240" w:lineRule="auto"/>
        <w:jc w:val="center"/>
        <w:rPr/>
      </w:pPr>
      <w:r w:rsidDel="00000000" w:rsidR="00000000" w:rsidRPr="00000000">
        <w:rPr/>
        <w:drawing>
          <wp:inline distB="0" distT="0" distL="114300" distR="114300">
            <wp:extent cx="6309360" cy="2734056"/>
            <wp:effectExtent b="0" l="0" r="0" t="0"/>
            <wp:docPr descr="AI and deterministic safety pipeline from citizen language to retrieval, encoded-rule evaluation and grounded reply." id="9" name="image12.png"/>
            <a:graphic>
              <a:graphicData uri="http://schemas.openxmlformats.org/drawingml/2006/picture">
                <pic:pic>
                  <pic:nvPicPr>
                    <pic:cNvPr descr="AI and deterministic safety pipeline from citizen language to retrieval, encoded-rule evaluation and grounded reply." id="0" name="image12.png"/>
                    <pic:cNvPicPr preferRelativeResize="0"/>
                  </pic:nvPicPr>
                  <pic:blipFill>
                    <a:blip r:embed="rId13"/>
                    <a:srcRect b="0" l="0" r="0" t="0"/>
                    <a:stretch>
                      <a:fillRect/>
                    </a:stretch>
                  </pic:blipFill>
                  <pic:spPr>
                    <a:xfrm>
                      <a:off x="0" y="0"/>
                      <a:ext cx="6309360"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3. No model output directly becomes an eligibility fact; missing evidence produces clarification or ‘unknown’.</w:t>
      </w:r>
      <w:r w:rsidDel="00000000" w:rsidR="00000000" w:rsidRPr="00000000">
        <w:rPr>
          <w:rtl w:val="0"/>
        </w:rPr>
      </w:r>
    </w:p>
    <w:tbl>
      <w:tblPr>
        <w:tblStyle w:val="Table4"/>
        <w:tblW w:w="9935.0" w:type="dxa"/>
        <w:jc w:val="left"/>
        <w:tblInd w:w="5.0" w:type="dxa"/>
        <w:tblLayout w:type="fixed"/>
        <w:tblLook w:val="0400"/>
      </w:tblPr>
      <w:tblGrid>
        <w:gridCol w:w="1655"/>
        <w:gridCol w:w="4680"/>
        <w:gridCol w:w="3600"/>
        <w:tblGridChange w:id="0">
          <w:tblGrid>
            <w:gridCol w:w="1655"/>
            <w:gridCol w:w="4680"/>
            <w:gridCol w:w="360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3B">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Capability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3C">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Current implementation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3D">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Why it is appropriate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3E">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Understand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3F">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Conservative Bangla/English keyword, regex and intent logic; voice via browser or configured provider.</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0">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Extract only what can be supported; confirm consequential voice commands.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1">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Retrieve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2">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Hand-built BM25 with bilingual tokenisation/stemming; optional embeddings fused by Reciprocal Rank Fusion.[5][6]</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3">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Lexical precision works without a provider; semantic matching can improve paraphrase recall when enabled.</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4">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Evaluate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5">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Deterministic rule engine with 13 comparators, group logic, traces and ‘unknown’ for missing required facts.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6">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The same inputs and rule version produce the same guidance.</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7">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Explain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8">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Fixed-fact response plan; optional LLM rendering; deterministic bilingual composer on failure.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9">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Language quality may vary, but the model cannot invent a programme or threshold.</w:t>
            </w:r>
            <w:r w:rsidDel="00000000" w:rsidR="00000000" w:rsidRPr="00000000">
              <w:rPr>
                <w:rtl w:val="0"/>
              </w:rPr>
            </w:r>
          </w:p>
        </w:tc>
      </w:tr>
    </w:tbl>
    <w:p w:rsidR="00000000" w:rsidDel="00000000" w:rsidP="00000000" w:rsidRDefault="00000000" w:rsidRPr="00000000" w14:paraId="0000004A">
      <w:pPr>
        <w:keepNext w:val="0"/>
        <w:spacing w:after="20" w:before="0" w:line="240" w:lineRule="auto"/>
        <w:rPr/>
      </w:pPr>
      <w:r w:rsidDel="00000000" w:rsidR="00000000" w:rsidRPr="00000000">
        <w:rPr>
          <w:rtl w:val="0"/>
        </w:rPr>
      </w:r>
    </w:p>
    <w:p w:rsidR="00000000" w:rsidDel="00000000" w:rsidP="00000000" w:rsidRDefault="00000000" w:rsidRPr="00000000" w14:paraId="0000004B">
      <w:pPr>
        <w:keepNext w:val="1"/>
        <w:spacing w:after="40" w:before="40" w:line="240" w:lineRule="auto"/>
        <w:jc w:val="center"/>
        <w:rPr/>
      </w:pPr>
      <w:r w:rsidDel="00000000" w:rsidR="00000000" w:rsidRPr="00000000">
        <w:rPr/>
        <w:drawing>
          <wp:inline distB="0" distT="0" distL="114300" distR="114300">
            <wp:extent cx="3474720" cy="1855816"/>
            <wp:effectExtent b="0" l="0" r="0" t="0"/>
            <wp:docPr descr="Bar chart: Recall at 1 equals 85 percent, Recall at 3 equals 90 percent, and MRR equals 86.7 percent." id="8" name="image6.png"/>
            <a:graphic>
              <a:graphicData uri="http://schemas.openxmlformats.org/drawingml/2006/picture">
                <pic:pic>
                  <pic:nvPicPr>
                    <pic:cNvPr descr="Bar chart: Recall at 1 equals 85 percent, Recall at 3 equals 90 percent, and MRR equals 86.7 percent." id="0" name="image6.png"/>
                    <pic:cNvPicPr preferRelativeResize="0"/>
                  </pic:nvPicPr>
                  <pic:blipFill>
                    <a:blip r:embed="rId14"/>
                    <a:srcRect b="0" l="0" r="0" t="0"/>
                    <a:stretch>
                      <a:fillRect/>
                    </a:stretch>
                  </pic:blipFill>
                  <pic:spPr>
                    <a:xfrm>
                      <a:off x="0" y="0"/>
                      <a:ext cx="3474720" cy="185581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Observed repository retrieval evaluation; two Bangla queries missed the correct programme in the top 30.</w:t>
      </w:r>
      <w:r w:rsidDel="00000000" w:rsidR="00000000" w:rsidRPr="00000000">
        <w:rPr>
          <w:rtl w:val="0"/>
        </w:rPr>
      </w:r>
    </w:p>
    <w:p w:rsidR="00000000" w:rsidDel="00000000" w:rsidP="00000000" w:rsidRDefault="00000000" w:rsidRPr="00000000" w14:paraId="0000004D">
      <w:pPr>
        <w:keepNext w:val="1"/>
        <w:spacing w:after="40" w:before="40" w:line="240" w:lineRule="auto"/>
        <w:jc w:val="center"/>
        <w:rPr/>
      </w:pPr>
      <w:r w:rsidDel="00000000" w:rsidR="00000000" w:rsidRPr="00000000">
        <w:rPr/>
        <w:drawing>
          <wp:inline distB="0" distT="0" distL="114300" distR="114300">
            <wp:extent cx="4389120" cy="4204243"/>
            <wp:effectExtent b="0" l="0" r="0" t="0"/>
            <wp:docPr descr="Cropped prototype screens showing a Bangla response and rule-by-rule eligibility trace." id="11" name="image17.png"/>
            <a:graphic>
              <a:graphicData uri="http://schemas.openxmlformats.org/drawingml/2006/picture">
                <pic:pic>
                  <pic:nvPicPr>
                    <pic:cNvPr descr="Cropped prototype screens showing a Bangla response and rule-by-rule eligibility trace." id="0" name="image17.png"/>
                    <pic:cNvPicPr preferRelativeResize="0"/>
                  </pic:nvPicPr>
                  <pic:blipFill>
                    <a:blip r:embed="rId15"/>
                    <a:srcRect b="0" l="0" r="0" t="0"/>
                    <a:stretch>
                      <a:fillRect/>
                    </a:stretch>
                  </pic:blipFill>
                  <pic:spPr>
                    <a:xfrm>
                      <a:off x="0" y="0"/>
                      <a:ext cx="4389120" cy="420424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information shown.</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05 | ACCESSIBILITY AND LOW-CONNECTIVITY REALITY</w:t>
      </w:r>
      <w:r w:rsidDel="00000000" w:rsidR="00000000" w:rsidRPr="00000000">
        <w:rPr>
          <w:rtl w:val="0"/>
        </w:rPr>
      </w:r>
    </w:p>
    <w:p w:rsidR="00000000" w:rsidDel="00000000" w:rsidP="00000000" w:rsidRDefault="00000000" w:rsidRPr="00000000" w14:paraId="0000005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Inclusion is a channel strategy</w:t>
      </w:r>
      <w:r w:rsidDel="00000000" w:rsidR="00000000" w:rsidRPr="00000000">
        <w:rPr>
          <w:rtl w:val="0"/>
        </w:rPr>
      </w:r>
    </w:p>
    <w:p w:rsidR="00000000" w:rsidDel="00000000" w:rsidP="00000000" w:rsidRDefault="00000000" w:rsidRPr="00000000" w14:paraId="00000052">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service is not inclusive because its interface can be translated. It must support the device, confidence, language and assistance a person actually has. The prototype therefore uses several access modes, with different maturity levels.</w:t>
      </w:r>
      <w:r w:rsidDel="00000000" w:rsidR="00000000" w:rsidRPr="00000000">
        <w:rPr>
          <w:rtl w:val="0"/>
        </w:rPr>
      </w:r>
    </w:p>
    <w:p w:rsidR="00000000" w:rsidDel="00000000" w:rsidP="00000000" w:rsidRDefault="00000000" w:rsidRPr="00000000" w14:paraId="00000053">
      <w:pPr>
        <w:keepNext w:val="1"/>
        <w:spacing w:after="40" w:before="40" w:line="240" w:lineRule="auto"/>
        <w:jc w:val="center"/>
        <w:rPr/>
      </w:pPr>
      <w:r w:rsidDel="00000000" w:rsidR="00000000" w:rsidRPr="00000000">
        <w:rPr/>
        <w:drawing>
          <wp:inline distB="0" distT="0" distL="114300" distR="114300">
            <wp:extent cx="6309360" cy="1808683"/>
            <wp:effectExtent b="0" l="0" r="0" t="0"/>
            <wp:docPr descr="Four access channels: bilingual web, provider-dependent voice, USSD-oriented simulator, and assisted use." id="10" name="image13.png"/>
            <a:graphic>
              <a:graphicData uri="http://schemas.openxmlformats.org/drawingml/2006/picture">
                <pic:pic>
                  <pic:nvPicPr>
                    <pic:cNvPr descr="Four access channels: bilingual web, provider-dependent voice, USSD-oriented simulator, and assisted use." id="0" name="image13.png"/>
                    <pic:cNvPicPr preferRelativeResize="0"/>
                  </pic:nvPicPr>
                  <pic:blipFill>
                    <a:blip r:embed="rId16"/>
                    <a:srcRect b="0" l="0" r="0" t="0"/>
                    <a:stretch>
                      <a:fillRect/>
                    </a:stretch>
                  </pic:blipFill>
                  <pic:spPr>
                    <a:xfrm>
                      <a:off x="0" y="0"/>
                      <a:ext cx="6309360" cy="180868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4. The inclusion model combines direct and assisted access; it does not claim full offline operation.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287961</wp:posOffset>
            </wp:positionV>
            <wp:extent cx="1549632" cy="3434853"/>
            <wp:effectExtent b="38100" l="38100" r="38100" t="38100"/>
            <wp:wrapTopAndBottom distB="114300" distT="114300"/>
            <wp:docPr id="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1549632" cy="3434853"/>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276225</wp:posOffset>
            </wp:positionV>
            <wp:extent cx="1552575" cy="3453917"/>
            <wp:effectExtent b="38100" l="38100" r="38100" t="38100"/>
            <wp:wrapTopAndBottom distB="114300" distT="114300"/>
            <wp:docPr id="20"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1552575" cy="3453917"/>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3945354</wp:posOffset>
            </wp:positionH>
            <wp:positionV relativeFrom="paragraph">
              <wp:posOffset>314325</wp:posOffset>
            </wp:positionV>
            <wp:extent cx="1407695" cy="3257550"/>
            <wp:effectExtent b="0" l="0" r="0" t="0"/>
            <wp:wrapTopAndBottom distB="114300" distT="11430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407695" cy="3257550"/>
                    </a:xfrm>
                    <a:prstGeom prst="rect"/>
                    <a:ln/>
                  </pic:spPr>
                </pic:pic>
              </a:graphicData>
            </a:graphic>
          </wp:anchor>
        </w:drawing>
      </w:r>
    </w:p>
    <w:p w:rsidR="00000000" w:rsidDel="00000000" w:rsidP="00000000" w:rsidRDefault="00000000" w:rsidRPr="00000000" w14:paraId="00000055">
      <w:pPr>
        <w:keepNext w:val="1"/>
        <w:spacing w:after="40" w:before="4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857250</wp:posOffset>
            </wp:positionV>
            <wp:extent cx="1031557" cy="922450"/>
            <wp:effectExtent b="0" l="0" r="0" t="0"/>
            <wp:wrapTopAndBottom distB="114300" distT="114300"/>
            <wp:docPr id="18" name="image11.jpg"/>
            <a:graphic>
              <a:graphicData uri="http://schemas.openxmlformats.org/drawingml/2006/picture">
                <pic:pic>
                  <pic:nvPicPr>
                    <pic:cNvPr id="0" name="image11.jpg"/>
                    <pic:cNvPicPr preferRelativeResize="0"/>
                  </pic:nvPicPr>
                  <pic:blipFill>
                    <a:blip r:embed="rId20"/>
                    <a:srcRect b="30079" l="15483" r="16442" t="42316"/>
                    <a:stretch>
                      <a:fillRect/>
                    </a:stretch>
                  </pic:blipFill>
                  <pic:spPr>
                    <a:xfrm>
                      <a:off x="0" y="0"/>
                      <a:ext cx="1031557" cy="922450"/>
                    </a:xfrm>
                    <a:prstGeom prst="rect"/>
                    <a:ln/>
                  </pic:spPr>
                </pic:pic>
              </a:graphicData>
            </a:graphic>
          </wp:anchor>
        </w:drawing>
      </w:r>
    </w:p>
    <w:p w:rsidR="00000000" w:rsidDel="00000000" w:rsidP="00000000" w:rsidRDefault="00000000" w:rsidRPr="00000000" w14:paraId="00000056">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USSD gateway integration is not demonstrated.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Implemented.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Bangla/English localisation, phone OTP/PIN flows, large touch targets, read-aloud/voice components, nearby-service mapping, accessible primitives and deterministic Bangla number handling.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Provider dependent.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Server speech-to-text/text-to-speech, production SMS and optional semantic embeddings require configured services; browser capabilities also vary.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Demonstrated, not deployed.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 stateful USSD simulator reuses entitlement and issue logic, but no live telecom gateway or national short code is evidenced.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Connectivity truth.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assistant can fall back to a deterministic composer when an AI provider is unavailable, but the application is not fully offline. Maps, authentication and most workflows still require network access.</w:t>
      </w:r>
      <w:r w:rsidDel="00000000" w:rsidR="00000000" w:rsidRPr="00000000">
        <w:rPr>
          <w:rtl w:val="0"/>
        </w:rPr>
      </w:r>
    </w:p>
    <w:p w:rsidR="00000000" w:rsidDel="00000000" w:rsidP="00000000" w:rsidRDefault="00000000" w:rsidRPr="00000000" w14:paraId="0000005B">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5C">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5D">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5E">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06 | SYSTEM ARCHITECTURE AND INFRASTRUCTURE</w:t>
      </w:r>
      <w:r w:rsidDel="00000000" w:rsidR="00000000" w:rsidRPr="00000000">
        <w:rPr>
          <w:rtl w:val="0"/>
        </w:rPr>
      </w:r>
    </w:p>
    <w:p w:rsidR="00000000" w:rsidDel="00000000" w:rsidP="00000000" w:rsidRDefault="00000000" w:rsidRPr="00000000" w14:paraId="0000005F">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Serious enough to inspect; simple enough to operate</w:t>
      </w:r>
      <w:r w:rsidDel="00000000" w:rsidR="00000000" w:rsidRPr="00000000">
        <w:rPr>
          <w:rtl w:val="0"/>
        </w:rPr>
      </w:r>
    </w:p>
    <w:p w:rsidR="00000000" w:rsidDel="00000000" w:rsidP="00000000" w:rsidRDefault="00000000" w:rsidRPr="00000000" w14:paraId="00000060">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current system is a server-centric Next.js modular monolith. Pages and API handlers delegate to domain services; Drizzle persists state in SQLite-compatible libSQL; optional provider adapters supply language models, embeddings, speech, SMS, maps and object storage. The monolith keeps deployment and tracing understandable for a small team while module boundaries preserve a path to selective scaling.</w:t>
      </w:r>
      <w:r w:rsidDel="00000000" w:rsidR="00000000" w:rsidRPr="00000000">
        <w:rPr>
          <w:rtl w:val="0"/>
        </w:rPr>
      </w:r>
    </w:p>
    <w:p w:rsidR="00000000" w:rsidDel="00000000" w:rsidP="00000000" w:rsidRDefault="00000000" w:rsidRPr="00000000" w14:paraId="00000061">
      <w:pPr>
        <w:keepNext w:val="1"/>
        <w:spacing w:after="40" w:before="40" w:line="240" w:lineRule="auto"/>
        <w:jc w:val="center"/>
        <w:rPr/>
      </w:pPr>
      <w:r w:rsidDel="00000000" w:rsidR="00000000" w:rsidRPr="00000000">
        <w:rPr/>
        <w:drawing>
          <wp:inline distB="0" distT="0" distL="114300" distR="114300">
            <wp:extent cx="6309360" cy="3785616"/>
            <wp:effectExtent b="0" l="0" r="0" t="0"/>
            <wp:docPr descr="Architecture in four bands: channels, experiences, decision services, trust and data, plus optional providers." id="13" name="image4.png"/>
            <a:graphic>
              <a:graphicData uri="http://schemas.openxmlformats.org/drawingml/2006/picture">
                <pic:pic>
                  <pic:nvPicPr>
                    <pic:cNvPr descr="Architecture in four bands: channels, experiences, decision services, trust and data, plus optional providers." id="0" name="image4.png"/>
                    <pic:cNvPicPr preferRelativeResize="0"/>
                  </pic:nvPicPr>
                  <pic:blipFill>
                    <a:blip r:embed="rId21"/>
                    <a:srcRect b="0" l="0" r="0" t="0"/>
                    <a:stretch>
                      <a:fillRect/>
                    </a:stretch>
                  </pic:blipFill>
                  <pic:spPr>
                    <a:xfrm>
                      <a:off x="0" y="0"/>
                      <a:ext cx="6309360" cy="378561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5. Current holistic architecture. External providers enhance channels; core rule evaluation and stored workflows remain inside the application.</w:t>
      </w:r>
      <w:r w:rsidDel="00000000" w:rsidR="00000000" w:rsidRPr="00000000">
        <w:rPr>
          <w:rtl w:val="0"/>
        </w:rPr>
      </w:r>
    </w:p>
    <w:p w:rsidR="00000000" w:rsidDel="00000000" w:rsidP="00000000" w:rsidRDefault="00000000" w:rsidRPr="00000000" w14:paraId="00000063">
      <w:pPr>
        <w:keepNext w:val="0"/>
        <w:spacing w:after="20" w:before="0" w:line="240" w:lineRule="auto"/>
        <w:rPr/>
      </w:pPr>
      <w:r w:rsidDel="00000000" w:rsidR="00000000" w:rsidRPr="00000000">
        <w:rPr>
          <w:rtl w:val="0"/>
        </w:rPr>
      </w:r>
    </w:p>
    <w:p w:rsidR="00000000" w:rsidDel="00000000" w:rsidP="00000000" w:rsidRDefault="00000000" w:rsidRPr="00000000" w14:paraId="00000064">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07 | RISKS, SAFEGUARDS AND RESIDUAL UNCERTAINTY</w:t>
      </w:r>
      <w:r w:rsidDel="00000000" w:rsidR="00000000" w:rsidRPr="00000000">
        <w:rPr>
          <w:rtl w:val="0"/>
        </w:rPr>
      </w:r>
    </w:p>
    <w:p w:rsidR="00000000" w:rsidDel="00000000" w:rsidP="00000000" w:rsidRDefault="00000000" w:rsidRPr="00000000" w14:paraId="00000065">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Risk is part of the product design</w:t>
      </w:r>
      <w:r w:rsidDel="00000000" w:rsidR="00000000" w:rsidRPr="00000000">
        <w:rPr>
          <w:rtl w:val="0"/>
        </w:rPr>
      </w:r>
    </w:p>
    <w:p w:rsidR="00000000" w:rsidDel="00000000" w:rsidP="00000000" w:rsidRDefault="00000000" w:rsidRPr="00000000" w14:paraId="00000066">
      <w:pPr>
        <w:keepNext w:val="0"/>
        <w:spacing w:after="12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credible civic system should state where it can fail, what prevents harm, and what risk remains. The mitigations below exist partly in code and partly as deployment gates; none should be treated as a substitute for accountable human ownership.</w:t>
      </w:r>
      <w:r w:rsidDel="00000000" w:rsidR="00000000" w:rsidRPr="00000000">
        <w:rPr>
          <w:rtl w:val="0"/>
        </w:rPr>
      </w:r>
    </w:p>
    <w:tbl>
      <w:tblPr>
        <w:tblStyle w:val="Table5"/>
        <w:tblW w:w="9936.0" w:type="dxa"/>
        <w:jc w:val="left"/>
        <w:tblInd w:w="5.0" w:type="dxa"/>
        <w:tblLayout w:type="fixed"/>
        <w:tblLook w:val="0400"/>
      </w:tblPr>
      <w:tblGrid>
        <w:gridCol w:w="2376"/>
        <w:gridCol w:w="4824"/>
        <w:gridCol w:w="2736"/>
        <w:tblGridChange w:id="0">
          <w:tblGrid>
            <w:gridCol w:w="2376"/>
            <w:gridCol w:w="4824"/>
            <w:gridCol w:w="2736"/>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6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Risk</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68">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Safeguard / deployment gate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69">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Residual risk</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6A">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Wrong or hallucinated eligibility guidance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6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Encoded rules decide; missing facts return ‘unknown’; replies use retrieved facts and citations; deterministic composer on provider failure; guidance is non-authoritative.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6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High until programme rules are verified by an accountable owner and evaluated against golden profiles.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6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Stale, incomplete or incorrect service data</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6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Source URL, verification state, last-verified date, rule version, review workflow and confidence ceilings; edits to verified records revoke verification.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6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Human verification labour is the central operational dependency.</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Privacy, identity and sensitive-data misuse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NID stored as a hash; medical conditions encrypted; purpose-based profile fields; no claim of official NID verification; minimise provider prompts and define retention before pilot.</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Legal review, consent design, breach response and provider agreements are not yet demonstrated.</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Language, disability or connectivity exclusion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Bilingual UI, voice/read-aloud, confirmation, accessible primitives, assisted use and USSD-oriented flow; measure task success by language and user group.</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5">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Dialect accuracy and feature-phone delivery remain unvalidated; the app is not fully offline.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Operational or institutional failure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7">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Role/civic scopes, status histories, review queues, audit/ledger verifiers and explicit sample labels; require E2E tests, transaction safety, runbooks and named owners.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7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Typecheck/tests and CI are active, but lint remains obsolete; no scheduler or live institutional integration is evidenced.</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9">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Overclaiming ledger integrity</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Describe SHA-256 hash chains as tamper evidence, not blockchain; route all new events through one serialised writer; verify before and after deployments.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7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Financial sample chain verifies eight rows; only 23 of 150 inspected audit rows form the verified chain.</w:t>
            </w:r>
            <w:r w:rsidDel="00000000" w:rsidR="00000000" w:rsidRPr="00000000">
              <w:rPr>
                <w:rtl w:val="0"/>
              </w:rPr>
            </w:r>
          </w:p>
        </w:tc>
      </w:tr>
    </w:tbl>
    <w:p w:rsidR="00000000" w:rsidDel="00000000" w:rsidP="00000000" w:rsidRDefault="00000000" w:rsidRPr="00000000" w14:paraId="0000007C">
      <w:pPr>
        <w:keepNext w:val="0"/>
        <w:spacing w:after="20" w:before="0" w:line="240" w:lineRule="auto"/>
        <w:rPr/>
      </w:pPr>
      <w:r w:rsidDel="00000000" w:rsidR="00000000" w:rsidRPr="00000000">
        <w:rPr>
          <w:rtl w:val="0"/>
        </w:rPr>
      </w:r>
    </w:p>
    <w:p w:rsidR="00000000" w:rsidDel="00000000" w:rsidP="00000000" w:rsidRDefault="00000000" w:rsidRPr="00000000" w14:paraId="0000007D">
      <w:pPr>
        <w:keepNext w:val="1"/>
        <w:spacing w:after="40" w:before="40" w:line="240" w:lineRule="auto"/>
        <w:jc w:val="center"/>
        <w:rPr/>
      </w:pPr>
      <w:r w:rsidDel="00000000" w:rsidR="00000000" w:rsidRPr="00000000">
        <w:rPr/>
        <w:drawing>
          <wp:inline distB="0" distT="0" distL="114300" distR="114300">
            <wp:extent cx="6035040" cy="1371337"/>
            <wp:effectExtent b="0" l="0" r="0" t="0"/>
            <wp:docPr descr="Cropped administrator screens showing data-quality state, chain verification, and programme human review." id="14" name="image7.png"/>
            <a:graphic>
              <a:graphicData uri="http://schemas.openxmlformats.org/drawingml/2006/picture">
                <pic:pic>
                  <pic:nvPicPr>
                    <pic:cNvPr descr="Cropped administrator screens showing data-quality state, chain verification, and programme human review." id="0" name="image7.png"/>
                    <pic:cNvPicPr preferRelativeResize="0"/>
                  </pic:nvPicPr>
                  <pic:blipFill>
                    <a:blip r:embed="rId22"/>
                    <a:srcRect b="0" l="0" r="0" t="0"/>
                    <a:stretch>
                      <a:fillRect/>
                    </a:stretch>
                  </pic:blipFill>
                  <pic:spPr>
                    <a:xfrm>
                      <a:off x="0" y="0"/>
                      <a:ext cx="6035040" cy="137133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current verification coverage is incomplete.</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08 | IMPACT, DISTRIBUTION AND SUSTAINABILITY</w:t>
      </w:r>
      <w:r w:rsidDel="00000000" w:rsidR="00000000" w:rsidRPr="00000000">
        <w:rPr>
          <w:rtl w:val="0"/>
        </w:rPr>
      </w:r>
    </w:p>
    <w:p w:rsidR="00000000" w:rsidDel="00000000" w:rsidP="00000000" w:rsidRDefault="00000000" w:rsidRPr="00000000" w14:paraId="0000008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Impact must be measured where the journey changes</w:t>
      </w:r>
      <w:r w:rsidDel="00000000" w:rsidR="00000000" w:rsidRPr="00000000">
        <w:rPr>
          <w:rtl w:val="0"/>
        </w:rPr>
      </w:r>
    </w:p>
    <w:p w:rsidR="00000000" w:rsidDel="00000000" w:rsidP="00000000" w:rsidRDefault="00000000" w:rsidRPr="00000000" w14:paraId="00000082">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does not claim citizens reached, trips saved or benefits received. Its impact thesis is testable: if people can move from a life event to grounded guidance and a next step, while institutions maintain fresher rules and visible follow-up, fewer journeys should end in confusion or preventable rework.</w:t>
      </w:r>
      <w:r w:rsidDel="00000000" w:rsidR="00000000" w:rsidRPr="00000000">
        <w:rPr>
          <w:rtl w:val="0"/>
        </w:rPr>
      </w:r>
    </w:p>
    <w:p w:rsidR="00000000" w:rsidDel="00000000" w:rsidP="00000000" w:rsidRDefault="00000000" w:rsidRPr="00000000" w14:paraId="00000083">
      <w:pPr>
        <w:keepNext w:val="1"/>
        <w:spacing w:after="40" w:before="40" w:line="240" w:lineRule="auto"/>
        <w:jc w:val="center"/>
        <w:rPr/>
      </w:pPr>
      <w:r w:rsidDel="00000000" w:rsidR="00000000" w:rsidRPr="00000000">
        <w:rPr/>
        <w:drawing>
          <wp:inline distB="0" distT="0" distL="114300" distR="114300">
            <wp:extent cx="6309360" cy="1892808"/>
            <wp:effectExtent b="0" l="0" r="0" t="0"/>
            <wp:docPr descr="Theory of change from verified content and accessible channels to guided journeys and inclusive service outcomes." id="15" name="image3.png"/>
            <a:graphic>
              <a:graphicData uri="http://schemas.openxmlformats.org/drawingml/2006/picture">
                <pic:pic>
                  <pic:nvPicPr>
                    <pic:cNvPr descr="Theory of change from verified content and accessible channels to guided journeys and inclusive service outcomes." id="0" name="image3.png"/>
                    <pic:cNvPicPr preferRelativeResize="0"/>
                  </pic:nvPicPr>
                  <pic:blipFill>
                    <a:blip r:embed="rId23"/>
                    <a:srcRect b="0" l="0" r="0" t="0"/>
                    <a:stretch>
                      <a:fillRect/>
                    </a:stretch>
                  </pic:blipFill>
                  <pic:spPr>
                    <a:xfrm>
                      <a:off x="0" y="0"/>
                      <a:ext cx="6309360" cy="189280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6. A measurement framework, not an impact claim.</w:t>
      </w:r>
      <w:r w:rsidDel="00000000" w:rsidR="00000000" w:rsidRPr="00000000">
        <w:rPr>
          <w:rtl w:val="0"/>
        </w:rPr>
      </w:r>
    </w:p>
    <w:tbl>
      <w:tblPr>
        <w:tblStyle w:val="Table6"/>
        <w:tblW w:w="9935.0" w:type="dxa"/>
        <w:jc w:val="left"/>
        <w:tblInd w:w="5.0" w:type="dxa"/>
        <w:tblLayout w:type="fixed"/>
        <w:tblLook w:val="0400"/>
      </w:tblPr>
      <w:tblGrid>
        <w:gridCol w:w="2951"/>
        <w:gridCol w:w="3960"/>
        <w:gridCol w:w="3024"/>
        <w:tblGridChange w:id="0">
          <w:tblGrid>
            <w:gridCol w:w="2951"/>
            <w:gridCol w:w="3960"/>
            <w:gridCol w:w="3024"/>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8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Question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8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Pilot measure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8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Safety / equity cut</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88">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the person reach a usable next step?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8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Task completion; time to correct programme, document list or office; return-to-plan rate.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8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Compare Bangla/English, voice/text, assisted/self-service, disability needs and connectivity conditions.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8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Was the guidance correct and honest?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8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Golden-profile agreement; false-positive eligibility guidance; unknown/clarification rate; citation and grounding failures.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8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Report by programme and rule version; never hide a weak group average inside a total.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8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institutions improve delivery?</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8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Verification freshness; operator minutes per case; issue acknowledgement/resolution time; unresolved escalation age.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9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Audit edits and overrides; separate prototype records from real operational data.</w:t>
            </w:r>
            <w:r w:rsidDel="00000000" w:rsidR="00000000" w:rsidRPr="00000000">
              <w:rPr>
                <w:rtl w:val="0"/>
              </w:rPr>
            </w:r>
          </w:p>
        </w:tc>
      </w:tr>
    </w:tbl>
    <w:p w:rsidR="00000000" w:rsidDel="00000000" w:rsidP="00000000" w:rsidRDefault="00000000" w:rsidRPr="00000000" w14:paraId="00000091">
      <w:pPr>
        <w:keepNext w:val="0"/>
        <w:spacing w:after="20" w:before="0" w:line="240" w:lineRule="auto"/>
        <w:rPr/>
      </w:pPr>
      <w:r w:rsidDel="00000000" w:rsidR="00000000" w:rsidRPr="00000000">
        <w:rPr>
          <w:rtl w:val="0"/>
        </w:rPr>
      </w:r>
    </w:p>
    <w:p w:rsidR="00000000" w:rsidDel="00000000" w:rsidP="00000000" w:rsidRDefault="00000000" w:rsidRPr="00000000" w14:paraId="00000092">
      <w:pPr>
        <w:keepNext w:val="1"/>
        <w:spacing w:after="40" w:before="40" w:line="240" w:lineRule="auto"/>
        <w:jc w:val="center"/>
        <w:rPr/>
      </w:pPr>
      <w:r w:rsidDel="00000000" w:rsidR="00000000" w:rsidRPr="00000000">
        <w:rPr/>
        <w:drawing>
          <wp:inline distB="0" distT="0" distL="114300" distR="114300">
            <wp:extent cx="6035040" cy="1890979"/>
            <wp:effectExtent b="0" l="0" r="0" t="0"/>
            <wp:docPr descr="Distribution model linking public departments, NGOs, assisted channels and development partners around a shared guidance layer." id="16" name="image19.png"/>
            <a:graphic>
              <a:graphicData uri="http://schemas.openxmlformats.org/drawingml/2006/picture">
                <pic:pic>
                  <pic:nvPicPr>
                    <pic:cNvPr descr="Distribution model linking public departments, NGOs, assisted channels and development partners around a shared guidance layer." id="0" name="image19.png"/>
                    <pic:cNvPicPr preferRelativeResize="0"/>
                  </pic:nvPicPr>
                  <pic:blipFill>
                    <a:blip r:embed="rId24"/>
                    <a:srcRect b="0" l="0" r="0" t="0"/>
                    <a:stretch>
                      <a:fillRect/>
                    </a:stretch>
                  </pic:blipFill>
                  <pic:spPr>
                    <a:xfrm>
                      <a:off x="0" y="0"/>
                      <a:ext cx="6035040" cy="189097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7. Potential adopters and payers; no partnership or contract is claimed.</w:t>
      </w:r>
      <w:r w:rsidDel="00000000" w:rsidR="00000000" w:rsidRPr="00000000">
        <w:rPr>
          <w:rtl w:val="0"/>
        </w:rPr>
      </w:r>
    </w:p>
    <w:p w:rsidR="00000000" w:rsidDel="00000000" w:rsidP="00000000" w:rsidRDefault="00000000" w:rsidRPr="00000000" w14:paraId="0000009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Sustainability model. </w:t>
      </w:r>
      <w:r w:rsidDel="00000000" w:rsidR="00000000" w:rsidRPr="00000000">
        <w:rPr>
          <w:rFonts w:ascii="Times New Roman" w:cs="Times New Roman" w:eastAsia="Times New Roman" w:hAnsi="Times New Roman"/>
          <w:b w:val="0"/>
          <w:bCs w:val="0"/>
          <w:i w:val="0"/>
          <w:iCs w:val="0"/>
          <w:color w:val="1a1e1c"/>
          <w:sz w:val="24"/>
          <w:szCs w:val="24"/>
          <w:rtl w:val="0"/>
        </w:rPr>
        <w:t xml:space="preserve">Citizens should not pay for guidance. Plausible institutional revenue includes implementation and integration agreements, annual hosted operations and support, and funded content-verification services. Development partners may fund pilots and evaluation; departments or NGOs may fund ongoing operation when caseworker efficiency and service outcomes are evidenced. Pricing and willingness to pay remain unvalidated. Citizen data, advertising and paid referrals are excluded because they would compromise trust.</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09 | ROADMAP AND CLOSING</w:t>
      </w:r>
      <w:r w:rsidDel="00000000" w:rsidR="00000000" w:rsidRPr="00000000">
        <w:rPr>
          <w:rtl w:val="0"/>
        </w:rPr>
      </w:r>
    </w:p>
    <w:p w:rsidR="00000000" w:rsidDel="00000000" w:rsidP="00000000" w:rsidRDefault="00000000" w:rsidRPr="00000000" w14:paraId="00000097">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Scale only what the evidence can carry</w:t>
      </w:r>
      <w:r w:rsidDel="00000000" w:rsidR="00000000" w:rsidRPr="00000000">
        <w:rPr>
          <w:rtl w:val="0"/>
        </w:rPr>
      </w:r>
    </w:p>
    <w:p w:rsidR="00000000" w:rsidDel="00000000" w:rsidP="00000000" w:rsidRDefault="00000000" w:rsidRPr="00000000" w14:paraId="00000098">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immediate objective is not national rollout. It is a bounded field pilot that proves three things: people can complete a real service-navigation task, encoded guidance is correct and appropriately uncertain, and an accountable organisation can keep the relevant programme data current.</w:t>
      </w:r>
      <w:r w:rsidDel="00000000" w:rsidR="00000000" w:rsidRPr="00000000">
        <w:rPr>
          <w:rtl w:val="0"/>
        </w:rPr>
      </w:r>
    </w:p>
    <w:p w:rsidR="00000000" w:rsidDel="00000000" w:rsidP="00000000" w:rsidRDefault="00000000" w:rsidRPr="00000000" w14:paraId="00000099">
      <w:pPr>
        <w:keepNext w:val="1"/>
        <w:spacing w:after="40" w:before="40" w:line="240" w:lineRule="auto"/>
        <w:jc w:val="center"/>
        <w:rPr/>
      </w:pPr>
      <w:r w:rsidDel="00000000" w:rsidR="00000000" w:rsidRPr="00000000">
        <w:rPr/>
        <w:drawing>
          <wp:inline distB="0" distT="0" distL="114300" distR="114300">
            <wp:extent cx="6309360" cy="2145182"/>
            <wp:effectExtent b="0" l="0" r="0" t="0"/>
            <wp:docPr descr="Roadmap from working prototype to bounded pilot, institutional deployment, and reusable civic access layer." id="17" name="image18.png"/>
            <a:graphic>
              <a:graphicData uri="http://schemas.openxmlformats.org/drawingml/2006/picture">
                <pic:pic>
                  <pic:nvPicPr>
                    <pic:cNvPr descr="Roadmap from working prototype to bounded pilot, institutional deployment, and reusable civic access layer." id="0" name="image18.png"/>
                    <pic:cNvPicPr preferRelativeResize="0"/>
                  </pic:nvPicPr>
                  <pic:blipFill>
                    <a:blip r:embed="rId25"/>
                    <a:srcRect b="0" l="0" r="0" t="0"/>
                    <a:stretch>
                      <a:fillRect/>
                    </a:stretch>
                  </pic:blipFill>
                  <pic:spPr>
                    <a:xfrm>
                      <a:off x="0" y="0"/>
                      <a:ext cx="6309360" cy="214518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8. Expansion is gated by evidence and accountable ownership.</w:t>
      </w:r>
      <w:r w:rsidDel="00000000" w:rsidR="00000000" w:rsidRPr="00000000">
        <w:rPr>
          <w:rtl w:val="0"/>
        </w:rPr>
      </w:r>
    </w:p>
    <w:tbl>
      <w:tblPr>
        <w:tblStyle w:val="Table7"/>
        <w:tblW w:w="9936.0" w:type="dxa"/>
        <w:jc w:val="left"/>
        <w:tblInd w:w="5.0" w:type="dxa"/>
        <w:tblLayout w:type="fixed"/>
        <w:tblLook w:val="0400"/>
      </w:tblPr>
      <w:tblGrid>
        <w:gridCol w:w="3240"/>
        <w:gridCol w:w="3456"/>
        <w:gridCol w:w="3240"/>
        <w:tblGridChange w:id="0">
          <w:tblGrid>
            <w:gridCol w:w="3240"/>
            <w:gridCol w:w="3456"/>
            <w:gridCol w:w="324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9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exists today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9C">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must happen next</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9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becomes possible later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9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Bilingual web journeys; phone/PIN auth; service discovery; encoded-rule guidance; action plans; maps; civic and oversight workflows; sample transparency data.</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9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Select one accountable content owner; verify a small programme subset; repair release gates; establish consent, privacy and incident processes; run stratified field evaluation.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A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Live telecom and portal integrations; more issuers and districts; provider-independent speech; document-to-draft-rule assistance with human approval; third-party reuse through governed APIs.</w:t>
            </w:r>
            <w:r w:rsidDel="00000000" w:rsidR="00000000" w:rsidRPr="00000000">
              <w:rPr>
                <w:rtl w:val="0"/>
              </w:rPr>
            </w:r>
          </w:p>
        </w:tc>
      </w:tr>
    </w:tbl>
    <w:p w:rsidR="00000000" w:rsidDel="00000000" w:rsidP="00000000" w:rsidRDefault="00000000" w:rsidRPr="00000000" w14:paraId="000000A1">
      <w:pPr>
        <w:keepNext w:val="0"/>
        <w:spacing w:after="20" w:before="0" w:line="240" w:lineRule="auto"/>
        <w:rPr/>
      </w:pPr>
      <w:r w:rsidDel="00000000" w:rsidR="00000000" w:rsidRPr="00000000">
        <w:rPr>
          <w:rtl w:val="0"/>
        </w:rPr>
      </w:r>
    </w:p>
    <w:p w:rsidR="00000000" w:rsidDel="00000000" w:rsidP="00000000" w:rsidRDefault="00000000" w:rsidRPr="00000000" w14:paraId="000000A2">
      <w:pPr>
        <w:keepNext w:val="1"/>
        <w:spacing w:after="80" w:before="140" w:line="240" w:lineRule="auto"/>
        <w:rPr/>
      </w:pPr>
      <w:r w:rsidDel="00000000" w:rsidR="00000000" w:rsidRPr="00000000">
        <w:rPr>
          <w:rFonts w:ascii="Times New Roman" w:cs="Times New Roman" w:eastAsia="Times New Roman" w:hAnsi="Times New Roman"/>
          <w:b w:val="1"/>
          <w:bCs w:val="1"/>
          <w:i w:val="0"/>
          <w:iCs w:val="0"/>
          <w:color w:val="084b39"/>
          <w:sz w:val="28"/>
          <w:szCs w:val="28"/>
          <w:rtl w:val="0"/>
        </w:rPr>
        <w:t xml:space="preserve">What success would mean</w:t>
      </w:r>
      <w:r w:rsidDel="00000000" w:rsidR="00000000" w:rsidRPr="00000000">
        <w:rPr>
          <w:rtl w:val="0"/>
        </w:rPr>
      </w:r>
    </w:p>
    <w:p w:rsidR="00000000" w:rsidDel="00000000" w:rsidP="00000000" w:rsidRDefault="00000000" w:rsidRPr="00000000" w14:paraId="000000A3">
      <w:pPr>
        <w:keepNext w:val="0"/>
        <w:spacing w:after="14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Success is not that every citizen talks to an AI. It is that a person who begins with a confusing life event can understand what may apply, see why, know what remains uncertain, and take a next step without surrendering judgement to a model. It is also that the organisation behind the service can show which rule was used, who reviewed it, and what happened next.</w:t>
      </w:r>
      <w:r w:rsidDel="00000000" w:rsidR="00000000" w:rsidRPr="00000000">
        <w:rPr>
          <w:rtl w:val="0"/>
        </w:rPr>
      </w:r>
    </w:p>
    <w:tbl>
      <w:tblPr>
        <w:tblStyle w:val="Table8"/>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0A4">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The closing </w:t>
            </w:r>
            <w:r w:rsidDel="00000000" w:rsidR="00000000" w:rsidRPr="00000000">
              <w:rPr>
                <w:b w:val="1"/>
                <w:bCs w:val="1"/>
                <w:color w:val="0e7a5c"/>
                <w:rtl w:val="0"/>
              </w:rPr>
              <w:t xml:space="preserve">promise: </w:t>
            </w:r>
            <w:r w:rsidDel="00000000" w:rsidR="00000000" w:rsidRPr="00000000">
              <w:rPr>
                <w:color w:val="000000"/>
                <w:rtl w:val="0"/>
              </w:rPr>
              <w:t xml:space="preserve">a public</w:t>
            </w:r>
            <w:r w:rsidDel="00000000" w:rsidR="00000000" w:rsidRPr="00000000">
              <w:rPr>
                <w:color w:val="0e7a5c"/>
                <w:rtl w:val="0"/>
              </w:rPr>
              <w:t xml:space="preserve"> </w:t>
            </w:r>
            <w:r w:rsidDel="00000000" w:rsidR="00000000" w:rsidRPr="00000000">
              <w:rPr>
                <w:rFonts w:ascii="Times New Roman" w:cs="Times New Roman" w:eastAsia="Times New Roman" w:hAnsi="Times New Roman"/>
                <w:b w:val="0"/>
                <w:bCs w:val="0"/>
                <w:i w:val="0"/>
                <w:iCs w:val="0"/>
                <w:color w:val="1a1e1c"/>
                <w:sz w:val="24"/>
                <w:szCs w:val="24"/>
                <w:rtl w:val="0"/>
              </w:rPr>
              <w:t xml:space="preserve">service can exist on paper and still be absent from a person’s life. Shebar Janala is an attempt to close that distance—carefully, visibly, and one defensible next step at a time.</w:t>
            </w:r>
            <w:r w:rsidDel="00000000" w:rsidR="00000000" w:rsidRPr="00000000">
              <w:rPr>
                <w:rtl w:val="0"/>
              </w:rPr>
            </w:r>
          </w:p>
        </w:tc>
      </w:tr>
    </w:tbl>
    <w:p w:rsidR="00000000" w:rsidDel="00000000" w:rsidP="00000000" w:rsidRDefault="00000000" w:rsidRPr="00000000" w14:paraId="000000A5">
      <w:pPr>
        <w:keepNext w:val="0"/>
        <w:spacing w:after="0" w:before="140" w:line="240" w:lineRule="auto"/>
        <w:jc w:val="left"/>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APPENDIX</w:t>
      </w:r>
      <w:r w:rsidDel="00000000" w:rsidR="00000000" w:rsidRPr="00000000">
        <w:rPr>
          <w:rtl w:val="0"/>
        </w:rPr>
      </w:r>
    </w:p>
    <w:p w:rsidR="00000000" w:rsidDel="00000000" w:rsidP="00000000" w:rsidRDefault="00000000" w:rsidRPr="00000000" w14:paraId="000000A8">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A — Current capability and evidence ledger</w:t>
      </w:r>
      <w:r w:rsidDel="00000000" w:rsidR="00000000" w:rsidRPr="00000000">
        <w:rPr>
          <w:rtl w:val="0"/>
        </w:rPr>
      </w:r>
    </w:p>
    <w:p w:rsidR="00000000" w:rsidDel="00000000" w:rsidP="00000000" w:rsidRDefault="00000000" w:rsidRPr="00000000" w14:paraId="000000A9">
      <w:pPr>
        <w:keepNext w:val="0"/>
        <w:spacing w:after="12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Status terms are used consistently across this paper. Implemented means present in executable code; demonstrated means shown with sample data or environment dependencies; provider dependent means the path exists but requires an external service; planned means not yet built or operationalised.</w:t>
      </w:r>
      <w:r w:rsidDel="00000000" w:rsidR="00000000" w:rsidRPr="00000000">
        <w:rPr>
          <w:rtl w:val="0"/>
        </w:rPr>
      </w:r>
    </w:p>
    <w:tbl>
      <w:tblPr>
        <w:tblStyle w:val="Table9"/>
        <w:tblW w:w="9935.0" w:type="dxa"/>
        <w:jc w:val="left"/>
        <w:tblInd w:w="5.0" w:type="dxa"/>
        <w:tblLayout w:type="fixed"/>
        <w:tblLook w:val="0400"/>
      </w:tblPr>
      <w:tblGrid>
        <w:gridCol w:w="2232"/>
        <w:gridCol w:w="7703"/>
        <w:tblGridChange w:id="0">
          <w:tblGrid>
            <w:gridCol w:w="2232"/>
            <w:gridCol w:w="7703"/>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AA">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A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Capabilities evidenced in the 2 Sep 2026 repository snapshot</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AC">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A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Bangla/English shell; phone OTP/PIN and sessions; citizen profile; programme search; deterministic eligibility engine; saved status/action plans/timeline; nearby-service map; issue workflow; entitlements/beneficiaries; budget/escalation; role-scoped oversight; public transparency surface; hash-chain modules and verifiers.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A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 with fallback</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A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Conversation pipeline, bilingual retrieval, response plans and deterministic composer; optional LLM rendering does not own eligibility facts.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B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Demonstrated / sample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B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Seed programme corpus and civic/financial data; administrator review screens; leader/officer views; transparency aggregates; USSD simulator; format-only NID check; sample residency boundaries.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B2">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Provider dependent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B3">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Production SMS, server STT/TTS, semantic embeddings, LLM rendering, S3-compatible photo storage and live map/place sources.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B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Not evidenced as production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B5">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Official NID integration; live telecom USSD; institutional case routing; nationwide geofences or verified programme corpus; full offline use; production scheduler; E2E/provider-contract/concurrency testing; signed partner agreements.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B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Planned / appropriate next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B7">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Accountable content governance; bounded field pilot; domain speech evaluation; document-to-draft-rule assistance with deterministic validation and human approval; operational integrations after contracts and safety gates.</w:t>
            </w:r>
            <w:r w:rsidDel="00000000" w:rsidR="00000000" w:rsidRPr="00000000">
              <w:rPr>
                <w:rtl w:val="0"/>
              </w:rPr>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APPENDIX</w:t>
      </w:r>
      <w:r w:rsidDel="00000000" w:rsidR="00000000" w:rsidRPr="00000000">
        <w:rPr>
          <w:rtl w:val="0"/>
        </w:rPr>
      </w:r>
    </w:p>
    <w:p w:rsidR="00000000" w:rsidDel="00000000" w:rsidP="00000000" w:rsidRDefault="00000000" w:rsidRPr="00000000" w14:paraId="000000BA">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B — References and evidence basis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 Social Security Policy Support Programme, Government of Bangladesh. Strategic Framework of the National Social Security Strategy 2026–2035 (2026). https://socialprotection.gov.bd/2026/05/strategic-framework-of-the-national-social-security-strategy-2026-2035/</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[2] myGov, Government of Bangladesh. One-stop government service portal and help materials. https://www.mygov.bd/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[3] National Information and Service Helpline 333 / Aspire to Innovate. Official service descriptions. https://333.gov.bd/ and https://a2i.gov.bd/pages/static-pages/6922df18933eb65569e1fced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[4] World Bank. A tech revolution helps boost Bangladesh’s development (Digital Centres overview, 2017). https://blogs.worldbank.org/en/endpovertyinsouthasia/tech-revolution-helps-boost-bangladesh-s-development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[5] Robertson, S., and Zaragoza, H. The Probabilistic Relevance Framework: BM25 and Beyond. Foundations and Trends in Information Retrieval 3(4), 2009.</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[6] Cormack, G., Clarke, C., and Buettcher, S. Reciprocal Rank Fusion Outperforms Condorcet and Individual Rank Learning Methods. SIGIR, 2009.</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[7] W3C. Web Content Accessibility Guidelines (WCAG) 2.2. https://www.w3.org/TR/WCAG22/</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[8] OpenStreetMap contributors. Map data and attribution under the Open Database License. https://www.openstreetmap.org/copyright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[9] Blockchain Olympiad Bangladesh. Guideline &amp; Evaluation Scheme for Artificial Intelligence Category, 2026; and Final Round Submission Guidelines, 2026.</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[10] Project evidence. Current repository, test suite, exhaustive technical handoff, product screenshots, and whitepaper/codebase audit, evidence snapshot 2 September 2026.</w:t>
      </w:r>
      <w:r w:rsidDel="00000000" w:rsidR="00000000" w:rsidRPr="00000000">
        <w:rPr>
          <w:rtl w:val="0"/>
        </w:rPr>
      </w:r>
    </w:p>
    <w:sectPr>
      <w:headerReference r:id="rId26" w:type="default"/>
      <w:footerReference r:id="rId27" w:type="default"/>
      <w:type w:val="nextPage"/>
      <w:pgSz w:h="15840" w:w="12240" w:orient="portrait"/>
      <w:pgMar w:bottom="893" w:top="979" w:left="1152" w:right="1152" w:header="403"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a6661"/>
        <w:sz w:val="16"/>
        <w:szCs w:val="16"/>
        <w:u w:val="none"/>
        <w:shd w:fill="auto" w:val="clear"/>
        <w:vertAlign w:val="baseline"/>
        <w:rtl w:val="0"/>
      </w:rPr>
      <w:t xml:space="preserve">Working prototype  |  Evidence snapshot 2 September 2026    |    Page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7a5c"/>
        <w:sz w:val="17"/>
        <w:szCs w:val="17"/>
        <w:u w:val="none"/>
        <w:shd w:fill="auto" w:val="clear"/>
        <w:vertAlign w:val="baseline"/>
        <w:rtl w:val="0"/>
      </w:rPr>
      <w:t xml:space="preserve">SHEBAR JANALA  |  BCOLBD 2026 AI WHITEPAPER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e1c"/>
        <w:sz w:val="24"/>
        <w:szCs w:val="24"/>
        <w:lang w:val="en"/>
      </w:rPr>
    </w:rPrDefault>
    <w:pPrDefault>
      <w:pPr>
        <w:spacing w:after="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1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eader" Target="header1.xml"/><Relationship Id="rId25" Type="http://schemas.openxmlformats.org/officeDocument/2006/relationships/image" Target="media/image18.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5.png"/><Relationship Id="rId8" Type="http://schemas.openxmlformats.org/officeDocument/2006/relationships/image" Target="media/image8.png"/><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jp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0.jpg"/><Relationship Id="rId16"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