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97D"/>
          <w:sz w:val="36"/>
          <w:szCs w:val="36"/>
        </w:rPr>
        <w:t xml:space="preserve">Comparative Baseline Analysis</w:t>
      </w:r>
    </w:p>
    <w:p>
      <w:pPr>
        <w:spacing w:after="480"/>
        <w:jc w:val="center"/>
      </w:pPr>
      <w:r>
        <w:rPr>
          <w:rFonts w:ascii="Arial" w:cs="Arial" w:eastAsia="Arial" w:hAnsi="Arial"/>
          <w:i/>
          <w:iCs/>
          <w:color w:val="4472C4"/>
          <w:sz w:val="24"/>
          <w:szCs w:val="24"/>
        </w:rPr>
        <w:t xml:space="preserve">Cylindrical Transposition Cipher and Signal Substitution Cipher</w:t>
      </w:r>
    </w:p>
    <w:p>
      <w:pPr>
        <w:pStyle w:val="Heading1"/>
        <w:spacing w:before="300" w:after="160"/>
      </w:pPr>
      <w:r>
        <w:rPr>
          <w:rFonts w:ascii="Arial" w:cs="Arial" w:eastAsia="Arial" w:hAnsi="Arial"/>
          <w:b/>
          <w:bCs/>
          <w:color w:val="2E75B6"/>
          <w:sz w:val="30"/>
          <w:szCs w:val="30"/>
        </w:rPr>
        <w:t xml:space="preserve">2. Cylindrical Transposition Cipher</w:t>
      </w:r>
    </w:p>
    <w:p>
      <w:pPr>
        <w:pStyle w:val="Heading2"/>
        <w:spacing w:before="240" w:after="120"/>
      </w:pPr>
      <w:r>
        <w:rPr>
          <w:rFonts w:ascii="Arial" w:cs="Arial" w:eastAsia="Arial" w:hAnsi="Arial"/>
          <w:b/>
          <w:bCs/>
          <w:color w:val="1F497D"/>
          <w:sz w:val="24"/>
          <w:szCs w:val="24"/>
        </w:rPr>
        <w:t xml:space="preserve">2.1 Key Innovations</w:t>
      </w:r>
    </w:p>
    <w:p>
      <w:pPr>
        <w:spacing w:after="160"/>
        <w:jc w:val="both"/>
      </w:pPr>
      <w:r>
        <w:rPr>
          <w:rFonts w:ascii="Arial" w:cs="Arial" w:eastAsia="Arial" w:hAnsi="Arial"/>
          <w:sz w:val="22"/>
          <w:szCs w:val="22"/>
        </w:rPr>
        <w:t xml:space="preserve">The cylindrical cipher elevates traditional transposition by introducing three sequential layers of rearrangement:</w:t>
      </w:r>
    </w:p>
    <w:p>
      <w:pPr>
        <w:pStyle w:val="ListParagraph"/>
        <w:numPr>
          <w:ilvl w:val="0"/>
          <w:numId w:val="2"/>
        </w:numPr>
        <w:spacing w:after="80"/>
      </w:pPr>
      <w:r>
        <w:rPr>
          <w:rFonts w:ascii="Arial" w:cs="Arial" w:eastAsia="Arial" w:hAnsi="Arial"/>
          <w:sz w:val="22"/>
          <w:szCs w:val="22"/>
        </w:rPr>
        <w:t xml:space="preserve">Row rotations — each row is independently rotated to the right by a key-controlled shift, introducing per-row variability.</w:t>
      </w:r>
    </w:p>
    <w:p>
      <w:pPr>
        <w:pStyle w:val="ListParagraph"/>
        <w:numPr>
          <w:ilvl w:val="0"/>
          <w:numId w:val="2"/>
        </w:numPr>
        <w:spacing w:after="80"/>
      </w:pPr>
      <w:r>
        <w:rPr>
          <w:rFonts w:ascii="Arial" w:cs="Arial" w:eastAsia="Arial" w:hAnsi="Arial"/>
          <w:sz w:val="22"/>
          <w:szCs w:val="22"/>
        </w:rPr>
        <w:t xml:space="preserve">Full transposition — the interchange of rows and columns produces an entirely different dimensional arrangement of the plaintext.</w:t>
      </w:r>
    </w:p>
    <w:p>
      <w:pPr>
        <w:pStyle w:val="ListParagraph"/>
        <w:numPr>
          <w:ilvl w:val="0"/>
          <w:numId w:val="2"/>
        </w:numPr>
        <w:spacing w:after="80"/>
      </w:pPr>
      <w:r>
        <w:rPr>
          <w:rFonts w:ascii="Arial" w:cs="Arial" w:eastAsia="Arial" w:hAnsi="Arial"/>
          <w:sz w:val="22"/>
          <w:szCs w:val="22"/>
        </w:rPr>
        <w:t xml:space="preserve">Diagonal row swap with reversal — a dynamic scrambling step in which rows are simultaneously swapped and reversed, disrupting straightforward row-wise patterns.</w:t>
      </w:r>
    </w:p>
    <w:p>
      <w:pPr>
        <w:spacing w:after="80"/>
      </w:pPr>
    </w:p>
    <w:p>
      <w:pPr>
        <w:spacing w:after="160"/>
        <w:jc w:val="both"/>
      </w:pPr>
      <w:r>
        <w:rPr>
          <w:rFonts w:ascii="Arial" w:cs="Arial" w:eastAsia="Arial" w:hAnsi="Arial"/>
          <w:sz w:val="22"/>
          <w:szCs w:val="22"/>
        </w:rPr>
        <w:t xml:space="preserve">This multi-stage permutation yields a ciphertext that bears no discernible geometric relationship to the plaintext, rendering manual anagramming substantially more difficult than with basic columnar transposition.</w:t>
      </w:r>
    </w:p>
    <w:p>
      <w:pPr>
        <w:pStyle w:val="Heading2"/>
        <w:spacing w:before="240" w:after="120"/>
      </w:pPr>
      <w:r>
        <w:rPr>
          <w:rFonts w:ascii="Arial" w:cs="Arial" w:eastAsia="Arial" w:hAnsi="Arial"/>
          <w:b/>
          <w:bCs/>
          <w:color w:val="1F497D"/>
          <w:sz w:val="24"/>
          <w:szCs w:val="24"/>
        </w:rPr>
        <w:t xml:space="preserve">2.2 Comparison with Baseline Transposition Ciphers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60"/>
        <w:gridCol w:w="2260"/>
        <w:gridCol w:w="2240"/>
      </w:tblGrid>
      <w:tr>
        <w:tc>
          <w:tcPr>
            <w:tcW w:type="dxa" w:w="2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sz w:val="18"/>
                <w:szCs w:val="18"/>
              </w:rPr>
              <w:t xml:space="preserve">Feature</w:t>
            </w:r>
          </w:p>
        </w:tc>
        <w:tc>
          <w:tcPr>
            <w:tcW w:type="dxa" w:w="22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sz w:val="18"/>
                <w:szCs w:val="18"/>
              </w:rPr>
              <w:t xml:space="preserve">Cylindrical Cipher</w:t>
            </w:r>
          </w:p>
        </w:tc>
        <w:tc>
          <w:tcPr>
            <w:tcW w:type="dxa" w:w="22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sz w:val="18"/>
                <w:szCs w:val="18"/>
              </w:rPr>
              <w:t xml:space="preserve">Columnar Transposition</w:t>
            </w:r>
          </w:p>
        </w:tc>
        <w:tc>
          <w:tcPr>
            <w:tcW w:type="dxa" w:w="22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sz w:val="18"/>
                <w:szCs w:val="18"/>
              </w:rPr>
              <w:t xml:space="preserve">Simple Row–Column Transposition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Number of permutation layers</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3 (rotate, transpose, diagonal swap)</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 (column readout)</w:t>
            </w:r>
          </w:p>
        </w:tc>
        <w:tc>
          <w:tcPr>
            <w:tcW w:type="dxa" w:w="2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Key influence</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Row rotations + dimensions</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Column order + dimensions</w:t>
            </w:r>
          </w:p>
        </w:tc>
        <w:tc>
          <w:tcPr>
            <w:tcW w:type="dxa" w:w="2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Dimensions only</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Resistance to pattern analysis</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 — diagonal swap couples rows non-trivially</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Moderate — column permutation only</w:t>
            </w:r>
          </w:p>
        </w:tc>
        <w:tc>
          <w:tcPr>
            <w:tcW w:type="dxa" w:w="2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Low</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Decryption reversibility</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Perfectly symmetric; elegantly implemented</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Straightforward</w:t>
            </w:r>
          </w:p>
        </w:tc>
        <w:tc>
          <w:tcPr>
            <w:tcW w:type="dxa" w:w="2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Straightforward</w:t>
            </w:r>
          </w:p>
        </w:tc>
      </w:tr>
    </w:tbl>
    <w:p>
      <w:pPr>
        <w:spacing w:after="160"/>
      </w:pPr>
    </w:p>
    <w:p>
      <w:pPr>
        <w:spacing w:after="160"/>
        <w:jc w:val="both"/>
      </w:pPr>
      <w:r>
        <w:rPr>
          <w:rFonts w:ascii="Arial" w:cs="Arial" w:eastAsia="Arial" w:hAnsi="Arial"/>
          <w:sz w:val="22"/>
          <w:szCs w:val="22"/>
        </w:rPr>
        <w:t xml:space="preserve">The cylindrical cipher's diagonal scramble warrants particular attention. It employs a running index k that is dependent on the number of columns, ensuring that the swap pattern varies with message length. This adaptive behaviour is absent from most classical transposition ciphers.</w:t>
      </w:r>
    </w:p>
    <w:p>
      <w:pPr>
        <w:pStyle w:val="Heading2"/>
        <w:spacing w:before="240" w:after="120"/>
      </w:pPr>
      <w:r>
        <w:rPr>
          <w:rFonts w:ascii="Arial" w:cs="Arial" w:eastAsia="Arial" w:hAnsi="Arial"/>
          <w:b/>
          <w:bCs/>
          <w:color w:val="1F497D"/>
          <w:sz w:val="24"/>
          <w:szCs w:val="24"/>
        </w:rPr>
        <w:t xml:space="preserve">2.3 Practical Strengths</w:t>
      </w:r>
    </w:p>
    <w:p>
      <w:pPr>
        <w:pStyle w:val="ListParagraph"/>
        <w:numPr>
          <w:ilvl w:val="0"/>
          <w:numId w:val="2"/>
        </w:numPr>
        <w:spacing w:after="80"/>
      </w:pPr>
      <w:r>
        <w:rPr>
          <w:rFonts w:ascii="Arial" w:cs="Arial" w:eastAsia="Arial" w:hAnsi="Arial"/>
          <w:sz w:val="22"/>
          <w:szCs w:val="22"/>
        </w:rPr>
        <w:t xml:space="preserve">Deterministic and computationally efficient — operating in O(n) time with no floating-point arithmetic.</w:t>
      </w:r>
    </w:p>
    <w:p>
      <w:pPr>
        <w:pStyle w:val="ListParagraph"/>
        <w:numPr>
          <w:ilvl w:val="0"/>
          <w:numId w:val="2"/>
        </w:numPr>
        <w:spacing w:after="80"/>
      </w:pPr>
      <w:r>
        <w:rPr>
          <w:rFonts w:ascii="Arial" w:cs="Arial" w:eastAsia="Arial" w:hAnsi="Arial"/>
          <w:sz w:val="22"/>
          <w:szCs w:val="22"/>
        </w:rPr>
        <w:t xml:space="preserve">Space-based padding — a simple, language-neutral filler that does not require special escape characters.</w:t>
      </w:r>
    </w:p>
    <w:p>
      <w:pPr>
        <w:pStyle w:val="ListParagraph"/>
        <w:numPr>
          <w:ilvl w:val="0"/>
          <w:numId w:val="2"/>
        </w:numPr>
        <w:spacing w:after="80"/>
      </w:pPr>
      <w:r>
        <w:rPr>
          <w:rFonts w:ascii="Arial" w:cs="Arial" w:eastAsia="Arial" w:hAnsi="Arial"/>
          <w:sz w:val="22"/>
          <w:szCs w:val="22"/>
        </w:rPr>
        <w:t xml:space="preserve">Compact key format — an integer vector is concise and amenable to memorisation or transmission (e.g., {4, 1, 2, 1, 3}).</w:t>
      </w:r>
    </w:p>
    <w:p>
      <w:pPr>
        <w:pStyle w:val="ListParagraph"/>
        <w:numPr>
          <w:ilvl w:val="0"/>
          <w:numId w:val="2"/>
        </w:numPr>
        <w:spacing w:after="80"/>
      </w:pPr>
      <w:r>
        <w:rPr>
          <w:rFonts w:ascii="Arial" w:cs="Arial" w:eastAsia="Arial" w:hAnsi="Arial"/>
          <w:sz w:val="22"/>
          <w:szCs w:val="22"/>
        </w:rPr>
        <w:t xml:space="preserve">Absence of error propagation — a transmission error affects only the displaced character, leaving the remainder of the message intact.</w:t>
      </w:r>
    </w:p>
    <w:p>
      <w:pPr>
        <w:spacing w:after="80"/>
      </w:pPr>
    </w:p>
    <w:p>
      <w:pPr>
        <w:pStyle w:val="Heading2"/>
        <w:spacing w:before="240" w:after="120"/>
      </w:pPr>
      <w:r>
        <w:rPr>
          <w:rFonts w:ascii="Arial" w:cs="Arial" w:eastAsia="Arial" w:hAnsi="Arial"/>
          <w:b/>
          <w:bCs/>
          <w:color w:val="1F497D"/>
          <w:sz w:val="24"/>
          <w:szCs w:val="24"/>
        </w:rPr>
        <w:t xml:space="preserve">2.4 Limitations</w:t>
      </w:r>
    </w:p>
    <w:p>
      <w:pPr>
        <w:spacing w:after="160"/>
        <w:jc w:val="both"/>
      </w:pPr>
      <w:r>
        <w:rPr>
          <w:rFonts w:ascii="Arial" w:cs="Arial" w:eastAsia="Arial" w:hAnsi="Arial"/>
          <w:sz w:val="22"/>
          <w:szCs w:val="22"/>
        </w:rPr>
        <w:t xml:space="preserve">As with all pure transposition ciphers, the cylindrical cipher does not alter character identities. Nevertheless, when combined with even a modest substitution layer — for instance, a Caesar shift applied as a post-processing step — the cylindrical cipher constitutes a robust classical-grade cipher. As a standalone scheme, it remains a highly effective building block for multi-stage encryption pipelines.</w:t>
      </w:r>
    </w:p>
    <w:p>
      <w:pPr>
        <w:pStyle w:val="Heading1"/>
        <w:spacing w:before="300" w:after="160"/>
      </w:pPr>
      <w:r>
        <w:rPr>
          <w:rFonts w:ascii="Arial" w:cs="Arial" w:eastAsia="Arial" w:hAnsi="Arial"/>
          <w:b/>
          <w:bCs/>
          <w:color w:val="2E75B6"/>
          <w:sz w:val="30"/>
          <w:szCs w:val="30"/>
        </w:rPr>
        <w:t xml:space="preserve">3. Signal Substitution Cipher</w:t>
      </w:r>
    </w:p>
    <w:p>
      <w:pPr>
        <w:pStyle w:val="Heading2"/>
        <w:spacing w:before="240" w:after="120"/>
      </w:pPr>
      <w:r>
        <w:rPr>
          <w:rFonts w:ascii="Arial" w:cs="Arial" w:eastAsia="Arial" w:hAnsi="Arial"/>
          <w:b/>
          <w:bCs/>
          <w:color w:val="1F497D"/>
          <w:sz w:val="24"/>
          <w:szCs w:val="24"/>
        </w:rPr>
        <w:t xml:space="preserve">3.1 Key Innovations</w:t>
      </w:r>
    </w:p>
    <w:p>
      <w:pPr>
        <w:spacing w:after="160"/>
        <w:jc w:val="both"/>
      </w:pPr>
      <w:r>
        <w:rPr>
          <w:rFonts w:ascii="Arial" w:cs="Arial" w:eastAsia="Arial" w:hAnsi="Arial"/>
          <w:sz w:val="22"/>
          <w:szCs w:val="22"/>
        </w:rPr>
        <w:t xml:space="preserve">The signal cipher replaces the periodic keystream of the Vigenère cipher with a geometric–probabilistic shift generator. It treats the message as a grid over a continuous plane and evaluates real-valued probability distributions at each cell centre. The resulting shift values exhibit the following properties:</w:t>
      </w:r>
    </w:p>
    <w:p>
      <w:pPr>
        <w:pStyle w:val="ListParagraph"/>
        <w:numPr>
          <w:ilvl w:val="0"/>
          <w:numId w:val="2"/>
        </w:numPr>
        <w:spacing w:after="80"/>
      </w:pPr>
      <w:r>
        <w:rPr>
          <w:rFonts w:ascii="Arial" w:cs="Arial" w:eastAsia="Arial" w:hAnsi="Arial"/>
          <w:sz w:val="22"/>
          <w:szCs w:val="22"/>
        </w:rPr>
        <w:t xml:space="preserve">Aperiodic — because the grid dimensions are determined by message length, the shift pattern does not repeat.</w:t>
      </w:r>
    </w:p>
    <w:p>
      <w:pPr>
        <w:pStyle w:val="ListParagraph"/>
        <w:numPr>
          <w:ilvl w:val="0"/>
          <w:numId w:val="2"/>
        </w:numPr>
        <w:spacing w:after="80"/>
      </w:pPr>
      <w:r>
        <w:rPr>
          <w:rFonts w:ascii="Arial" w:cs="Arial" w:eastAsia="Arial" w:hAnsi="Arial"/>
          <w:sz w:val="22"/>
          <w:szCs w:val="22"/>
        </w:rPr>
        <w:t xml:space="preserve">Key-rich — each probability distribution (Normal, Poisson, Exponential, Binomial, etc.) contributes its own parameters, enabling the construction of a unique cryptographic signature.</w:t>
      </w:r>
    </w:p>
    <w:p>
      <w:pPr>
        <w:pStyle w:val="ListParagraph"/>
        <w:numPr>
          <w:ilvl w:val="0"/>
          <w:numId w:val="2"/>
        </w:numPr>
        <w:spacing w:after="80"/>
      </w:pPr>
      <w:r>
        <w:rPr>
          <w:rFonts w:ascii="Arial" w:cs="Arial" w:eastAsia="Arial" w:hAnsi="Arial"/>
          <w:sz w:val="22"/>
          <w:szCs w:val="22"/>
        </w:rPr>
        <w:t xml:space="preserve">Smoothly varying — adjacent characters receive similar shift magnitudes owing to the continuity of the underlying probability density functions, producing a subtle diffusion effect that is atypical of classical substitution schemes.</w:t>
      </w:r>
    </w:p>
    <w:p>
      <w:pPr>
        <w:spacing w:after="80"/>
      </w:pPr>
    </w:p>
    <w:p>
      <w:pPr>
        <w:pStyle w:val="Heading2"/>
        <w:spacing w:before="240" w:after="120"/>
      </w:pPr>
      <w:r>
        <w:rPr>
          <w:rFonts w:ascii="Arial" w:cs="Arial" w:eastAsia="Arial" w:hAnsi="Arial"/>
          <w:b/>
          <w:bCs/>
          <w:color w:val="1F497D"/>
          <w:sz w:val="24"/>
          <w:szCs w:val="24"/>
        </w:rPr>
        <w:t xml:space="preserve">3.2 Comparison with Baseline Polyalphabetic Ciphers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15"/>
        <w:gridCol w:w="1782"/>
        <w:gridCol w:w="1782"/>
        <w:gridCol w:w="1781"/>
      </w:tblGrid>
      <w:tr>
        <w:tc>
          <w:tcPr>
            <w:tcW w:type="dxa" w:w="1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sz w:val="18"/>
                <w:szCs w:val="18"/>
              </w:rPr>
              <w:t xml:space="preserve">Feature</w:t>
            </w:r>
          </w:p>
        </w:tc>
        <w:tc>
          <w:tcPr>
            <w:tcW w:type="dxa" w:w="2115"/>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sz w:val="18"/>
                <w:szCs w:val="18"/>
              </w:rPr>
              <w:t xml:space="preserve">Signal Cipher</w:t>
            </w:r>
          </w:p>
        </w:tc>
        <w:tc>
          <w:tcPr>
            <w:tcW w:type="dxa" w:w="1782"/>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sz w:val="18"/>
                <w:szCs w:val="18"/>
              </w:rPr>
              <w:t xml:space="preserve">Vigenère</w:t>
            </w:r>
          </w:p>
        </w:tc>
        <w:tc>
          <w:tcPr>
            <w:tcW w:type="dxa" w:w="1782"/>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sz w:val="18"/>
                <w:szCs w:val="18"/>
              </w:rPr>
              <w:t xml:space="preserve">Autokey</w:t>
            </w:r>
          </w:p>
        </w:tc>
        <w:tc>
          <w:tcPr>
            <w:tcW w:type="dxa" w:w="1781"/>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sz w:val="18"/>
                <w:szCs w:val="18"/>
              </w:rPr>
              <w:t xml:space="preserve">Playfair</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Keystream period</w:t>
            </w:r>
          </w:p>
        </w:tc>
        <w:tc>
          <w:tcPr>
            <w:tcW w:type="dxa" w:w="211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Aperiodic (grid-size dependent)</w:t>
            </w:r>
          </w:p>
        </w:tc>
        <w:tc>
          <w:tcPr>
            <w:tcW w:type="dxa" w:w="178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Fixed (keyword length)</w:t>
            </w:r>
          </w:p>
        </w:tc>
        <w:tc>
          <w:tcPr>
            <w:tcW w:type="dxa" w:w="178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Expands to plaintext length</w:t>
            </w:r>
          </w:p>
        </w:tc>
        <w:tc>
          <w:tcPr>
            <w:tcW w:type="dxa" w:w="178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Not applicable (digraph)</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Key flexibility</w:t>
            </w:r>
          </w:p>
        </w:tc>
        <w:tc>
          <w:tcPr>
            <w:tcW w:type="dxa" w:w="211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Multiple distributions with continuous parameters</w:t>
            </w:r>
          </w:p>
        </w:tc>
        <w:tc>
          <w:tcPr>
            <w:tcW w:type="dxa" w:w="178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Single keyword (letters)</w:t>
            </w:r>
          </w:p>
        </w:tc>
        <w:tc>
          <w:tcPr>
            <w:tcW w:type="dxa" w:w="178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Keyword + feedback</w:t>
            </w:r>
          </w:p>
        </w:tc>
        <w:tc>
          <w:tcPr>
            <w:tcW w:type="dxa" w:w="178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Single word or phrase</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Mathematical depth</w:t>
            </w:r>
          </w:p>
        </w:tc>
        <w:tc>
          <w:tcPr>
            <w:tcW w:type="dxa" w:w="211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PDF/PMF, gamma functions, normalisation</w:t>
            </w:r>
          </w:p>
        </w:tc>
        <w:tc>
          <w:tcPr>
            <w:tcW w:type="dxa" w:w="178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Simple modular addition</w:t>
            </w:r>
          </w:p>
        </w:tc>
        <w:tc>
          <w:tcPr>
            <w:tcW w:type="dxa" w:w="178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Modular addition with feedback</w:t>
            </w:r>
          </w:p>
        </w:tc>
        <w:tc>
          <w:tcPr>
            <w:tcW w:type="dxa" w:w="178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Grid lookup</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Resistance to frequency analysis</w:t>
            </w:r>
          </w:p>
        </w:tc>
        <w:tc>
          <w:tcPr>
            <w:tcW w:type="dxa" w:w="211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 — shift per position is unique and data-driven</w:t>
            </w:r>
          </w:p>
        </w:tc>
        <w:tc>
          <w:tcPr>
            <w:tcW w:type="dxa" w:w="178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Medium — periodic patterns introduce leakage</w:t>
            </w:r>
          </w:p>
        </w:tc>
        <w:tc>
          <w:tcPr>
            <w:tcW w:type="dxa" w:w="178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 (no period), though still linear</w:t>
            </w:r>
          </w:p>
        </w:tc>
        <w:tc>
          <w:tcPr>
            <w:tcW w:type="dxa" w:w="178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Medium — digraph frequencies persist</w:t>
            </w:r>
          </w:p>
        </w:tc>
      </w:tr>
    </w:tbl>
    <w:p>
      <w:pPr>
        <w:spacing w:after="160"/>
      </w:pPr>
    </w:p>
    <w:p>
      <w:pPr>
        <w:spacing w:after="160"/>
        <w:jc w:val="both"/>
      </w:pPr>
      <w:r>
        <w:rPr>
          <w:rFonts w:ascii="Arial" w:cs="Arial" w:eastAsia="Arial" w:hAnsi="Arial"/>
          <w:sz w:val="22"/>
          <w:szCs w:val="22"/>
        </w:rPr>
        <w:t xml:space="preserve">The signal cipher's incorporation of real-valued probability distributions constitutes a substantive conceptual advancement over the discrete, letter-based keys of classical ciphers. A practitioner may, for example, combine a Normal distribution (mean = 5, standard deviation = 2) with a Poisson distribution (lambda = 3) to generate a rich, non-repeating shift stream that is computationally indistinguishable from random noise without knowledge of the exact parameters.</w:t>
      </w:r>
    </w:p>
    <w:p>
      <w:pPr>
        <w:pStyle w:val="Heading2"/>
        <w:spacing w:before="240" w:after="120"/>
      </w:pPr>
      <w:r>
        <w:rPr>
          <w:rFonts w:ascii="Arial" w:cs="Arial" w:eastAsia="Arial" w:hAnsi="Arial"/>
          <w:b/>
          <w:bCs/>
          <w:color w:val="1F497D"/>
          <w:sz w:val="24"/>
          <w:szCs w:val="24"/>
        </w:rPr>
        <w:t xml:space="preserve">3.3 Practical Strengths</w:t>
      </w:r>
    </w:p>
    <w:p>
      <w:pPr>
        <w:pStyle w:val="ListParagraph"/>
        <w:numPr>
          <w:ilvl w:val="0"/>
          <w:numId w:val="2"/>
        </w:numPr>
        <w:spacing w:after="80"/>
      </w:pPr>
      <w:r>
        <w:rPr>
          <w:rFonts w:ascii="Arial" w:cs="Arial" w:eastAsia="Arial" w:hAnsi="Arial"/>
          <w:sz w:val="22"/>
          <w:szCs w:val="22"/>
        </w:rPr>
        <w:t xml:space="preserve">No padding required — the cipher operates on messages of arbitrary length without modifying message size.</w:t>
      </w:r>
    </w:p>
    <w:p>
      <w:pPr>
        <w:pStyle w:val="ListParagraph"/>
        <w:numPr>
          <w:ilvl w:val="0"/>
          <w:numId w:val="2"/>
        </w:numPr>
        <w:spacing w:after="80"/>
      </w:pPr>
      <w:r>
        <w:rPr>
          <w:rFonts w:ascii="Arial" w:cs="Arial" w:eastAsia="Arial" w:hAnsi="Arial"/>
          <w:sz w:val="22"/>
          <w:szCs w:val="22"/>
        </w:rPr>
        <w:t xml:space="preserve">Preservation of non-alphabetic characters — numerals, punctuation, and whitespace remain unaltered, rendering the scheme suitable for mixed-content messages.</w:t>
      </w:r>
    </w:p>
    <w:p>
      <w:pPr>
        <w:pStyle w:val="ListParagraph"/>
        <w:numPr>
          <w:ilvl w:val="0"/>
          <w:numId w:val="2"/>
        </w:numPr>
        <w:spacing w:after="80"/>
      </w:pPr>
      <w:r>
        <w:rPr>
          <w:rFonts w:ascii="Arial" w:cs="Arial" w:eastAsia="Arial" w:hAnsi="Arial"/>
          <w:sz w:val="22"/>
          <w:szCs w:val="22"/>
        </w:rPr>
        <w:t xml:space="preserve">Human-readable key syntax — the multi-distribution format (e.g., 1(12,30)02(4)) is expressive and can be transcribed or communicated without ambiguity.</w:t>
      </w:r>
    </w:p>
    <w:p>
      <w:pPr>
        <w:pStyle w:val="ListParagraph"/>
        <w:numPr>
          <w:ilvl w:val="0"/>
          <w:numId w:val="2"/>
        </w:numPr>
        <w:spacing w:after="80"/>
      </w:pPr>
      <w:r>
        <w:rPr>
          <w:rFonts w:ascii="Arial" w:cs="Arial" w:eastAsia="Arial" w:hAnsi="Arial"/>
          <w:sz w:val="22"/>
          <w:szCs w:val="22"/>
        </w:rPr>
        <w:t xml:space="preserve">Extensibility — additional distributions (e.g., Gamma, Weibull, Chi-squared) can be incorporated with minimal modifications, permitting the construction of highly personalised cryptographic profiles.</w:t>
      </w:r>
    </w:p>
    <w:p>
      <w:pPr>
        <w:spacing w:after="80"/>
      </w:pPr>
    </w:p>
    <w:p>
      <w:pPr>
        <w:pStyle w:val="Heading2"/>
        <w:spacing w:before="240" w:after="120"/>
      </w:pPr>
      <w:r>
        <w:rPr>
          <w:rFonts w:ascii="Arial" w:cs="Arial" w:eastAsia="Arial" w:hAnsi="Arial"/>
          <w:b/>
          <w:bCs/>
          <w:color w:val="1F497D"/>
          <w:sz w:val="24"/>
          <w:szCs w:val="24"/>
        </w:rPr>
        <w:t xml:space="preserve">3.4 Limitations</w:t>
      </w:r>
    </w:p>
    <w:p>
      <w:pPr>
        <w:spacing w:after="160"/>
        <w:jc w:val="both"/>
      </w:pPr>
      <w:r>
        <w:rPr>
          <w:rFonts w:ascii="Arial" w:cs="Arial" w:eastAsia="Arial" w:hAnsi="Arial"/>
          <w:sz w:val="22"/>
          <w:szCs w:val="22"/>
        </w:rPr>
        <w:t xml:space="preserve">Because the shift stream is deterministic for a given message length and key, the reuse of an identical key on two messages of equal length would facilitate cross-analysis. In practice, this vulnerability is readily mitigated by varying at least one distribution parameter — for instance, introducing a dummy distribution with a randomised offset — or by prepending a random nonce to the plaintext prior to encryption.</w:t>
      </w:r>
    </w:p>
    <w:p>
      <w:pPr>
        <w:pStyle w:val="Heading1"/>
        <w:spacing w:before="300" w:after="160"/>
      </w:pPr>
      <w:r>
        <w:rPr>
          <w:rFonts w:ascii="Arial" w:cs="Arial" w:eastAsia="Arial" w:hAnsi="Arial"/>
          <w:b/>
          <w:bCs/>
          <w:color w:val="2E75B6"/>
          <w:sz w:val="30"/>
          <w:szCs w:val="30"/>
        </w:rPr>
        <w:t xml:space="preserve">4. Balanced Feature Comparison</w:t>
      </w:r>
    </w:p>
    <w:p>
      <w:pPr>
        <w:spacing w:after="160"/>
        <w:jc w:val="both"/>
      </w:pPr>
      <w:r>
        <w:rPr>
          <w:rFonts w:ascii="Arial" w:cs="Arial" w:eastAsia="Arial" w:hAnsi="Arial"/>
          <w:sz w:val="22"/>
          <w:szCs w:val="22"/>
        </w:rPr>
        <w:t xml:space="preserve">The table below presents the distinctive characteristics of each cipher without reference to execution times. Baseline ciphers are represented with fidelity, illustrating that the two custom designs occupy genuinely distinct positions within the classical cipher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400"/>
        <w:gridCol w:w="1480"/>
        <w:gridCol w:w="1880"/>
      </w:tblGrid>
      <w:tr>
        <w:tc>
          <w:tcPr>
            <w:tcW w:type="dxa" w:w="1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sz w:val="18"/>
                <w:szCs w:val="18"/>
              </w:rPr>
              <w:t xml:space="preserve">Cipher</w:t>
            </w:r>
          </w:p>
        </w:tc>
        <w:tc>
          <w:tcPr>
            <w:tcW w:type="dxa" w:w="1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sz w:val="18"/>
                <w:szCs w:val="18"/>
              </w:rPr>
              <w:t xml:space="preserve">Type</w:t>
            </w:r>
          </w:p>
        </w:tc>
        <w:tc>
          <w:tcPr>
            <w:tcW w:type="dxa" w:w="1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sz w:val="18"/>
                <w:szCs w:val="18"/>
              </w:rPr>
              <w:t xml:space="preserve">Key Space (effective)</w:t>
            </w:r>
          </w:p>
        </w:tc>
        <w:tc>
          <w:tcPr>
            <w:tcW w:type="dxa" w:w="1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sz w:val="18"/>
                <w:szCs w:val="18"/>
              </w:rPr>
              <w:t xml:space="preserve">Pattern Resistance</w:t>
            </w:r>
          </w:p>
        </w:tc>
        <w:tc>
          <w:tcPr>
            <w:tcW w:type="dxa" w:w="148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sz w:val="18"/>
                <w:szCs w:val="18"/>
              </w:rPr>
              <w:t xml:space="preserve">Implementation Complexity</w:t>
            </w:r>
          </w:p>
        </w:tc>
        <w:tc>
          <w:tcPr>
            <w:tcW w:type="dxa" w:w="188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sz w:val="18"/>
                <w:szCs w:val="18"/>
              </w:rPr>
              <w:t xml:space="preserve">Distinguishing Characteristic</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Cylindrical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Transposition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Rows × (circrows)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 (multi-layer)</w:t>
            </w:r>
          </w:p>
        </w:tc>
        <w:tc>
          <w:tcPr>
            <w:tcW w:type="dxa" w:w="1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Moderate</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Diagonal row-swap scrambling</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Signal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Polyalphabetic substitution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Continuous (distribution parameters)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Very high (aperiodic)</w:t>
            </w:r>
          </w:p>
        </w:tc>
        <w:tc>
          <w:tcPr>
            <w:tcW w:type="dxa" w:w="1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Moderate to high</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Distribution-driven keystream</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Caesar</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Monoalphabetic</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25</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Very low</w:t>
            </w:r>
          </w:p>
        </w:tc>
        <w:tc>
          <w:tcPr>
            <w:tcW w:type="dxa" w:w="1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Very low</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Simplicity of implementation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Simple Substitution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Monoalphabetic</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26!</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Low (frequency analysis)</w:t>
            </w:r>
          </w:p>
        </w:tc>
        <w:tc>
          <w:tcPr>
            <w:tcW w:type="dxa" w:w="1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Low</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Full alphabet permutation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Vigenère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Polyalphabetic</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26L (L = key length)</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Medium (periodic)</w:t>
            </w:r>
          </w:p>
        </w:tc>
        <w:tc>
          <w:tcPr>
            <w:tcW w:type="dxa" w:w="1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Very low</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Accessible keyword-based usage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Columnar Transposition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Transposition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(cols)!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Medium</w:t>
            </w:r>
          </w:p>
        </w:tc>
        <w:tc>
          <w:tcPr>
            <w:tcW w:type="dxa" w:w="1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Low</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Geometric reordering</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Playfair</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Digraph substitution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 25!</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Medium</w:t>
            </w:r>
          </w:p>
        </w:tc>
        <w:tc>
          <w:tcPr>
            <w:tcW w:type="dxa" w:w="1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Low</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Digraph-level encryption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Autokey</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Polyalphabetic</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26L (L = key length)</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 (no period)</w:t>
            </w:r>
          </w:p>
        </w:tc>
        <w:tc>
          <w:tcPr>
            <w:tcW w:type="dxa" w:w="1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Moderate</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Self-synchronising keystream</w:t>
            </w:r>
          </w:p>
        </w:tc>
      </w:tr>
    </w:tbl>
    <w:p>
      <w:pPr>
        <w:spacing w:after="160"/>
      </w:pPr>
    </w:p>
    <w:p>
      <w:pPr>
        <w:spacing w:after="160"/>
        <w:jc w:val="both"/>
      </w:pPr>
      <w:r>
        <w:rPr>
          <w:rFonts w:ascii="Arial" w:cs="Arial" w:eastAsia="Arial" w:hAnsi="Arial"/>
          <w:sz w:val="22"/>
          <w:szCs w:val="22"/>
        </w:rPr>
        <w:t xml:space="preserve">The following observations are drawn from the comparative analysis:</w:t>
      </w:r>
    </w:p>
    <w:p>
      <w:pPr>
        <w:pStyle w:val="ListParagraph"/>
        <w:numPr>
          <w:ilvl w:val="0"/>
          <w:numId w:val="2"/>
        </w:numPr>
        <w:spacing w:after="80"/>
      </w:pPr>
      <w:r>
        <w:rPr>
          <w:rFonts w:ascii="Arial" w:cs="Arial" w:eastAsia="Arial" w:hAnsi="Arial"/>
          <w:b/>
          <w:bCs/>
          <w:sz w:val="22"/>
          <w:szCs w:val="22"/>
        </w:rPr>
        <w:t xml:space="preserve">Permutation space: </w:t>
      </w:r>
      <w:r>
        <w:rPr>
          <w:rFonts w:ascii="Arial" w:cs="Arial" w:eastAsia="Arial" w:hAnsi="Arial"/>
          <w:sz w:val="22"/>
          <w:szCs w:val="22"/>
        </w:rPr>
        <w:t xml:space="preserve">The cylindrical cipher offers a larger effective permutation space than simple columnar transposition when rows and rotation counts are appropriately balanced, owing to independent per-row rotations.</w:t>
      </w:r>
    </w:p>
    <w:p>
      <w:pPr>
        <w:pStyle w:val="ListParagraph"/>
        <w:numPr>
          <w:ilvl w:val="0"/>
          <w:numId w:val="2"/>
        </w:numPr>
        <w:spacing w:after="80"/>
      </w:pPr>
      <w:r>
        <w:rPr>
          <w:rFonts w:ascii="Arial" w:cs="Arial" w:eastAsia="Arial" w:hAnsi="Arial"/>
          <w:b/>
          <w:bCs/>
          <w:sz w:val="22"/>
          <w:szCs w:val="22"/>
        </w:rPr>
        <w:t xml:space="preserve">Continuous probability distributions: </w:t>
      </w:r>
      <w:r>
        <w:rPr>
          <w:rFonts w:ascii="Arial" w:cs="Arial" w:eastAsia="Arial" w:hAnsi="Arial"/>
          <w:sz w:val="22"/>
          <w:szCs w:val="22"/>
        </w:rPr>
        <w:t xml:space="preserve">The signal cipher is the only classical-style cipher in this analysis that incorporates continuous probability distributions, positioning it as a conceptual bridge between classical cryptography and modern stream cipher design.</w:t>
      </w:r>
    </w:p>
    <w:p>
      <w:pPr>
        <w:spacing w:after="80"/>
      </w:pPr>
    </w:p>
    <w:p>
      <w:pPr>
        <w:pStyle w:val="Heading1"/>
        <w:spacing w:before="300" w:after="160"/>
      </w:pPr>
      <w:r>
        <w:rPr>
          <w:rFonts w:ascii="Arial" w:cs="Arial" w:eastAsia="Arial" w:hAnsi="Arial"/>
          <w:b/>
          <w:bCs/>
          <w:color w:val="2E75B6"/>
          <w:sz w:val="30"/>
          <w:szCs w:val="30"/>
        </w:rPr>
        <w:t xml:space="preserve">6. Conclusion</w:t>
      </w:r>
    </w:p>
    <w:p>
      <w:pPr>
        <w:spacing w:after="160"/>
        <w:jc w:val="both"/>
      </w:pPr>
      <w:r>
        <w:rPr>
          <w:rFonts w:ascii="Arial" w:cs="Arial" w:eastAsia="Arial" w:hAnsi="Arial"/>
          <w:sz w:val="22"/>
          <w:szCs w:val="22"/>
        </w:rPr>
        <w:t xml:space="preserve">The Cylindrical Transposition Cipher and the Signal Substitution Cipher represent substantive contributions to the classical cipher landscape. The cylindrical cipher advances upon basic transposition through layered rotations and a diagonal swap mechanism that demonstrably disrupts pattern recognition. The signal cipher introduces the use of statistical probability distributions to generate aperiodic, geometrically inspired shift streams — a conceptual innovation without direct precedent among classical designs.</w:t>
      </w:r>
    </w:p>
    <w:p>
      <w:pPr>
        <w:spacing w:after="160"/>
        <w:jc w:val="both"/>
      </w:pPr>
      <w:r>
        <w:rPr>
          <w:rFonts w:ascii="Arial" w:cs="Arial" w:eastAsia="Arial" w:hAnsi="Arial"/>
          <w:sz w:val="22"/>
          <w:szCs w:val="22"/>
        </w:rPr>
        <w:t xml:space="preserve">Neither cipher claims equivalence to modern cryptographic standards; however, both are analytically rigorous, fully functional, and instructive in their construction. For hobbyist, educational, or low-security applications, they offer substantive alternatives to the well-established Caesar and Vigenère schemes. With targeted extensions — such as the incorporation of a nonce or the addition of a post-substitution layer — both ciphers can approach the robustness of classical Autokey or Playfair.</w:t>
      </w:r>
    </w:p>
    <w:p>
      <w:pPr>
        <w:spacing w:after="160"/>
        <w:jc w:val="both"/>
      </w:pPr>
      <w:r>
        <w:rPr>
          <w:rFonts w:ascii="Arial" w:cs="Arial" w:eastAsia="Arial" w:hAnsi="Arial"/>
          <w:sz w:val="22"/>
          <w:szCs w:val="22"/>
        </w:rPr>
        <w:t xml:space="preserve">These ciphers merit recognition as carefully considered, operational exemplars of how classical cryptographic principles may be systematically extended and reinvented.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2026-03-29T13:40:31.756Z</dcterms:created>
  <dcterms:modified xsi:type="dcterms:W3CDTF">2026-03-29T13:40:31.758Z</dcterms:modified>
</cp:coreProperties>
</file>

<file path=docProps/custom.xml><?xml version="1.0" encoding="utf-8"?>
<Properties xmlns="http://schemas.openxmlformats.org/officeDocument/2006/custom-properties" xmlns:vt="http://schemas.openxmlformats.org/officeDocument/2006/docPropsVTypes"/>
</file>