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am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Google-certified Cybersecurity Professional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a focused foundation in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Defensive Security Operations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Incident Response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My analytical background allows me to effectively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triage complex security issues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implement practical solutions, and correlate data to mitigate threats. I possess hands-on expertise in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SIEM/Log Analysis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Python automation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I am dedicated to continuously expanding my skills to protect organizational assets as a future SOC Analyst.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