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0"/>
          <w:szCs w:val="40"/>
        </w:rPr>
        <w:t xml:space="preserve">Kafka 2.5DC Multi-Region Deployment on OpenShift</w:t>
      </w:r>
    </w:p>
    <w:p>
      <w:pPr>
        <w:spacing w:after="60"/>
      </w:pPr>
      <w:r>
        <w:rPr>
          <w:color w:val="595959"/>
          <w:sz w:val="26"/>
          <w:szCs w:val="26"/>
        </w:rPr>
        <w:t xml:space="preserve">Using Confluent for Kubernetes (CFK) — Architecture, Design Decisions &amp; Validation Summary</w:t>
      </w:r>
    </w:p>
    <w:p>
      <w:pPr>
        <w:spacing w:after="400"/>
      </w:pPr>
      <w:r>
        <w:rPr>
          <w:i/>
          <w:iCs/>
          <w:color w:val="595959"/>
          <w:sz w:val="20"/>
          <w:szCs w:val="20"/>
        </w:rPr>
        <w:t xml:space="preserve">Prepared for: OpenShift / Platform Engineering review</w:t>
      </w:r>
    </w:p>
    <w:p>
      <w:pPr>
        <w:pStyle w:val="Heading1"/>
        <w:spacing w:after="160" w:before="320"/>
      </w:pPr>
      <w:r>
        <w:t xml:space="preserve">1. Executive Summary</w:t>
      </w:r>
    </w:p>
    <w:p>
      <w:pPr>
        <w:spacing w:after="160"/>
      </w:pPr>
      <w:r>
        <w:t xml:space="preserve">This document summarizes the design, build, and progressive validation of a Helm chart that deploys Apache Kafka — via Confluent for Kubernetes (CFK) — as a single logical cluster stretched across a 2.5-datacenter (2.5DC) topology: two full regions running brokers and a controller each, plus one lightweight witness region running only a KRaft controller. It is written for an OpenShift platform engineering audience already familiar with Kubernetes operators, SecurityContextConstraints, and general cluster operations, but not necessarily with Kafka or Confluent's Kubernetes-native tooling.</w:t>
      </w:r>
    </w:p>
    <w:p>
      <w:pPr>
        <w:spacing w:after="160"/>
      </w:pPr>
      <w:r>
        <w:t xml:space="preserve">The work proceeded in two deliberate stages of increasing realism — a namespace-simulated three-region topology on one real OpenShift cluster, and (pending) genuine multi-cluster rollout — each stage designed to isolate and de-risk a specific class of failure before adding the next layer of complexity.</w:t>
      </w:r>
    </w:p>
    <w:p>
      <w:pPr>
        <w:spacing w:after="160"/>
      </w:pPr>
      <w:r>
        <w:t xml:space="preserve">The most significant outcome of this phase was discovering, diagnosing, and resolving a real gap in the initial design: matching a shared Kafka cluster identifier (clusterID) across regions is necessary but not sufficient to form one logical controller quorum. A second, independent finding — that several CFK custom resource fields are silently ignored rather than rejected on the installed CRD version — has direct implications for how this platform should validate CFK version compatibility before production rollout. Both findings, and their resolutions, are detailed in Section 9.</w:t>
      </w:r>
    </w:p>
    <w:p>
      <w:pPr>
        <w:spacing w:after="160"/>
      </w:pPr>
      <w:r>
        <w:t xml:space="preserve">As of this writing, the namespace-simulated three-region topology is fully validated: a genuine three-node controller quorum spanning three Kubernetes namespaces, replication factor 3 partitions with real cross-namespace replica placement, and a Schema Registry-mediated Avro produce/consume flow proven to replicate correctly across namespace boundaries.</w:t>
      </w:r>
    </w:p>
    <w:p>
      <w:pPr>
        <w:pStyle w:val="Heading1"/>
        <w:spacing w:after="160" w:before="320"/>
      </w:pPr>
      <w:r>
        <w:t xml:space="preserve">2. Objective and Scope</w:t>
      </w:r>
    </w:p>
    <w:p>
      <w:pPr>
        <w:spacing w:after="160"/>
      </w:pPr>
      <w:r>
        <w:t xml:space="preserve">The objective of this engagement was to produce a reusable, version-controlled Helm chart capable of deploying Kafka as one logical cluster in a 2.5DC multi-region shape — spanning three separate Kubernetes clusters (or, for pre-production validation, three namespaces on one cluster) — to survive the loss of any single region without data loss or extended unavailability.</w:t>
      </w:r>
    </w:p>
    <w:p>
      <w:pPr>
        <w:spacing w:after="160"/>
      </w:pPr>
      <w:r>
        <w:t xml:space="preserve">This phase of work focused on building the chart and validating the multi-region mechanics — quorum formation, rack-aware replica placement, cross-region replication, and schema governance — using a namespace-based simulation of three regions on a single real OpenShift cluster. This approach deliberately defers the genuinely hard infrastructure problem (cross-cluster networking: non-overlapping pod CIDRs, cross-cluster DNS resolution) to a later phase, so that Kafka-level logic could be proven correct in isolation first, on infrastructure already available.</w:t>
      </w:r>
    </w:p>
    <w:p>
      <w:pPr>
        <w:pStyle w:val="Heading1"/>
        <w:spacing w:after="160" w:before="320"/>
      </w:pPr>
      <w:r>
        <w:t xml:space="preserve">3. Why 2.5DC: Architectural Rationale</w:t>
      </w:r>
    </w:p>
    <w:p>
      <w:pPr>
        <w:spacing w:after="160"/>
      </w:pPr>
      <w:r>
        <w:t xml:space="preserve">Kafka's KRaft controllers reach agreement on cluster metadata (topic/partition existence, partition leadership, replica membership) using the Raft consensus protocol, which requires a majority vote among controllers before any change is considered committed. This has two direct consequences for topology design:</w:t>
      </w:r>
    </w:p>
    <w:p>
      <w:pPr>
        <w:pStyle w:val="ListParagraph"/>
        <w:numPr>
          <w:ilvl w:val="0"/>
          <w:numId w:val="2"/>
        </w:numPr>
        <w:spacing w:after="80"/>
      </w:pPr>
      <w:r>
        <w:t xml:space="preserve">The controller count must be odd. An even split can partition into two equal halves with no majority in either, halting the cluster even though every individual node is healthy.</w:t>
      </w:r>
    </w:p>
    <w:p>
      <w:pPr>
        <w:pStyle w:val="ListParagraph"/>
        <w:numPr>
          <w:ilvl w:val="0"/>
          <w:numId w:val="2"/>
        </w:numPr>
        <w:spacing w:after="80"/>
      </w:pPr>
      <w:r>
        <w:t xml:space="preserve">A stretched cluster spanning exactly two physical locations can never be made safe. However controllers are split across two sites, one site ends up holding the majority by itself, making that specific site a single point of failure for the entire cluster's control plane — losing the other site is survivable, but losing the majority-holding site is not, regardless of which site that happens to be.</w:t>
      </w:r>
    </w:p>
    <w:p>
      <w:pPr>
        <w:spacing w:after="160"/>
      </w:pPr>
      <w:r>
        <w:t xml:space="preserve">2.5DC is the minimal-footprint fix: two full regions (each running Kafka brokers and a KRaft controller) plus one lightweight “0.5” region running only a single tiebreaker controller — no brokers, no partition data, minimal compute and storage footprint. Three physical locations, an odd total controller count, and no single location ever holding the deciding majority by itself.</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1800"/>
        <w:gridCol w:w="3600"/>
      </w:tblGrid>
      <w:tr>
        <w:trPr>
          <w:tblHeader/>
        </w:trPr>
        <w:tc>
          <w:tcPr>
            <w:tcW w:type="dxa" w:w="4600"/>
            <w:shd w:fill="1F3864" w:color="auto" w:val="clear"/>
          </w:tcPr>
          <w:p>
            <w:r>
              <w:rPr>
                <w:b/>
                <w:bCs/>
                <w:color w:val="FFFFFF"/>
              </w:rPr>
              <w:t xml:space="preserve">Scenario (3 controllers, one per region)</w:t>
            </w:r>
          </w:p>
        </w:tc>
        <w:tc>
          <w:tcPr>
            <w:tcW w:type="dxa" w:w="1800"/>
            <w:shd w:fill="1F3864" w:color="auto" w:val="clear"/>
          </w:tcPr>
          <w:p>
            <w:r>
              <w:rPr>
                <w:b/>
                <w:bCs/>
                <w:color w:val="FFFFFF"/>
              </w:rPr>
              <w:t xml:space="preserve">Region lost</w:t>
            </w:r>
          </w:p>
        </w:tc>
        <w:tc>
          <w:tcPr>
            <w:tcW w:type="dxa" w:w="3600"/>
            <w:shd w:fill="1F3864" w:color="auto" w:val="clear"/>
          </w:tcPr>
          <w:p>
            <w:r>
              <w:rPr>
                <w:b/>
                <w:bCs/>
                <w:color w:val="FFFFFF"/>
              </w:rPr>
              <w:t xml:space="preserve">Outcome</w:t>
            </w:r>
          </w:p>
        </w:tc>
      </w:tr>
      <w:tr>
        <w:tc>
          <w:tcPr>
            <w:tcW w:type="dxa" w:w="4600"/>
            <w:shd w:fill="FFFFFF" w:color="auto" w:val="clear"/>
          </w:tcPr>
          <w:p>
            <w:r>
              <w:rPr>
                <w:b w:val="false"/>
                <w:bCs w:val="false"/>
              </w:rPr>
              <w:t xml:space="preserve">Region A (holds 1 vote) fails</w:t>
            </w:r>
          </w:p>
        </w:tc>
        <w:tc>
          <w:tcPr>
            <w:tcW w:type="dxa" w:w="1800"/>
            <w:shd w:fill="FFFFFF" w:color="auto" w:val="clear"/>
          </w:tcPr>
          <w:p>
            <w:r>
              <w:rPr>
                <w:b w:val="false"/>
                <w:bCs w:val="false"/>
              </w:rPr>
              <w:t xml:space="preserve">Region A</w:t>
            </w:r>
          </w:p>
        </w:tc>
        <w:tc>
          <w:tcPr>
            <w:tcW w:type="dxa" w:w="3600"/>
            <w:shd w:fill="FFFFFF" w:color="auto" w:val="clear"/>
          </w:tcPr>
          <w:p>
            <w:r>
              <w:rPr>
                <w:b w:val="false"/>
                <w:bCs w:val="false"/>
              </w:rPr>
              <w:t xml:space="preserve">Regions B + 0.5DC still hold 2 of 3 — quorum intact, cluster operates normally</w:t>
            </w:r>
          </w:p>
        </w:tc>
      </w:tr>
      <w:tr>
        <w:tc>
          <w:tcPr>
            <w:tcW w:type="dxa" w:w="4600"/>
            <w:shd w:fill="DCE6F1" w:color="auto" w:val="clear"/>
          </w:tcPr>
          <w:p>
            <w:r>
              <w:rPr>
                <w:b w:val="false"/>
                <w:bCs w:val="false"/>
              </w:rPr>
              <w:t xml:space="preserve">Region B (holds 1 vote) fails</w:t>
            </w:r>
          </w:p>
        </w:tc>
        <w:tc>
          <w:tcPr>
            <w:tcW w:type="dxa" w:w="1800"/>
            <w:shd w:fill="DCE6F1" w:color="auto" w:val="clear"/>
          </w:tcPr>
          <w:p>
            <w:r>
              <w:rPr>
                <w:b w:val="false"/>
                <w:bCs w:val="false"/>
              </w:rPr>
              <w:t xml:space="preserve">Region B</w:t>
            </w:r>
          </w:p>
        </w:tc>
        <w:tc>
          <w:tcPr>
            <w:tcW w:type="dxa" w:w="3600"/>
            <w:shd w:fill="DCE6F1" w:color="auto" w:val="clear"/>
          </w:tcPr>
          <w:p>
            <w:r>
              <w:rPr>
                <w:b w:val="false"/>
                <w:bCs w:val="false"/>
              </w:rPr>
              <w:t xml:space="preserve">Regions A + 0.5DC still hold 2 of 3 — quorum intact</w:t>
            </w:r>
          </w:p>
        </w:tc>
      </w:tr>
      <w:tr>
        <w:tc>
          <w:tcPr>
            <w:tcW w:type="dxa" w:w="4600"/>
            <w:shd w:fill="FFFFFF" w:color="auto" w:val="clear"/>
          </w:tcPr>
          <w:p>
            <w:r>
              <w:rPr>
                <w:b w:val="false"/>
                <w:bCs w:val="false"/>
              </w:rPr>
              <w:t xml:space="preserve">0.5DC (holds 1 vote) fails</w:t>
            </w:r>
          </w:p>
        </w:tc>
        <w:tc>
          <w:tcPr>
            <w:tcW w:type="dxa" w:w="1800"/>
            <w:shd w:fill="FFFFFF" w:color="auto" w:val="clear"/>
          </w:tcPr>
          <w:p>
            <w:r>
              <w:rPr>
                <w:b w:val="false"/>
                <w:bCs w:val="false"/>
              </w:rPr>
              <w:t xml:space="preserve">0.5DC</w:t>
            </w:r>
          </w:p>
        </w:tc>
        <w:tc>
          <w:tcPr>
            <w:tcW w:type="dxa" w:w="3600"/>
            <w:shd w:fill="FFFFFF" w:color="auto" w:val="clear"/>
          </w:tcPr>
          <w:p>
            <w:r>
              <w:rPr>
                <w:b w:val="false"/>
                <w:bCs w:val="false"/>
              </w:rPr>
              <w:t xml:space="preserve">Regions A + B still hold 2 of 3 — quorum intact; reduced fault tolerance until 0.5DC restored</w:t>
            </w:r>
          </w:p>
        </w:tc>
      </w:tr>
    </w:tbl>
    <w:p>
      <w:pPr>
        <w:spacing w:after="160"/>
      </w:pPr>
      <w:r>
        <w:t xml:space="preserve"/>
      </w:r>
    </w:p>
    <w:p>
      <w:pPr>
        <w:spacing w:after="160"/>
      </w:pPr>
      <w:r>
        <w:t xml:space="preserve">No single region failure ever removes majority — this is the property a genuine two-region stretched cluster cannot offer, and the reason 2.5DC is the recommended minimum topology for this use case.</w:t>
      </w:r>
    </w:p>
    <w:p>
      <w:pPr>
        <w:pStyle w:val="Heading1"/>
        <w:spacing w:after="160" w:before="320"/>
      </w:pPr>
      <w:r>
        <w:t xml:space="preserve">4. Kafka and KRaft Concepts (Brief)</w:t>
      </w:r>
    </w:p>
    <w:p>
      <w:pPr>
        <w:spacing w:after="160"/>
      </w:pPr>
      <w:r>
        <w:t xml:space="preserve">A brief grounding for readers less familiar with Kafka's internals, sufficient to follow the rest of this document:</w:t>
      </w:r>
    </w:p>
    <w:p>
      <w:pPr>
        <w:pStyle w:val="ListParagraph"/>
        <w:numPr>
          <w:ilvl w:val="0"/>
          <w:numId w:val="2"/>
        </w:numPr>
        <w:spacing w:after="80"/>
      </w:pPr>
      <w:r>
        <w:t xml:space="preserve">Topic / Partition: a topic is a named, append-only stream split into partitions for parallelism; each partition is independently ordered.</w:t>
      </w:r>
    </w:p>
    <w:p>
      <w:pPr>
        <w:pStyle w:val="ListParagraph"/>
        <w:numPr>
          <w:ilvl w:val="0"/>
          <w:numId w:val="2"/>
        </w:numPr>
        <w:spacing w:after="80"/>
      </w:pPr>
      <w:r>
        <w:t xml:space="preserve">Replica / Leader / Follower: each partition has one or more physical copies (replicas) across brokers; exactly one replica is the leader (serves all reads/writes) at any time, the rest are followers replicating from it.</w:t>
      </w:r>
    </w:p>
    <w:p>
      <w:pPr>
        <w:pStyle w:val="ListParagraph"/>
        <w:numPr>
          <w:ilvl w:val="0"/>
          <w:numId w:val="2"/>
        </w:numPr>
        <w:spacing w:after="80"/>
      </w:pPr>
      <w:r>
        <w:t xml:space="preserve">Controller (KRaft): a small quorum of nodes, separate from brokers, that owns cluster metadata — topic/partition existence, leader elections, ISR membership — replicated via Raft consensus. Brokers hold data; controllers hold decisions.</w:t>
      </w:r>
    </w:p>
    <w:p>
      <w:pPr>
        <w:pStyle w:val="ListParagraph"/>
        <w:numPr>
          <w:ilvl w:val="0"/>
          <w:numId w:val="2"/>
        </w:numPr>
        <w:spacing w:after="80"/>
      </w:pPr>
      <w:r>
        <w:t xml:space="preserve">broker.rack: a per-broker configuration value used by the controller's replica-placement algorithm to spread a partition's replicas across distinct failure domains (in this design, one value per region).</w:t>
      </w:r>
    </w:p>
    <w:p>
      <w:pPr>
        <w:pStyle w:val="ListParagraph"/>
        <w:numPr>
          <w:ilvl w:val="0"/>
          <w:numId w:val="2"/>
        </w:numPr>
        <w:spacing w:after="80"/>
      </w:pPr>
      <w:r>
        <w:t xml:space="preserve">clusterID: a single identifier shared by every controller and broker that considers itself part of the same logical Kafka cluster — distinct from, and unrelated to, any Kubernetes-level cluster identity.</w:t>
      </w:r>
    </w:p>
    <w:p>
      <w:pPr>
        <w:pStyle w:val="Heading1"/>
        <w:spacing w:after="160" w:before="320"/>
      </w:pPr>
      <w:r>
        <w:t xml:space="preserve">5. Component Topology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4600"/>
        <w:gridCol w:w="2000"/>
      </w:tblGrid>
      <w:tr>
        <w:trPr>
          <w:tblHeader/>
        </w:trPr>
        <w:tc>
          <w:tcPr>
            <w:tcW w:type="dxa" w:w="1900"/>
            <w:shd w:fill="1F3864" w:color="auto" w:val="clear"/>
          </w:tcPr>
          <w:p>
            <w:r>
              <w:rPr>
                <w:b/>
                <w:bCs/>
                <w:color w:val="FFFFFF"/>
              </w:rPr>
              <w:t xml:space="preserve">Region</w:t>
            </w:r>
          </w:p>
        </w:tc>
        <w:tc>
          <w:tcPr>
            <w:tcW w:type="dxa" w:w="1500"/>
            <w:shd w:fill="1F3864" w:color="auto" w:val="clear"/>
          </w:tcPr>
          <w:p>
            <w:r>
              <w:rPr>
                <w:b/>
                <w:bCs/>
                <w:color w:val="FFFFFF"/>
              </w:rPr>
              <w:t xml:space="preserve">Role</w:t>
            </w:r>
          </w:p>
        </w:tc>
        <w:tc>
          <w:tcPr>
            <w:tcW w:type="dxa" w:w="4600"/>
            <w:shd w:fill="1F3864" w:color="auto" w:val="clear"/>
          </w:tcPr>
          <w:p>
            <w:r>
              <w:rPr>
                <w:b/>
                <w:bCs/>
                <w:color w:val="FFFFFF"/>
              </w:rPr>
              <w:t xml:space="preserve">Components deployed</w:t>
            </w:r>
          </w:p>
        </w:tc>
        <w:tc>
          <w:tcPr>
            <w:tcW w:type="dxa" w:w="2000"/>
            <w:shd w:fill="1F3864" w:color="auto" w:val="clear"/>
          </w:tcPr>
          <w:p>
            <w:r>
              <w:rPr>
                <w:b/>
                <w:bCs/>
                <w:color w:val="FFFFFF"/>
              </w:rPr>
              <w:t xml:space="preserve">Node/broker IDs (this build)</w:t>
            </w:r>
          </w:p>
        </w:tc>
      </w:tr>
      <w:tr>
        <w:tc>
          <w:tcPr>
            <w:tcW w:type="dxa" w:w="1900"/>
            <w:shd w:fill="FFFFFF" w:color="auto" w:val="clear"/>
          </w:tcPr>
          <w:p>
            <w:r>
              <w:rPr>
                <w:b w:val="false"/>
                <w:bCs w:val="false"/>
              </w:rPr>
              <w:t xml:space="preserve">region-a</w:t>
            </w:r>
          </w:p>
        </w:tc>
        <w:tc>
          <w:tcPr>
            <w:tcW w:type="dxa" w:w="1500"/>
            <w:shd w:fill="FFFFFF" w:color="auto" w:val="clear"/>
          </w:tcPr>
          <w:p>
            <w:r>
              <w:rPr>
                <w:b w:val="false"/>
                <w:bCs w:val="false"/>
              </w:rPr>
              <w:t xml:space="preserve">Full</w:t>
            </w:r>
          </w:p>
        </w:tc>
        <w:tc>
          <w:tcPr>
            <w:tcW w:type="dxa" w:w="4600"/>
            <w:shd w:fill="FFFFFF" w:color="auto" w:val="clear"/>
          </w:tcPr>
          <w:p>
            <w:r>
              <w:rPr>
                <w:b w:val="false"/>
                <w:bCs w:val="false"/>
              </w:rPr>
              <w:t xml:space="preserve">KRaftController + Kafka brokers + Schema Registry</w:t>
            </w:r>
          </w:p>
        </w:tc>
        <w:tc>
          <w:tcPr>
            <w:tcW w:type="dxa" w:w="2000"/>
            <w:shd w:fill="FFFFFF" w:color="auto" w:val="clear"/>
          </w:tcPr>
          <w:p>
            <w:r>
              <w:rPr>
                <w:b w:val="false"/>
                <w:bCs w:val="false"/>
              </w:rPr>
              <w:t xml:space="preserve">Controller: 100 · Brokers: 110, 111</w:t>
            </w:r>
          </w:p>
        </w:tc>
      </w:tr>
      <w:tr>
        <w:tc>
          <w:tcPr>
            <w:tcW w:type="dxa" w:w="1900"/>
            <w:shd w:fill="DCE6F1" w:color="auto" w:val="clear"/>
          </w:tcPr>
          <w:p>
            <w:r>
              <w:rPr>
                <w:b w:val="false"/>
                <w:bCs w:val="false"/>
              </w:rPr>
              <w:t xml:space="preserve">region-b</w:t>
            </w:r>
          </w:p>
        </w:tc>
        <w:tc>
          <w:tcPr>
            <w:tcW w:type="dxa" w:w="1500"/>
            <w:shd w:fill="DCE6F1" w:color="auto" w:val="clear"/>
          </w:tcPr>
          <w:p>
            <w:r>
              <w:rPr>
                <w:b w:val="false"/>
                <w:bCs w:val="false"/>
              </w:rPr>
              <w:t xml:space="preserve">Full</w:t>
            </w:r>
          </w:p>
        </w:tc>
        <w:tc>
          <w:tcPr>
            <w:tcW w:type="dxa" w:w="4600"/>
            <w:shd w:fill="DCE6F1" w:color="auto" w:val="clear"/>
          </w:tcPr>
          <w:p>
            <w:r>
              <w:rPr>
                <w:b w:val="false"/>
                <w:bCs w:val="false"/>
              </w:rPr>
              <w:t xml:space="preserve">KRaftController + Kafka brokers + Schema Registry</w:t>
            </w:r>
          </w:p>
        </w:tc>
        <w:tc>
          <w:tcPr>
            <w:tcW w:type="dxa" w:w="2000"/>
            <w:shd w:fill="DCE6F1" w:color="auto" w:val="clear"/>
          </w:tcPr>
          <w:p>
            <w:r>
              <w:rPr>
                <w:b w:val="false"/>
                <w:bCs w:val="false"/>
              </w:rPr>
              <w:t xml:space="preserve">Controller: 200 · Broker: 210</w:t>
            </w:r>
          </w:p>
        </w:tc>
      </w:tr>
      <w:tr>
        <w:tc>
          <w:tcPr>
            <w:tcW w:type="dxa" w:w="1900"/>
            <w:shd w:fill="FFFFFF" w:color="auto" w:val="clear"/>
          </w:tcPr>
          <w:p>
            <w:r>
              <w:rPr>
                <w:b w:val="false"/>
                <w:bCs w:val="false"/>
              </w:rPr>
              <w:t xml:space="preserve">region-05dc</w:t>
            </w:r>
          </w:p>
        </w:tc>
        <w:tc>
          <w:tcPr>
            <w:tcW w:type="dxa" w:w="1500"/>
            <w:shd w:fill="FFFFFF" w:color="auto" w:val="clear"/>
          </w:tcPr>
          <w:p>
            <w:r>
              <w:rPr>
                <w:b w:val="false"/>
                <w:bCs w:val="false"/>
              </w:rPr>
              <w:t xml:space="preserve">Witness (0.5DC)</w:t>
            </w:r>
          </w:p>
        </w:tc>
        <w:tc>
          <w:tcPr>
            <w:tcW w:type="dxa" w:w="4600"/>
            <w:shd w:fill="FFFFFF" w:color="auto" w:val="clear"/>
          </w:tcPr>
          <w:p>
            <w:r>
              <w:rPr>
                <w:b w:val="false"/>
                <w:bCs w:val="false"/>
              </w:rPr>
              <w:t xml:space="preserve">KRaftController only — no brokers, no Schema Registry, no partition data</w:t>
            </w:r>
          </w:p>
        </w:tc>
        <w:tc>
          <w:tcPr>
            <w:tcW w:type="dxa" w:w="2000"/>
            <w:shd w:fill="FFFFFF" w:color="auto" w:val="clear"/>
          </w:tcPr>
          <w:p>
            <w:r>
              <w:rPr>
                <w:b w:val="false"/>
                <w:bCs w:val="false"/>
              </w:rPr>
              <w:t xml:space="preserve">Controller: 300</w:t>
            </w:r>
          </w:p>
        </w:tc>
      </w:tr>
    </w:tbl>
    <w:p>
      <w:pPr>
        <w:spacing w:after="160"/>
      </w:pPr>
      <w:r>
        <w:t xml:space="preserve"/>
      </w:r>
    </w:p>
    <w:p>
      <w:pPr>
        <w:spacing w:after="160"/>
      </w:pPr>
      <w:r>
        <w:t xml:space="preserve">Controller and broker node IDs are deliberately spaced by region (100-series, 200-series, 300-series) to guarantee uniqueness across the entire stretched cluster, since each region's CFK operator otherwise numbers its own nodes independently starting from the same low values.</w:t>
      </w:r>
    </w:p>
    <w:p>
      <w:pPr>
        <w:pStyle w:val="Heading1"/>
        <w:spacing w:after="160" w:before="320"/>
      </w:pPr>
      <w:r>
        <w:t xml:space="preserve">6. OpenShift-Specific Considerations</w:t>
      </w:r>
    </w:p>
    <w:p>
      <w:pPr>
        <w:pStyle w:val="Heading2"/>
        <w:spacing w:after="120" w:before="240"/>
      </w:pPr>
      <w:r>
        <w:t xml:space="preserve">6.1 SecurityContextConstraints (SCC)</w:t>
      </w:r>
    </w:p>
    <w:p>
      <w:pPr>
        <w:spacing w:after="160"/>
      </w:pPr>
      <w:r>
        <w:t xml:space="preserve">CFK-managed pods run under UIDs that do not satisfy OpenShift's default restricted SCC. Two remediation paths were validated:</w:t>
      </w:r>
    </w:p>
    <w:p>
      <w:pPr>
        <w:pStyle w:val="ListParagraph"/>
        <w:numPr>
          <w:ilvl w:val="0"/>
          <w:numId w:val="2"/>
        </w:numPr>
        <w:spacing w:after="80"/>
      </w:pPr>
      <w:r>
        <w:t xml:space="preserve">Relax to the default restricted posture (podSecurity.enabled=false on the operator, empty podSecurityContext on each custom resource) — lower operational overhead, relies on OpenShift's arbitrary-UID convention.</w:t>
      </w:r>
    </w:p>
    <w:p>
      <w:pPr>
        <w:pStyle w:val="ListParagraph"/>
        <w:numPr>
          <w:ilvl w:val="0"/>
          <w:numId w:val="2"/>
        </w:numPr>
        <w:spacing w:after="80"/>
      </w:pPr>
      <w:r>
        <w:t xml:space="preserve">A custom SCC with an explicit UID/GID range, bound to the relevant service accounts — higher operational overhead, appropriate where a fixed, auditable UID range is a compliance requirement.</w:t>
      </w:r>
    </w:p>
    <w:p>
      <w:pPr>
        <w:spacing w:after="160"/>
      </w:pPr>
      <w:r>
        <w:t xml:space="preserve">A separate, cluster-wide pod-security admission policy (observed behavior consistent with a Kyverno-style “restricted pod security” baseline) was also encountered, requiring an explicit runAsNonRoot: true on the pod security context independent of the SCC layer above — this is a second, distinct gate that must be satisfied even after SCC access is granted.</w:t>
      </w:r>
    </w:p>
    <w:p>
      <w:pPr>
        <w:pStyle w:val="Heading2"/>
        <w:spacing w:after="120" w:before="240"/>
      </w:pPr>
      <w:r>
        <w:t xml:space="preserve">6.2 Storage</w:t>
      </w:r>
    </w:p>
    <w:p>
      <w:pPr>
        <w:spacing w:after="160"/>
      </w:pPr>
      <w:r>
        <w:t xml:space="preserve">The chart intentionally leaves storage class unset by default, deferring to the target cluster's default dynamic provisioner. Provisioning latency on some storage backends can present as a transient pod scheduling failure and should not be mistaken for misconfiguration without first confirming PVC binding status.</w:t>
      </w:r>
    </w:p>
    <w:p>
      <w:pPr>
        <w:pStyle w:val="Heading2"/>
        <w:spacing w:after="120" w:before="240"/>
      </w:pPr>
      <w:r>
        <w:t xml:space="preserve">6.3 Node Labeling and Rack Awareness</w:t>
      </w:r>
    </w:p>
    <w:p>
      <w:pPr>
        <w:spacing w:after="160"/>
      </w:pPr>
      <w:r>
        <w:t xml:space="preserve">Real fault-domain separation across regions depends on two independent mechanisms working together: a Kubernetes-level nodeSelector pinning each region's pods to nodes labeled topology.kubernetes.io/region=&lt;name&gt;, and a Kafka-level broker.rack configuration value (set automatically from the same region name) that drives the controller's replica-placement algorithm. Section 9.2 documents a CRD-compatibility finding that currently affects the nodeSelector half of this mechanism on the validated cluster.</w:t>
      </w:r>
    </w:p>
    <w:p>
      <w:pPr>
        <w:pStyle w:val="Heading1"/>
        <w:spacing w:after="160" w:before="320"/>
      </w:pPr>
      <w:r>
        <w:t xml:space="preserve">7. Helm Chart Design</w:t>
      </w:r>
    </w:p>
    <w:p>
      <w:pPr>
        <w:spacing w:after="160"/>
      </w:pPr>
      <w:r>
        <w:t xml:space="preserve">A single chart supports two deployment shapes via separate values files, avoiding template duplication: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4300"/>
        <w:gridCol w:w="2300"/>
      </w:tblGrid>
      <w:tr>
        <w:trPr>
          <w:tblHeader/>
        </w:trPr>
        <w:tc>
          <w:tcPr>
            <w:tcW w:type="dxa" w:w="3400"/>
            <w:shd w:fill="1F3864" w:color="auto" w:val="clear"/>
          </w:tcPr>
          <w:p>
            <w:r>
              <w:rPr>
                <w:b/>
                <w:bCs/>
                <w:color w:val="FFFFFF"/>
              </w:rPr>
              <w:t xml:space="preserve">Values file</w:t>
            </w:r>
          </w:p>
        </w:tc>
        <w:tc>
          <w:tcPr>
            <w:tcW w:type="dxa" w:w="4300"/>
            <w:shd w:fill="1F3864" w:color="auto" w:val="clear"/>
          </w:tcPr>
          <w:p>
            <w:r>
              <w:rPr>
                <w:b/>
                <w:bCs/>
                <w:color w:val="FFFFFF"/>
              </w:rPr>
              <w:t xml:space="preserve">Purpose</w:t>
            </w:r>
          </w:p>
        </w:tc>
        <w:tc>
          <w:tcPr>
            <w:tcW w:type="dxa" w:w="2300"/>
            <w:shd w:fill="1F3864" w:color="auto" w:val="clear"/>
          </w:tcPr>
          <w:p>
            <w:r>
              <w:rPr>
                <w:b/>
                <w:bCs/>
                <w:color w:val="FFFFFF"/>
              </w:rPr>
              <w:t xml:space="preserve">Kubernetes scope</w:t>
            </w:r>
          </w:p>
        </w:tc>
      </w:tr>
      <w:tr>
        <w:tc>
          <w:tcPr>
            <w:tcW w:type="dxa" w:w="3400"/>
            <w:shd w:fill="FFFFFF" w:color="auto" w:val="clear"/>
          </w:tcPr>
          <w:p>
            <w:r>
              <w:rPr>
                <w:b w:val="false"/>
                <w:bCs w:val="false"/>
              </w:rPr>
              <w:t xml:space="preserve">values-mock-region-a/b.yaml, values-mock-05dc.yaml</w:t>
            </w:r>
          </w:p>
        </w:tc>
        <w:tc>
          <w:tcPr>
            <w:tcW w:type="dxa" w:w="4300"/>
            <w:shd w:fill="FFFFFF" w:color="auto" w:val="clear"/>
          </w:tcPr>
          <w:p>
            <w:r>
              <w:rPr>
                <w:b w:val="false"/>
                <w:bCs w:val="false"/>
              </w:rPr>
              <w:t xml:space="preserve">Simulate the 3-region 2.5DC topology as 3 namespaces on 1 real cluster — the primary validation vehicle for this phase</w:t>
            </w:r>
          </w:p>
        </w:tc>
        <w:tc>
          <w:tcPr>
            <w:tcW w:type="dxa" w:w="2300"/>
            <w:shd w:fill="FFFFFF" w:color="auto" w:val="clear"/>
          </w:tcPr>
          <w:p>
            <w:r>
              <w:rPr>
                <w:b w:val="false"/>
                <w:bCs w:val="false"/>
              </w:rPr>
              <w:t xml:space="preserve">1 cluster, 3 namespaces</w:t>
            </w:r>
          </w:p>
        </w:tc>
      </w:tr>
      <w:tr>
        <w:tc>
          <w:tcPr>
            <w:tcW w:type="dxa" w:w="3400"/>
            <w:shd w:fill="DCE6F1" w:color="auto" w:val="clear"/>
          </w:tcPr>
          <w:p>
            <w:r>
              <w:rPr>
                <w:b w:val="false"/>
                <w:bCs w:val="false"/>
              </w:rPr>
              <w:t xml:space="preserve">values-region-a/b.yaml, values-05dc.yaml</w:t>
            </w:r>
          </w:p>
        </w:tc>
        <w:tc>
          <w:tcPr>
            <w:tcW w:type="dxa" w:w="4300"/>
            <w:shd w:fill="DCE6F1" w:color="auto" w:val="clear"/>
          </w:tcPr>
          <w:p>
            <w:r>
              <w:rPr>
                <w:b w:val="false"/>
                <w:bCs w:val="false"/>
              </w:rPr>
              <w:t xml:space="preserve">Genuine multi-cluster 2.5DC rollout</w:t>
            </w:r>
          </w:p>
        </w:tc>
        <w:tc>
          <w:tcPr>
            <w:tcW w:type="dxa" w:w="2300"/>
            <w:shd w:fill="DCE6F1" w:color="auto" w:val="clear"/>
          </w:tcPr>
          <w:p>
            <w:r>
              <w:rPr>
                <w:b w:val="false"/>
                <w:bCs w:val="false"/>
              </w:rPr>
              <w:t xml:space="preserve">3 clusters</w:t>
            </w:r>
          </w:p>
        </w:tc>
      </w:tr>
    </w:tbl>
    <w:p>
      <w:pPr>
        <w:spacing w:after="160"/>
      </w:pPr>
      <w:r>
        <w:t xml:space="preserve"/>
      </w:r>
    </w:p>
    <w:p>
      <w:pPr>
        <w:spacing w:after="160"/>
      </w:pPr>
      <w:r>
        <w:t xml:space="preserve">Key configurable parameters include: clusterID (shared across all regions), controllerIdOffset / brokerIdOffset (unique per region), staticQuorumVoters (the explicit controller voter list — see Section 9.1), tls.enabled and authorization.enabled (currently disabled pending the follow-up in Section 10), and schemaRegistry.enabled (auto-suppressed for witness-mode regions).</w:t>
      </w:r>
    </w:p>
    <w:p>
      <w:pPr>
        <w:spacing w:after="160"/>
      </w:pPr>
      <w:r>
        <w:t xml:space="preserve">Schema governance is implemented declaratively: schema definitions are stored as files within the chart, rendered into a ConfigMap plus a corresponding CFK Schema custom resource, which the CFK operator reconciles against a running Schema Registry instance via its REST API. This mirrors the same declarative operator pattern used throughout CFK for the Kafka and KRaftController resources themselves.</w:t>
      </w:r>
    </w:p>
    <w:p>
      <w:pPr>
        <w:pStyle w:val="Heading1"/>
        <w:spacing w:after="160" w:before="320"/>
      </w:pPr>
      <w:r>
        <w:t xml:space="preserve">8. Validation Strategy: Progressive De-Risking</w:t>
      </w:r>
    </w:p>
    <w:p>
      <w:pPr>
        <w:spacing w:after="160"/>
      </w:pPr>
      <w:r>
        <w:t xml:space="preserve">Rather than attempting the full multi-cluster topology directly, validation proceeded in two stages, each isolating a specific category of risk:</w:t>
      </w:r>
    </w:p>
    <w:p>
      <w:pPr>
        <w:pStyle w:val="ListParagraph"/>
        <w:numPr>
          <w:ilvl w:val="0"/>
          <w:numId w:val="2"/>
        </w:numPr>
        <w:spacing w:after="80"/>
      </w:pPr>
      <w:r>
        <w:t xml:space="preserve">Stage 1 — Namespace-simulated 3-region topology (one real cluster, three namespaces): validated cross-namespace quorum formation, rack-aware replica placement, and cross-namespace replication — everything except the genuine cross-cluster networking prerequisites, which a single cluster's flat networking cannot exercise.</w:t>
      </w:r>
    </w:p>
    <w:p>
      <w:pPr>
        <w:pStyle w:val="ListParagraph"/>
        <w:numPr>
          <w:ilvl w:val="0"/>
          <w:numId w:val="2"/>
        </w:numPr>
        <w:spacing w:after="80"/>
      </w:pPr>
      <w:r>
        <w:t xml:space="preserve">Stage 2 (pending) — Genuine three-cluster rollout: the remaining validation is specifically the cross-cluster networking prerequisites (non-overlapping pod CIDRs, cross-cluster DNS resolution) and re-validation of the quorum/TLS findings below against real inter-cluster links.</w:t>
      </w:r>
    </w:p>
    <w:p>
      <w:pPr>
        <w:spacing w:after="160"/>
      </w:pPr>
      <w:r>
        <w:t xml:space="preserve">This staged approach allowed a significant, non-obvious defect (Section 9.1) to be found and fixed cheaply, on infrastructure already available, rather than discovered for the first time during a genuine multi-cluster rollout.</w:t>
      </w:r>
    </w:p>
    <w:p>
      <w:pPr>
        <w:pStyle w:val="Heading2"/>
        <w:spacing w:after="120" w:before="240"/>
      </w:pPr>
      <w:r>
        <w:t xml:space="preserve">8.1 The definitive proof point: cross-region produce/consume</w:t>
      </w:r>
    </w:p>
    <w:p>
      <w:pPr>
        <w:spacing w:after="160"/>
      </w:pPr>
      <w:r>
        <w:t xml:space="preserve">The single most important validation step performed in Stage 1 was not a same-region produce/consume test — a broken, effectively single-region deployment could pass that just as easily. The test that actually validates the multi-region claim is: produce a record through region-a's broker, then consume that same record through region-b's broker and region-b's independently-running Schema Registry instance — one that never registered the schema itself.</w:t>
      </w:r>
    </w:p>
    <w:p>
      <w:pPr>
        <w:spacing w:after="160"/>
      </w:pPr>
      <w:r>
        <w:t xml:space="preserve">This single test exercises the full cross-region chain at once: physical replication of the record's bytes from region-a's broker to region-b's broker over the network; region-b's Schema Registry correctly resolving a schema ID it never registered, possible only because both Schema Registry instances share the same underlying compacted metadata topic on the same logical Kafka cluster; and the static quorum voter list (Section 9.1) genuinely functioning, since none of the above is possible if region-a and region-b were, in practice, two separate clusters that merely shared a label. This test was performed successfully and is the primary evidence supporting the “fully validated” claim in Section 1.</w:t>
      </w:r>
    </w:p>
    <w:p>
      <w:pPr>
        <w:pStyle w:val="Heading1"/>
        <w:spacing w:after="160" w:before="320"/>
      </w:pPr>
      <w:r>
        <w:t xml:space="preserve">9. Key Findings From Validation</w:t>
      </w:r>
    </w:p>
    <w:p>
      <w:pPr>
        <w:pStyle w:val="Heading2"/>
        <w:spacing w:after="120" w:before="240"/>
      </w:pPr>
      <w:r>
        <w:t xml:space="preserve">9.1 Cross-region KRaft quorum requires an explicit static voter list</w:t>
      </w:r>
    </w:p>
    <w:p>
      <w:pPr>
        <w:spacing w:after="160"/>
      </w:pPr>
      <w:r>
        <w:t xml:space="preserve">The initial design assumed that setting an identical clusterID on every region's KRaftController custom resource was sufficient to form one logical controller quorum spanning all regions. This was directly disproven using Kafka's own quorum-status tooling:</w:t>
      </w:r>
    </w:p>
    <w:p>
      <w:pPr>
        <w:spacing w:after="160"/>
      </w:pPr>
      <w:r>
        <w:rPr>
          <w:i/>
          <w:iCs/>
          <w:color w:val="595959"/>
        </w:rPr>
        <w:t xml:space="preserve">kafka-metadata-quorum --bootstrap-controller &lt;endpoint&gt; describe --status</w:t>
      </w:r>
    </w:p>
    <w:p>
      <w:pPr>
        <w:spacing w:after="160"/>
      </w:pPr>
      <w:r>
        <w:t xml:space="preserve">Prior to the fix, this command — run against region-a's controller — showed only region-a's own controller as a voter, with region-b's and the 0.5DC's controllers and brokers entirely absent from the quorum, not merely unpromoted. Three KRaftController resources sharing one clusterID string were, in practice, three fully isolated single-node quorums that happened to agree on a label; clusterID is an identity check performed once two controllers are already communicating, not a network discovery mechanism.</w:t>
      </w:r>
    </w:p>
    <w:p>
      <w:pPr>
        <w:spacing w:after="160"/>
      </w:pPr>
      <w:r>
        <w:t xml:space="preserve">Resolution: an explicit, identical static voter list — every controller across every region, by node ID and reachable endpoint — configured on every region's controller. Following the fix, describe --status correctly reports all three controllers as voters and all cluster brokers as observers of the single shared quorum, confirmed by successful replication-factor-3 topic creation and genuine cross-namespace replica placement.</w:t>
      </w:r>
    </w:p>
    <w:p>
      <w:pPr>
        <w:pStyle w:val="Heading2"/>
        <w:spacing w:after="120" w:before="240"/>
      </w:pPr>
      <w:r>
        <w:t xml:space="preserve">9.2 CRD schema version compatibility — silent field rejection</w:t>
      </w:r>
    </w:p>
    <w:p>
      <w:pPr>
        <w:spacing w:after="160"/>
      </w:pPr>
      <w:r>
        <w:t xml:space="preserve">Three separate Confluent for Kubernetes custom-resource fields, each corresponding to current upstream Confluent documentation, were silently rejected as unknown fields by the installed CRD version during this validation — without failing the Helm install and without any error beyond an easily-missed warning line:</w:t>
      </w:r>
    </w:p>
    <w:p>
      <w:pPr>
        <w:pStyle w:val="ListParagraph"/>
        <w:numPr>
          <w:ilvl w:val="0"/>
          <w:numId w:val="2"/>
        </w:numPr>
        <w:spacing w:after="80"/>
      </w:pPr>
      <w:r>
        <w:t xml:space="preserve">A structured controller-quorum-voters field (superseded, per Section 9.1, by an equivalent raw Kafka configuration property applied via the chart's configOverrides mechanism, which is not subject to the same CRD schema validation).</w:t>
      </w:r>
    </w:p>
    <w:p>
      <w:pPr>
        <w:pStyle w:val="ListParagraph"/>
        <w:numPr>
          <w:ilvl w:val="0"/>
          <w:numId w:val="2"/>
        </w:numPr>
        <w:spacing w:after="80"/>
      </w:pPr>
      <w:r>
        <w:t xml:space="preserve">A pod-level initContainers field intended to give Schema Registry a clean, log-friendly wait for Kafka's availability at startup — its absence is cosmetic (Schema Registry's ordinary crash-and-retry behavior still succeeds once Kafka is reachable) but confirms the underlying risk.</w:t>
      </w:r>
    </w:p>
    <w:p>
      <w:pPr>
        <w:pStyle w:val="ListParagraph"/>
        <w:numPr>
          <w:ilvl w:val="0"/>
          <w:numId w:val="2"/>
        </w:numPr>
        <w:spacing w:after="80"/>
      </w:pPr>
      <w:r>
        <w:t xml:space="preserve">A pod-level nodeSelector field — with direct operational significance, since it means node-label-based scheduling for region fault-isolation is not currently effective on this CRD version regardless of chart configuration, and should be re-verified before this is relied upon for genuine multi-cluster fault isolation.</w:t>
      </w:r>
    </w:p>
    <w:p>
      <w:pPr>
        <w:spacing w:after="160"/>
      </w:pPr>
      <w:r>
        <w:t xml:space="preserve">The operational implication is broader than these three fields: a structured custom-resource field that the installed CRD version does not recognize fails silently, not loudly. The install reports success, the pod runs, and the configured behavior simply never takes effect. The practical mitigation adopted going forward is to treat any “unknown field” warning in helm install/upgrade output as a release-blocking finding, and to prefer the raw configOverrides mechanism over newer structured fields where CFK/CRD version alignment with current documentation cannot be independently confirmed.</w:t>
      </w:r>
    </w:p>
    <w:p>
      <w:pPr>
        <w:pStyle w:val="Heading2"/>
        <w:spacing w:after="120" w:before="240"/>
      </w:pPr>
      <w:r>
        <w:t xml:space="preserve">9.3 TLS material portability across OpenSSL versions</w:t>
      </w:r>
    </w:p>
    <w:p>
      <w:pPr>
        <w:spacing w:after="160"/>
      </w:pPr>
      <w:r>
        <w:t xml:space="preserve">An early implementation generated JKS/PKCS12 keystores using OpenSSL directly (to avoid a Java Runtime dependency for keytool). OpenSSL 3.x's default PKCS12 encryption cipher is frequently unreadable by Java's built-in keystore provider, which fails silently at the file level and surfaces only later, at Kafka broker startup, as an SSL configuration exception. The chart's TLS generation scripts were revised to use CFK's alternative PEM-based secret format (plain certificate/key files) instead of JKS/PKCS12, removing the cross-toolchain compatibility risk entirely rather than tuning cipher-compatibility flags.</w:t>
      </w:r>
    </w:p>
    <w:p>
      <w:pPr>
        <w:pStyle w:val="Heading2"/>
        <w:spacing w:after="120" w:before="240"/>
      </w:pPr>
      <w:r>
        <w:t xml:space="preserve">9.4 Additional operational observations</w:t>
      </w:r>
    </w:p>
    <w:p>
      <w:pPr>
        <w:pStyle w:val="ListParagraph"/>
        <w:numPr>
          <w:ilvl w:val="0"/>
          <w:numId w:val="2"/>
        </w:numPr>
        <w:spacing w:after="80"/>
      </w:pPr>
      <w:r>
        <w:t xml:space="preserve">Controller and broker node-ID ranges must never overlap, including within the same region — CFK enforces a minimum controller-ID offset specifically to keep these ranges separate.</w:t>
      </w:r>
    </w:p>
    <w:p>
      <w:pPr>
        <w:pStyle w:val="ListParagraph"/>
        <w:numPr>
          <w:ilvl w:val="0"/>
          <w:numId w:val="2"/>
        </w:numPr>
        <w:spacing w:after="80"/>
      </w:pPr>
      <w:r>
        <w:t xml:space="preserve">Quorum-topology changes (such as introducing a static voter list) are not safe to apply in place against a controller that has already bootstrapped its own committed metadata as a lone voter; the validated approach was a clean wipe and a fresh, simultaneous bootstrap of all regions with the static voter list already in place.</w:t>
      </w:r>
    </w:p>
    <w:p>
      <w:pPr>
        <w:pStyle w:val="ListParagraph"/>
        <w:numPr>
          <w:ilvl w:val="0"/>
          <w:numId w:val="2"/>
        </w:numPr>
        <w:spacing w:after="80"/>
      </w:pPr>
      <w:r>
        <w:t xml:space="preserve">A single boolean configuration flag driving two independent Kubernetes scheduling mechanisms (nodeSelector presence and pod anti-affinity strictness) can regress silently if only one of several template files is updated consistently — a general configuration-hygiene risk worth a periodic cross-file audit rather than a one-time fix.</w:t>
      </w:r>
    </w:p>
    <w:p>
      <w:pPr>
        <w:pStyle w:val="Heading1"/>
        <w:spacing w:after="160" w:before="320"/>
      </w:pPr>
      <w:r>
        <w:t xml:space="preserve">10. Outstanding Work and Recommendations</w:t>
      </w:r>
    </w:p>
    <w:p>
      <w:pPr>
        <w:pStyle w:val="ListParagraph"/>
        <w:numPr>
          <w:ilvl w:val="0"/>
          <w:numId w:val="2"/>
        </w:numPr>
        <w:spacing w:after="80"/>
      </w:pPr>
      <w:r>
        <w:t xml:space="preserve">Execute Stage 2: genuine three-cluster rollout, specifically validating the cross-cluster networking prerequisites (non-overlapping pod CIDRs, cross-cluster DNS resolution) that a single-cluster namespace simulation cannot exercise.</w:t>
      </w:r>
    </w:p>
    <w:p>
      <w:pPr>
        <w:pStyle w:val="ListParagraph"/>
        <w:numPr>
          <w:ilvl w:val="0"/>
          <w:numId w:val="2"/>
        </w:numPr>
        <w:spacing w:after="80"/>
      </w:pPr>
      <w:r>
        <w:t xml:space="preserve">Confirm the installed CFK operator and CRD version in the target production environment against current Confluent documentation before relying on any structured custom-resource field — given the findings in Section 9.2, this should be a standard pre-rollout check, not an assumption.</w:t>
      </w:r>
    </w:p>
    <w:p>
      <w:pPr>
        <w:pStyle w:val="ListParagraph"/>
        <w:numPr>
          <w:ilvl w:val="0"/>
          <w:numId w:val="2"/>
        </w:numPr>
        <w:spacing w:after="80"/>
      </w:pPr>
      <w:r>
        <w:t xml:space="preserve">Re-enable TLS and simple ACL authorization, currently parked to isolate the multi-region mechanics testing in this phase, using the PEM-based TLS approach validated in Section 9.3.</w:t>
      </w:r>
    </w:p>
    <w:p>
      <w:pPr>
        <w:pStyle w:val="ListParagraph"/>
        <w:numPr>
          <w:ilvl w:val="0"/>
          <w:numId w:val="2"/>
        </w:numPr>
        <w:spacing w:after="80"/>
      </w:pPr>
      <w:r>
        <w:t xml:space="preserve">Layer genuine client authentication (mutual TLS or SASL) before relying on ACL authorization for anything security-relevant — TLS alone, as currently configured, authenticates the server to the client but not the reverse, which limits what the authorization layer can meaningfully enforce.</w:t>
      </w:r>
    </w:p>
    <w:p>
      <w:pPr>
        <w:pStyle w:val="ListParagraph"/>
        <w:numPr>
          <w:ilvl w:val="0"/>
          <w:numId w:val="2"/>
        </w:numPr>
        <w:spacing w:after="80"/>
      </w:pPr>
      <w:r>
        <w:t xml:space="preserve">Re-verify node-label-based pod scheduling (Section 9.2) against the production CFK/CRD version before depending on it for genuine physical fault isolation across regions.</w:t>
      </w:r>
    </w:p>
    <w:p>
      <w:pPr>
        <w:pStyle w:val="ListParagraph"/>
        <w:numPr>
          <w:ilvl w:val="0"/>
          <w:numId w:val="2"/>
        </w:numPr>
        <w:spacing w:after="80"/>
      </w:pPr>
      <w:r>
        <w:t xml:space="preserve">Establish a disaster-recovery runbook for controller-quorum loss scenarios specific to the 2.5DC topology, aligned to Confluent's published multi-region disaster-recovery procedures.</w:t>
      </w:r>
    </w:p>
    <w:p>
      <w:pPr>
        <w:pStyle w:val="Heading1"/>
        <w:spacing w:after="160" w:before="320"/>
      </w:pPr>
      <w:r>
        <w:t xml:space="preserve">11.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Pr>
          <w:p>
            <w:r>
              <w:rPr>
                <w:b/>
                <w:bCs/>
                <w:color w:val="FFFFFF"/>
              </w:rPr>
              <w:t xml:space="preserve">Term</w:t>
            </w:r>
          </w:p>
        </w:tc>
        <w:tc>
          <w:tcPr>
            <w:tcW w:type="dxa" w:w="6800"/>
            <w:shd w:fill="1F3864" w:color="auto" w:val="clear"/>
          </w:tcPr>
          <w:p>
            <w:r>
              <w:rPr>
                <w:b/>
                <w:bCs/>
                <w:color w:val="FFFFFF"/>
              </w:rPr>
              <w:t xml:space="preserve">Definition</w:t>
            </w:r>
          </w:p>
        </w:tc>
      </w:tr>
      <w:tr>
        <w:tc>
          <w:tcPr>
            <w:tcW w:type="dxa" w:w="2200"/>
            <w:shd w:fill="FFFFFF" w:color="auto" w:val="clear"/>
          </w:tcPr>
          <w:p>
            <w:r>
              <w:rPr>
                <w:b w:val="false"/>
                <w:bCs w:val="false"/>
              </w:rPr>
              <w:t xml:space="preserve">2.5DC</w:t>
            </w:r>
          </w:p>
        </w:tc>
        <w:tc>
          <w:tcPr>
            <w:tcW w:type="dxa" w:w="6800"/>
            <w:shd w:fill="FFFFFF" w:color="auto" w:val="clear"/>
          </w:tcPr>
          <w:p>
            <w:r>
              <w:rPr>
                <w:b w:val="false"/>
                <w:bCs w:val="false"/>
              </w:rPr>
              <w:t xml:space="preserve">Two full data centers/regions plus one lightweight witness (“0.5”) region running only a quorum tiebreaker controller.</w:t>
            </w:r>
          </w:p>
        </w:tc>
      </w:tr>
      <w:tr>
        <w:tc>
          <w:tcPr>
            <w:tcW w:type="dxa" w:w="2200"/>
            <w:shd w:fill="DCE6F1" w:color="auto" w:val="clear"/>
          </w:tcPr>
          <w:p>
            <w:r>
              <w:rPr>
                <w:b w:val="false"/>
                <w:bCs w:val="false"/>
              </w:rPr>
              <w:t xml:space="preserve">KRaft</w:t>
            </w:r>
          </w:p>
        </w:tc>
        <w:tc>
          <w:tcPr>
            <w:tcW w:type="dxa" w:w="6800"/>
            <w:shd w:fill="DCE6F1" w:color="auto" w:val="clear"/>
          </w:tcPr>
          <w:p>
            <w:r>
              <w:rPr>
                <w:b w:val="false"/>
                <w:bCs w:val="false"/>
              </w:rPr>
              <w:t xml:space="preserve">Kafka's Raft-based consensus protocol for cluster metadata, replacing ZooKeeper.</w:t>
            </w:r>
          </w:p>
        </w:tc>
      </w:tr>
      <w:tr>
        <w:tc>
          <w:tcPr>
            <w:tcW w:type="dxa" w:w="2200"/>
            <w:shd w:fill="FFFFFF" w:color="auto" w:val="clear"/>
          </w:tcPr>
          <w:p>
            <w:r>
              <w:rPr>
                <w:b w:val="false"/>
                <w:bCs w:val="false"/>
              </w:rPr>
              <w:t xml:space="preserve">Quorum / Voter / Observer</w:t>
            </w:r>
          </w:p>
        </w:tc>
        <w:tc>
          <w:tcPr>
            <w:tcW w:type="dxa" w:w="6800"/>
            <w:shd w:fill="FFFFFF" w:color="auto" w:val="clear"/>
          </w:tcPr>
          <w:p>
            <w:r>
              <w:rPr>
                <w:b w:val="false"/>
                <w:bCs w:val="false"/>
              </w:rPr>
              <w:t xml:space="preserve">The set of controller nodes that vote on metadata changes (voters) versus non-voting members that replicate metadata without participating in elections (observers).</w:t>
            </w:r>
          </w:p>
        </w:tc>
      </w:tr>
      <w:tr>
        <w:tc>
          <w:tcPr>
            <w:tcW w:type="dxa" w:w="2200"/>
            <w:shd w:fill="DCE6F1" w:color="auto" w:val="clear"/>
          </w:tcPr>
          <w:p>
            <w:r>
              <w:rPr>
                <w:b w:val="false"/>
                <w:bCs w:val="false"/>
              </w:rPr>
              <w:t xml:space="preserve">clusterID</w:t>
            </w:r>
          </w:p>
        </w:tc>
        <w:tc>
          <w:tcPr>
            <w:tcW w:type="dxa" w:w="6800"/>
            <w:shd w:fill="DCE6F1" w:color="auto" w:val="clear"/>
          </w:tcPr>
          <w:p>
            <w:r>
              <w:rPr>
                <w:b w:val="false"/>
                <w:bCs w:val="false"/>
              </w:rPr>
              <w:t xml:space="preserve">A single identifier shared by every node considered part of one logical Kafka cluster; unrelated to Kubernetes cluster identity.</w:t>
            </w:r>
          </w:p>
        </w:tc>
      </w:tr>
      <w:tr>
        <w:tc>
          <w:tcPr>
            <w:tcW w:type="dxa" w:w="2200"/>
            <w:shd w:fill="FFFFFF" w:color="auto" w:val="clear"/>
          </w:tcPr>
          <w:p>
            <w:r>
              <w:rPr>
                <w:b w:val="false"/>
                <w:bCs w:val="false"/>
              </w:rPr>
              <w:t xml:space="preserve">broker.rack</w:t>
            </w:r>
          </w:p>
        </w:tc>
        <w:tc>
          <w:tcPr>
            <w:tcW w:type="dxa" w:w="6800"/>
            <w:shd w:fill="FFFFFF" w:color="auto" w:val="clear"/>
          </w:tcPr>
          <w:p>
            <w:r>
              <w:rPr>
                <w:b w:val="false"/>
                <w:bCs w:val="false"/>
              </w:rPr>
              <w:t xml:space="preserve">Per-broker configuration used by Kafka's replica-placement algorithm to spread replicas across failure domains.</w:t>
            </w:r>
          </w:p>
        </w:tc>
      </w:tr>
      <w:tr>
        <w:tc>
          <w:tcPr>
            <w:tcW w:type="dxa" w:w="2200"/>
            <w:shd w:fill="DCE6F1" w:color="auto" w:val="clear"/>
          </w:tcPr>
          <w:p>
            <w:r>
              <w:rPr>
                <w:b w:val="false"/>
                <w:bCs w:val="false"/>
              </w:rPr>
              <w:t xml:space="preserve">CFK</w:t>
            </w:r>
          </w:p>
        </w:tc>
        <w:tc>
          <w:tcPr>
            <w:tcW w:type="dxa" w:w="6800"/>
            <w:shd w:fill="DCE6F1" w:color="auto" w:val="clear"/>
          </w:tcPr>
          <w:p>
            <w:r>
              <w:rPr>
                <w:b w:val="false"/>
                <w:bCs w:val="false"/>
              </w:rPr>
              <w:t xml:space="preserve">Confluent for Kubernetes — the Kubernetes operator and custom-resource set used to deploy and manage Confluent Platform.</w:t>
            </w:r>
          </w:p>
        </w:tc>
      </w:tr>
      <w:tr>
        <w:tc>
          <w:tcPr>
            <w:tcW w:type="dxa" w:w="2200"/>
            <w:shd w:fill="FFFFFF" w:color="auto" w:val="clear"/>
          </w:tcPr>
          <w:p>
            <w:r>
              <w:rPr>
                <w:b w:val="false"/>
                <w:bCs w:val="false"/>
              </w:rPr>
              <w:t xml:space="preserve">SCC</w:t>
            </w:r>
          </w:p>
        </w:tc>
        <w:tc>
          <w:tcPr>
            <w:tcW w:type="dxa" w:w="6800"/>
            <w:shd w:fill="FFFFFF" w:color="auto" w:val="clear"/>
          </w:tcPr>
          <w:p>
            <w:r>
              <w:rPr>
                <w:b w:val="false"/>
                <w:bCs w:val="false"/>
              </w:rPr>
              <w:t xml:space="preserve">OpenShift SecurityContextConstraints — the admission-control mechanism governing pod security context privileges.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b/>
      <w:bCs/>
      <w:color w:val="1F3864"/>
      <w:sz w:val="32"/>
      <w:szCs w:val="32"/>
    </w:rPr>
  </w:style>
  <w:style w:type="paragraph" w:styleId="Heading2">
    <w:name w:val="Heading 2"/>
    <w:basedOn w:val="Normal"/>
    <w:next w:val="Normal"/>
    <w:qFormat/>
    <w:rPr>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2026-09-06T13:25:17.090Z</dcterms:created>
  <dcterms:modified xsi:type="dcterms:W3CDTF">2026-09-06T13:25:17.102Z</dcterms:modified>
</cp:coreProperties>
</file>

<file path=docProps/custom.xml><?xml version="1.0" encoding="utf-8"?>
<Properties xmlns="http://schemas.openxmlformats.org/officeDocument/2006/custom-properties" xmlns:vt="http://schemas.openxmlformats.org/officeDocument/2006/docPropsVTypes"/>
</file>