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Kafka 2.5DC Multi-Region Deployment on OpenShift</w:t>
      </w:r>
    </w:p>
    <w:p>
      <w:pPr>
        <w:spacing w:after="60"/>
      </w:pPr>
      <w:r>
        <w:rPr>
          <w:color w:val="595959"/>
          <w:sz w:val="26"/>
          <w:szCs w:val="26"/>
        </w:rPr>
        <w:t xml:space="preserve">Using Confluent for Kubernetes (CFK) — Architecture &amp; Validation Summary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Prepared for: OpenShift / Platform Engineering review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This document summarizes the design and progressive validation of a Helm chart that deploys Apache Kafka, via Confluent for Kubernetes (CFK), as one logical cluster stretched across a 2.5-datacenter (2.5DC) topology: two full regions running brokers and a controller each, plus one lightweight witness region running only a KRaft controller.</w:t>
      </w:r>
    </w:p>
    <w:p>
      <w:pPr>
        <w:spacing w:after="160"/>
      </w:pPr>
      <w:r>
        <w:t xml:space="preserve">Validation used a namespace-simulated three-region topology on one real OpenShift cluster before committing to genuine multi-cluster infrastructure. The most significant outcome: matching a shared clusterID across regions is necessary but not sufficient to form one controller quorum — a real gap, found and resolved during this phase (Section 8.1). A second finding — several CFK custom-resource fields are silently ignored rather than rejected on the installed CRD version — has direct implications for pre-production version checks (Section 8.2). As of this writing, the simulated topology is fully validated end to end: a genuine three-node quorum, RF=3 replication with real cross-namespace placement, and Avro produce/consume proven to replicate correctly across namespace boundaries.</w:t>
      </w:r>
    </w:p>
    <w:p>
      <w:pPr>
        <w:pStyle w:val="Heading1"/>
        <w:spacing w:after="160" w:before="320"/>
      </w:pPr>
      <w:r>
        <w:t xml:space="preserve">2. Objective and Scope</w:t>
      </w:r>
    </w:p>
    <w:p>
      <w:pPr>
        <w:spacing w:after="160"/>
      </w:pPr>
      <w:r>
        <w:t xml:space="preserve">Produce a reusable Helm chart deploying Kafka as one logical cluster in a 2.5DC shape, able to survive the loss of any single region without data loss or extended unavailability. This phase built the chart and validated the multi-region mechanics — quorum formation, rack-aware placement, cross-region replication, schema governance — using a namespace simulation of three regions on one cluster, deliberately deferring genuine cross-cluster networking (non-overlapping pod CIDRs, cross-cluster DNS) to a later phase so Kafka-level logic could be proven correct first, on infrastructure already available.</w:t>
      </w:r>
    </w:p>
    <w:p>
      <w:pPr>
        <w:pStyle w:val="Heading1"/>
        <w:spacing w:after="160" w:before="320"/>
      </w:pPr>
      <w:r>
        <w:t xml:space="preserve">3. Why 2.5DC</w:t>
      </w:r>
    </w:p>
    <w:p>
      <w:pPr>
        <w:spacing w:after="160"/>
      </w:pPr>
      <w:r>
        <w:t xml:space="preserve">KRaft controllers require a Raft majority vote before any metadata change commits. Two consequences: the controller count must be odd (an even split can deadlock with no majority in either half), and a cluster spanning exactly two physical locations can never be made safe — whichever site ends up holding the majority is a single point of failure for the whole control plane, regardless of which site that turns out to be.</w:t>
      </w:r>
    </w:p>
    <w:p>
      <w:pPr>
        <w:spacing w:after="160"/>
      </w:pPr>
      <w:r>
        <w:t xml:space="preserve">2.5DC is the minimal fix: two full regions plus one lightweight witness running only a tiebreaker controller. Three locations, an odd total, no site ever holding the deciding majority alone.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Region lost</w:t>
            </w:r>
          </w:p>
        </w:tc>
        <w:tc>
          <w:tcPr>
            <w:tcW w:type="dxa" w:w="70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Region A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B + 0.5DC hold 2 of 3 — quorum intact, normal operation</w:t>
            </w:r>
          </w:p>
        </w:tc>
      </w:tr>
      <w:tr>
        <w:tc>
          <w:tcPr>
            <w:tcW w:type="dxa" w:w="30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Region B</w:t>
            </w:r>
          </w:p>
        </w:tc>
        <w:tc>
          <w:tcPr>
            <w:tcW w:type="dxa" w:w="70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A + 0.5DC hold 2 of 3 — quorum intact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0.5DC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A + B hold 2 of 3 — quorum intact, reduced fault tolerance until restored</w:t>
            </w:r>
          </w:p>
        </w:tc>
      </w:tr>
    </w:tbl>
    <w:p>
      <w:pPr>
        <w:pStyle w:val="Heading1"/>
        <w:spacing w:after="160" w:before="320"/>
      </w:pPr>
      <w:r>
        <w:t xml:space="preserve">4. Concepts and Topology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Topic/Partition: a named, append-only stream split into independently-ordered partitions for parallelism.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Replica/Leader/Follower: each partition has physical copies across brokers; exactly one is leader (serves all reads/writes)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Controller (KRaft): a small quorum, separate from brokers, owning cluster metadata via Raft consensus. Brokers hold data; controllers hold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broker.rack / clusterID: broker.rack drives rack-aware replica placement (one value per region here); clusterID is the identifier shared by every node in one logical Kafka cluster, unrelated to any Kubernetes-level identity.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4700"/>
        <w:gridCol w:w="2100"/>
      </w:tblGrid>
      <w:tr>
        <w:trPr>
          <w:tblHeader/>
        </w:trPr>
        <w:tc>
          <w:tcPr>
            <w:tcW w:type="dxa" w:w="1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13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7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1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IDs (this build)</w:t>
            </w:r>
          </w:p>
        </w:tc>
      </w:tr>
      <w:tr>
        <w:tc>
          <w:tcPr>
            <w:tcW w:type="dxa" w:w="19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region-a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47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Controller + brokers + Schema Registry</w:t>
            </w:r>
          </w:p>
        </w:tc>
        <w:tc>
          <w:tcPr>
            <w:tcW w:type="dxa" w:w="21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Controller 100 · Brokers 110, 111</w:t>
            </w:r>
          </w:p>
        </w:tc>
      </w:tr>
      <w:tr>
        <w:tc>
          <w:tcPr>
            <w:tcW w:type="dxa" w:w="19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region-b</w:t>
            </w:r>
          </w:p>
        </w:tc>
        <w:tc>
          <w:tcPr>
            <w:tcW w:type="dxa" w:w="13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47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Controller + brokers + Schema Registry</w:t>
            </w:r>
          </w:p>
        </w:tc>
        <w:tc>
          <w:tcPr>
            <w:tcW w:type="dxa" w:w="21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Controller 200 · Broker 210</w:t>
            </w:r>
          </w:p>
        </w:tc>
      </w:tr>
      <w:tr>
        <w:tc>
          <w:tcPr>
            <w:tcW w:type="dxa" w:w="19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region-05dc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Witness</w:t>
            </w:r>
          </w:p>
        </w:tc>
        <w:tc>
          <w:tcPr>
            <w:tcW w:type="dxa" w:w="47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Controller only — no brokers, no data</w:t>
            </w:r>
          </w:p>
        </w:tc>
        <w:tc>
          <w:tcPr>
            <w:tcW w:type="dxa" w:w="21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Controller 300</w:t>
            </w:r>
          </w:p>
        </w:tc>
      </w:tr>
    </w:tbl>
    <w:p>
      <w:pPr>
        <w:spacing w:after="160"/>
      </w:pPr>
      <w:r>
        <w:t xml:space="preserve">Controller and broker IDs are spaced by region (100/200/300-series) since each region's CFK operator otherwise numbers nodes independently starting from the same low values, risking collisions across the shared cluster.</w:t>
      </w:r>
    </w:p>
    <w:p>
      <w:pPr>
        <w:pStyle w:val="Heading1"/>
        <w:spacing w:after="160" w:before="320"/>
      </w:pPr>
      <w:r>
        <w:t xml:space="preserve">5. OpenShift-Specific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SecurityContextConstraints: CFK pods' UIDs don't satisfy the default restricted SCC. Two validated paths — relax to OpenShift's arbitrary-UID convention (lower overhead), or a custom SCC with a fixed UID/GID range (appropriate for compliance requirements). A separate cluster-wide pod-security admission policy was also encountered, requiring an explicit runAsNonRoot independent of the SCC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Storage: left unset by default to use the cluster's dynamic provisioner; provisioning latency can present as a transient scheduling failure and shouldn't be mistaken for misconfiguration.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labeling: real fault-domain separation needs both a nodeSelector (Kubernetes-level, pinning pods to labeled nodes) and broker.rack (Kafka-level, driving placement) together. Section 8.2 documents a CRD-compatibility finding currently affecting the nodeSelector half on the validated cluster.</w:t>
      </w:r>
    </w:p>
    <w:p>
      <w:pPr>
        <w:pStyle w:val="Heading1"/>
        <w:spacing w:after="160" w:before="320"/>
      </w:pPr>
      <w:r>
        <w:t xml:space="preserve">6. Helm Chart Design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00"/>
        <w:gridCol w:w="2300"/>
      </w:tblGrid>
      <w:tr>
        <w:trPr>
          <w:tblHeader/>
        </w:trPr>
        <w:tc>
          <w:tcPr>
            <w:tcW w:type="dxa" w:w="34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Values files</w:t>
            </w:r>
          </w:p>
        </w:tc>
        <w:tc>
          <w:tcPr>
            <w:tcW w:type="dxa" w:w="43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34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values-mock-region-a/b, values-mock-05dc</w:t>
            </w:r>
          </w:p>
        </w:tc>
        <w:tc>
          <w:tcPr>
            <w:tcW w:type="dxa" w:w="43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Simulate the 3-region topology as 3 namespaces on 1 cluster — the primary validation vehicle this phase</w:t>
            </w:r>
          </w:p>
        </w:tc>
        <w:tc>
          <w:tcPr>
            <w:tcW w:type="dxa" w:w="23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1 cluster, 3 ns</w:t>
            </w:r>
          </w:p>
        </w:tc>
      </w:tr>
      <w:tr>
        <w:tc>
          <w:tcPr>
            <w:tcW w:type="dxa" w:w="34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values-region-a/b, values-05dc</w:t>
            </w:r>
          </w:p>
        </w:tc>
        <w:tc>
          <w:tcPr>
            <w:tcW w:type="dxa" w:w="43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Genuine multi-cluster rollout</w:t>
            </w:r>
          </w:p>
        </w:tc>
        <w:tc>
          <w:tcPr>
            <w:tcW w:type="dxa" w:w="23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3 clusters</w:t>
            </w:r>
          </w:p>
        </w:tc>
      </w:tr>
    </w:tbl>
    <w:p>
      <w:pPr>
        <w:spacing w:after="160"/>
      </w:pPr>
      <w:r>
        <w:t xml:space="preserve">Key parameters: clusterID (shared), controllerIdOffset/brokerIdOffset (unique per region), staticQuorumVoters (Section 8.1), tls.enabled/authorization.enabled (currently parked, Section 9). Schema governance is declarative: definitions ship as files, rendered into a ConfigMap plus a CFK Schema resource, reconciled by the operator against Schema Registry's REST API — the same operator pattern used for Kafka and KRaftController themselves.</w:t>
      </w:r>
    </w:p>
    <w:p>
      <w:pPr>
        <w:pStyle w:val="Heading1"/>
        <w:spacing w:after="160" w:before="320"/>
      </w:pPr>
      <w:r>
        <w:t xml:space="preserve">7. Validation Strategy</w:t>
      </w:r>
    </w:p>
    <w:p>
      <w:pPr>
        <w:spacing w:after="160"/>
      </w:pPr>
      <w:r>
        <w:t xml:space="preserve">Two stages: (1) namespace-simulated 3-region topology on one cluster, validating quorum formation, rack-aware placement, and cross-namespace replication; (2, pending) genuine three-cluster rollout, validating the cross-cluster networking prerequisites a single cluster's flat networking cannot exercise. This let a significant defect (8.1) be found and fixed cheaply, on infrastructure already available.</w:t>
      </w:r>
    </w:p>
    <w:p>
      <w:pPr>
        <w:pStyle w:val="Heading2"/>
        <w:spacing w:after="120" w:before="240"/>
      </w:pPr>
      <w:r>
        <w:t xml:space="preserve">7.1 The definitive proof point</w:t>
      </w:r>
    </w:p>
    <w:p>
      <w:pPr>
        <w:spacing w:after="160"/>
      </w:pPr>
      <w:r>
        <w:t xml:space="preserve">The most important validation step was not same-region produce/consume — a broken, effectively single-region deployment could pass that. What actually validates the claim: produce through region-a's broker, consume through region-b's broker and its independent Schema Registry, which never registered the schema itself. This one test proves physical cross-region replication, a schema successfully resolved from the shared metadata topic without local registration, and the static quorum voter list genuinely functioning — and was performed successfully.</w:t>
      </w:r>
    </w:p>
    <w:p>
      <w:pPr>
        <w:pStyle w:val="Heading1"/>
        <w:spacing w:after="160" w:before="320"/>
      </w:pPr>
      <w:r>
        <w:t xml:space="preserve">8. Key Findings</w:t>
      </w:r>
    </w:p>
    <w:p>
      <w:pPr>
        <w:pStyle w:val="Heading2"/>
        <w:spacing w:after="120" w:before="240"/>
      </w:pPr>
      <w:r>
        <w:t xml:space="preserve">8.1 Cross-region KRaft quorum needs an explicit static voter list</w:t>
      </w:r>
    </w:p>
    <w:p>
      <w:pPr>
        <w:spacing w:after="160"/>
      </w:pPr>
      <w:r>
        <w:t xml:space="preserve">Identical clusterID values were assumed sufficient to form one quorum. Disproven via kafka-metadata-quorum describe --status: region-a's controller showed only itself as a voter, with region-b and the 0.5DC entirely absent — not merely unpromoted. clusterID is an identity check performed once controllers already communicate, not a discovery mechanism. Resolution: an explicit, identical static voter list (every controller, every region, by node ID and endpoint) on every controller. Confirmed working: all three report as voters, all brokers as observers of one shared quorum, with successful RF=3 topic creation and real cross-namespace placement.</w:t>
      </w:r>
    </w:p>
    <w:p>
      <w:pPr>
        <w:pStyle w:val="Heading2"/>
        <w:spacing w:after="120" w:before="240"/>
      </w:pPr>
      <w:r>
        <w:t xml:space="preserve">8.2 CRD schema version compatibility — silent field rejection</w:t>
      </w:r>
    </w:p>
    <w:p>
      <w:pPr>
        <w:spacing w:after="160"/>
      </w:pPr>
      <w:r>
        <w:t xml:space="preserve">Three CFK custom-resource fields, each matching current upstream documentation, were silently rejected as unknown fields by the installed CRD version — no failed install, just an easily-missed warning: a structured quorum-voters field (superseded by a raw configOverrides property, not subject to the same validation), a Schema Registry startup-ordering initContainer (cosmetic), and pod-level nodeSelector (operationally significant — node-label scheduling doesn't currently work regardless of chart config). Mitigation: treat any “unknown field” warning as release-blocking, and prefer configOverrides over newer structured fields where CRD alignment can't be confirmed.</w:t>
      </w:r>
    </w:p>
    <w:p>
      <w:pPr>
        <w:pStyle w:val="Heading2"/>
        <w:spacing w:after="120" w:before="240"/>
      </w:pPr>
      <w:r>
        <w:t xml:space="preserve">8.3 TLS material portability</w:t>
      </w:r>
    </w:p>
    <w:p>
      <w:pPr>
        <w:spacing w:after="160"/>
      </w:pPr>
      <w:r>
        <w:t xml:space="preserve">OpenSSL-generated JKS/PKCS12 keystores (to avoid a Java Runtime dependency) failed silently under Java's keystore provider due to OpenSSL 3.x's default cipher, surfacing only later as a Kafka SSL startup exception. Resolved by switching to CFK's PEM-based secret format, removing the cross-toolchain risk entirely.</w:t>
      </w:r>
    </w:p>
    <w:p>
      <w:pPr>
        <w:pStyle w:val="Heading2"/>
        <w:spacing w:after="120" w:before="240"/>
      </w:pPr>
      <w:r>
        <w:t xml:space="preserve">8.4 Schema Registry: one per region is a deliberate tradeoff, not a hard requirement</w:t>
      </w:r>
    </w:p>
    <w:p>
      <w:pPr>
        <w:spacing w:after="160"/>
      </w:pPr>
      <w:r>
        <w:t xml:space="preserve">Schema Registry holds no state of its own — it is a stateless REST facade over the same shared, compacted _schemas topic on the underlying Kafka cluster. This was proven directly: region-b's instance correctly resolved a schema it never registered itself. A single Schema Registry instance could technically serve every region. Per-region deployment is still the recommended default for two reasons: latency (every cross-region schema lookup pays the inter-region network cost, at least until client-side caching warms up) and availability (a single shared instance becomes a dependency for schema resolution across every region, even if Kafka itself remains healthy via the remaining quorum).</w:t>
      </w:r>
    </w:p>
    <w:p>
      <w:pPr>
        <w:pStyle w:val="Heading2"/>
        <w:spacing w:after="120" w:before="240"/>
      </w:pPr>
      <w:r>
        <w:t xml:space="preserve">8.5 Producers are leader-bound; only consumers can be kept region-local</w:t>
      </w:r>
    </w:p>
    <w:p>
      <w:pPr>
        <w:spacing w:after="160"/>
      </w:pPr>
      <w:r>
        <w:t xml:space="preserve">Producers cannot be guaranteed region-local traffic: a producer must write to whichever broker currently leads the target partition, and leadership rotates across all brokers regardless of region to balance load — there is no local-follower-relay mechanism. Consumers are different: followers hold valid, readable data, and Kafka's rack-aware fetching (replica.selector.class=RackAwareReplicaSelector on the broker, client.rack set on the consumer) lets a region-a consumer read from a local replica instead of always crossing to the leader. This is a preference, not a guarantee — it falls back to the leader when no local replica exists — and requires the consuming application to set client.rack itself; nothing server-side can force this on an unconfigured client.</w:t>
      </w:r>
    </w:p>
    <w:p>
      <w:pPr>
        <w:pStyle w:val="Heading1"/>
        <w:spacing w:after="160" w:before="320"/>
      </w:pPr>
      <w:r>
        <w:t xml:space="preserve">9. Outstanding Work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the genuine three-cluster rollout, specifically validating cross-cluster networking prerequisites a namespace simulation cannot exercise.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CFK operator/CRD version against current documentation before relying on any structured custom-resource field, and re-verify node-label scheduling (8.2) on the production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Re-enable TLS and ACL authorization (currently parked), using the PEM-based approach validated in 8.3; layer mutual TLS or SASL before relying on ACLs for anything security-relevant, since TLS alone authenticates the server, not the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per-region Schema Registry placement deliberately using the latency/availability tradeoff in 8.4, rather than defaulting to “one everywhere” without consideration.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client.rack on consuming applications where cross-region read traffic is a cost concern (8.5); establish a disaster-recovery runbook for controller-quorum loss scenarios specific to this topology.</w:t>
      </w:r>
    </w:p>
    <w:p>
      <w:pPr>
        <w:pStyle w:val="Heading1"/>
        <w:spacing w:after="160" w:before="320"/>
      </w:pPr>
      <w:r>
        <w:t xml:space="preserve">10.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2.5DC</w:t>
            </w:r>
          </w:p>
        </w:tc>
        <w:tc>
          <w:tcPr>
            <w:tcW w:type="dxa" w:w="66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Two full regions plus one lightweight witness (“0.5”) region running only a quorum tiebreaker controller.</w:t>
            </w:r>
          </w:p>
        </w:tc>
      </w:tr>
      <w:tr>
        <w:tc>
          <w:tcPr>
            <w:tcW w:type="dxa" w:w="24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KRaft</w:t>
            </w:r>
          </w:p>
        </w:tc>
        <w:tc>
          <w:tcPr>
            <w:tcW w:type="dxa" w:w="66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Kafka's Raft-based consensus protocol for cluster metadata, replacing ZooKeeper.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Quorum / Voter / Observer</w:t>
            </w:r>
          </w:p>
        </w:tc>
        <w:tc>
          <w:tcPr>
            <w:tcW w:type="dxa" w:w="66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Controller nodes that vote on metadata (voters) versus non-voting members that replicate without voting (observers).</w:t>
            </w:r>
          </w:p>
        </w:tc>
      </w:tr>
      <w:tr>
        <w:tc>
          <w:tcPr>
            <w:tcW w:type="dxa" w:w="24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clusterID</w:t>
            </w:r>
          </w:p>
        </w:tc>
        <w:tc>
          <w:tcPr>
            <w:tcW w:type="dxa" w:w="66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Identifier shared by every node in one logical Kafka cluster; unrelated to Kubernetes cluster identity.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broker.rack / client.rack</w:t>
            </w:r>
          </w:p>
        </w:tc>
        <w:tc>
          <w:tcPr>
            <w:tcW w:type="dxa" w:w="66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Broker-side value driving replica placement across failure domains; consumer-side value enabling local-replica fetching when it matches.</w:t>
            </w:r>
          </w:p>
        </w:tc>
      </w:tr>
      <w:tr>
        <w:tc>
          <w:tcPr>
            <w:tcW w:type="dxa" w:w="24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CFK</w:t>
            </w:r>
          </w:p>
        </w:tc>
        <w:tc>
          <w:tcPr>
            <w:tcW w:type="dxa" w:w="6600"/>
            <w:shd w:fill="DCE6F1" w:color="auto" w:val="clear"/>
          </w:tcPr>
          <w:p>
            <w:r>
              <w:rPr>
                <w:b w:val="false"/>
                <w:bCs w:val="false"/>
              </w:rPr>
              <w:t xml:space="preserve">Confluent for Kubernetes — the operator and custom-resource set used to deploy Confluent Platform.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SCC</w:t>
            </w:r>
          </w:p>
        </w:tc>
        <w:tc>
          <w:tcPr>
            <w:tcW w:type="dxa" w:w="66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OpenShift SecurityContextConstraints — admission control governing pod security-context privileges.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2026-09-06T16:18:27.953Z</dcterms:created>
  <dcterms:modified xsi:type="dcterms:W3CDTF">2026-09-06T16:18:27.966Z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