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1F3A68"/>
          <w:sz w:val="56"/>
          <w:szCs w:val="56"/>
        </w:rPr>
        <w:t xml:space="preserve">KEYSTONE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Workforce Resilience for Engineering Leaders</w:t>
      </w:r>
    </w:p>
    <w:p>
      <w:pPr>
        <w:pBdr>
          <w:top w:val="single" w:color="B85C00" w:sz="8" w:space="2"/>
          <w:bottom w:val="single" w:color="B85C00" w:sz="8" w:space="2"/>
        </w:pBdr>
        <w:spacing w:after="100" w:before="0"/>
      </w:pPr>
      <w:r>
        <w:rPr>
          <w:rFonts w:ascii="Arial" w:cs="Arial" w:eastAsia="Arial" w:hAnsi="Arial"/>
          <w:i/>
          <w:iCs/>
          <w:color w:val="222222"/>
          <w:sz w:val="18"/>
          <w:szCs w:val="18"/>
        </w:rPr>
        <w:t xml:space="preserve">   Engineering leadership runs on gut feeling. We replace it with evidence.   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68"/>
          <w:sz w:val="18"/>
          <w:szCs w:val="18"/>
        </w:rPr>
        <w:t xml:space="preserve">Problem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VPEs and Engineering Managers run their teams on gut feeling. They don't systematically know who knows what, where their team is fragile, or what breaks if a key person leaves. The cost of getting people-decisions wrong — quiet rehiring after layoffs, roadmap disasters when key engineers leave — is enormous. The data already exists in Git, Jira, and Slack. It just isn't classified, structured, or made decision-grade.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A68"/>
          <w:sz w:val="18"/>
          <w:szCs w:val="18"/>
        </w:rPr>
        <w:t xml:space="preserve">Solution — Three-Tier Architecture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000"/>
        <w:gridCol w:w="1612"/>
      </w:tblGrid>
      <w:tr>
        <w:trPr>
          <w:tblHeader/>
        </w:trP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Tier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Delivers</w:t>
            </w:r>
          </w:p>
        </w:tc>
        <w:tc>
          <w:tcPr>
            <w:tcW w:type="dxa" w:w="1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Map — Knowledge &amp; Coverage</w:t>
            </w:r>
          </w:p>
        </w:tc>
        <w:tc>
          <w:tcPr>
            <w:tcW w:type="dxa" w:w="5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Topic / skill / ownership map across the team</w:t>
            </w:r>
          </w:p>
        </w:tc>
        <w:tc>
          <w:tcPr>
            <w:tcW w:type="dxa" w:w="1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Yes (full)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Pulse — Activity &amp; Engagement</w:t>
            </w:r>
          </w:p>
        </w:tc>
        <w:tc>
          <w:tcPr>
            <w:tcW w:type="dxa" w:w="5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Activity intensity, output, engagement signals</w:t>
            </w:r>
          </w:p>
        </w:tc>
        <w:tc>
          <w:tcPr>
            <w:tcW w:type="dxa" w:w="1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Decide — Resilience Scoring</w:t>
            </w:r>
          </w:p>
        </w:tc>
        <w:tc>
          <w:tcPr>
            <w:tcW w:type="dxa" w:w="5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Reorg Discovery → Full RRC (post-validation)</w:t>
            </w:r>
          </w:p>
        </w:tc>
        <w:tc>
          <w:tcPr>
            <w:tcW w:type="dxa" w:w="1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Phase 2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A68"/>
          <w:sz w:val="18"/>
          <w:szCs w:val="18"/>
        </w:rPr>
        <w:t xml:space="preserve">Wedge &amp; Defensible Moats</w:t>
      </w:r>
    </w:p>
    <w:p>
      <w:pPr>
        <w:spacing w:after="20" w:before="20"/>
        <w:ind w:left="200" w:hanging="160"/>
      </w:pPr>
      <w:r>
        <w:rPr>
          <w:rFonts w:ascii="Arial" w:cs="Arial" w:eastAsia="Arial" w:hAnsi="Arial"/>
          <w:b/>
          <w:bCs/>
          <w:color w:val="B85C00"/>
          <w:sz w:val="16"/>
          <w:szCs w:val="16"/>
        </w:rPr>
        <w:t xml:space="preserve">▸ </w:t>
      </w:r>
      <w:r>
        <w:rPr>
          <w:rFonts w:ascii="Arial" w:cs="Arial" w:eastAsia="Arial" w:hAnsi="Arial"/>
          <w:sz w:val="16"/>
          <w:szCs w:val="16"/>
        </w:rPr>
        <w:t xml:space="preserve">Primary wedge — Bus-Factor-Audit demo: "Here are your 12 SPOFs. 4 of them you didn't know about." Demoable in 60 seconds on customer data.</w:t>
      </w:r>
    </w:p>
    <w:p>
      <w:pPr>
        <w:spacing w:after="20" w:before="20"/>
        <w:ind w:left="200" w:hanging="160"/>
      </w:pPr>
      <w:r>
        <w:rPr>
          <w:rFonts w:ascii="Arial" w:cs="Arial" w:eastAsia="Arial" w:hAnsi="Arial"/>
          <w:b/>
          <w:bCs/>
          <w:color w:val="B85C00"/>
          <w:sz w:val="16"/>
          <w:szCs w:val="16"/>
        </w:rPr>
        <w:t xml:space="preserve">▸ </w:t>
      </w:r>
      <w:r>
        <w:rPr>
          <w:rFonts w:ascii="Arial" w:cs="Arial" w:eastAsia="Arial" w:hAnsi="Arial"/>
          <w:sz w:val="16"/>
          <w:szCs w:val="16"/>
        </w:rPr>
        <w:t xml:space="preserve">Resilience-Linse — brand differentiation against productivity-focused incumbents (Jellyfish, Swarmia, LinearB).</w:t>
      </w:r>
    </w:p>
    <w:p>
      <w:pPr>
        <w:spacing w:after="20" w:before="20"/>
        <w:ind w:left="200" w:hanging="160"/>
      </w:pPr>
      <w:r>
        <w:rPr>
          <w:rFonts w:ascii="Arial" w:cs="Arial" w:eastAsia="Arial" w:hAnsi="Arial"/>
          <w:b/>
          <w:bCs/>
          <w:color w:val="B85C00"/>
          <w:sz w:val="16"/>
          <w:szCs w:val="16"/>
        </w:rPr>
        <w:t xml:space="preserve">▸ </w:t>
      </w:r>
      <w:r>
        <w:rPr>
          <w:rFonts w:ascii="Arial" w:cs="Arial" w:eastAsia="Arial" w:hAnsi="Arial"/>
          <w:sz w:val="16"/>
          <w:szCs w:val="16"/>
        </w:rPr>
        <w:t xml:space="preserve">Customer-Taxonomy + HIL Data Flywheel — accuracy compounds from 60% → 92%+ over 18-month customer lifetime; switching cost grows over time.</w:t>
      </w:r>
    </w:p>
    <w:p>
      <w:pPr>
        <w:spacing w:after="20" w:before="20"/>
        <w:ind w:left="200" w:hanging="160"/>
      </w:pPr>
      <w:r>
        <w:rPr>
          <w:rFonts w:ascii="Arial" w:cs="Arial" w:eastAsia="Arial" w:hAnsi="Arial"/>
          <w:b/>
          <w:bCs/>
          <w:color w:val="B85C00"/>
          <w:sz w:val="16"/>
          <w:szCs w:val="16"/>
        </w:rPr>
        <w:t xml:space="preserve">▸ </w:t>
      </w:r>
      <w:r>
        <w:rPr>
          <w:rFonts w:ascii="Arial" w:cs="Arial" w:eastAsia="Arial" w:hAnsi="Arial"/>
          <w:sz w:val="16"/>
          <w:szCs w:val="16"/>
        </w:rPr>
        <w:t xml:space="preserve">Compliance — table-stakes-bundled + procurement-speed accelerator (Trust Bundle: pre-filled VSQ, DPIA, third-party auditor letter).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A68"/>
          <w:sz w:val="18"/>
          <w:szCs w:val="18"/>
        </w:rPr>
        <w:t xml:space="preserve">Target Customer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ICP: </w:t>
      </w:r>
      <w:r>
        <w:rPr>
          <w:rFonts w:ascii="Arial" w:cs="Arial" w:eastAsia="Arial" w:hAnsi="Arial"/>
          <w:sz w:val="16"/>
          <w:szCs w:val="16"/>
        </w:rPr>
        <w:t xml:space="preserve">Series B+ US Tech, 50–500 engineers.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Champion: </w:t>
      </w:r>
      <w:r>
        <w:rPr>
          <w:rFonts w:ascii="Arial" w:cs="Arial" w:eastAsia="Arial" w:hAnsi="Arial"/>
          <w:sz w:val="16"/>
          <w:szCs w:val="16"/>
        </w:rPr>
        <w:t xml:space="preserve">VPE (budget) + EM (daily user).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Operator: </w:t>
      </w:r>
      <w:r>
        <w:rPr>
          <w:rFonts w:ascii="Arial" w:cs="Arial" w:eastAsia="Arial" w:hAnsi="Arial"/>
          <w:sz w:val="16"/>
          <w:szCs w:val="16"/>
        </w:rPr>
        <w:t xml:space="preserve">Staff/Principal Engineer (taxonomy curation).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HR Stance: </w:t>
      </w:r>
      <w:r>
        <w:rPr>
          <w:rFonts w:ascii="Arial" w:cs="Arial" w:eastAsia="Arial" w:hAnsi="Arial"/>
          <w:sz w:val="16"/>
          <w:szCs w:val="16"/>
        </w:rPr>
        <w:t xml:space="preserve">Engineering-led, HR-co-signed (HR-Fast-Path artifact + read-only role).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A68"/>
          <w:sz w:val="18"/>
          <w:szCs w:val="18"/>
        </w:rPr>
        <w:t xml:space="preserve">Pricing &amp; Tier Strategy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1500"/>
        <w:gridCol w:w="2212"/>
      </w:tblGrid>
      <w:tr>
        <w:trPr>
          <w:tblHeader/>
        </w:trP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Tenancy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Eng Floor</w:t>
            </w:r>
          </w:p>
        </w:tc>
        <w:tc>
          <w:tcPr>
            <w:tcW w:type="dxa" w:w="22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Per Eng / Mo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Map (MVP)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Pooled multi-tenant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30 Eng</w:t>
            </w:r>
          </w:p>
        </w:tc>
        <w:tc>
          <w:tcPr>
            <w:tcW w:type="dxa" w:w="22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$25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Map + Decide (Phase 2)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Per-Tenant DB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50 Eng</w:t>
            </w:r>
          </w:p>
        </w:tc>
        <w:tc>
          <w:tcPr>
            <w:tcW w:type="dxa" w:w="22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$45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Enterprise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Per-Tenant + Self-Host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100 Eng</w:t>
            </w:r>
          </w:p>
        </w:tc>
        <w:tc>
          <w:tcPr>
            <w:tcW w:type="dxa" w:w="22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$60+ (custom)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A68"/>
          <w:sz w:val="18"/>
          <w:szCs w:val="18"/>
        </w:rPr>
        <w:t xml:space="preserve">Year-1 Plan &amp; Funding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2"/>
        <w:gridCol w:w="2500"/>
        <w:gridCol w:w="2500"/>
      </w:tblGrid>
      <w:tr>
        <w:trPr>
          <w:tblHeader/>
        </w:trPr>
        <w:tc>
          <w:tcPr>
            <w:tcW w:type="dxa" w:w="5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Min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Stretch</w:t>
            </w:r>
          </w:p>
        </w:tc>
      </w:tr>
      <w:tr>
        <w:tc>
          <w:tcPr>
            <w:tcW w:type="dxa" w:w="5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Engineering Seats Activated (North Star)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3,000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8,000</w:t>
            </w:r>
          </w:p>
        </w:tc>
      </w:tr>
      <w:tr>
        <w:tc>
          <w:tcPr>
            <w:tcW w:type="dxa" w:w="5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ARR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$0.3M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$1.2M</w:t>
            </w:r>
          </w:p>
        </w:tc>
      </w:tr>
      <w:tr>
        <w:tc>
          <w:tcPr>
            <w:tcW w:type="dxa" w:w="5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Customer Count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15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50</w:t>
            </w:r>
          </w:p>
        </w:tc>
      </w:tr>
      <w:tr>
        <w:tc>
          <w:tcPr>
            <w:tcW w:type="dxa" w:w="5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Map → Decide Up-Sell Rate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20% within 9mo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40%</w:t>
            </w:r>
          </w:p>
        </w:tc>
      </w:tr>
      <w:tr>
        <w:tc>
          <w:tcPr>
            <w:tcW w:type="dxa" w:w="5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Customer NPS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30+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50+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Funding plan: </w:t>
      </w:r>
      <w:r>
        <w:rPr>
          <w:rFonts w:ascii="Arial" w:cs="Arial" w:eastAsia="Arial" w:hAnsi="Arial"/>
          <w:sz w:val="16"/>
          <w:szCs w:val="16"/>
        </w:rPr>
        <w:t xml:space="preserve">Seed $3–5M (24-mo runway) → Series A $10–15M end Y1 / Q1–Q2 Y2 → Series B $25–40M Y3.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A68"/>
          <w:sz w:val="18"/>
          <w:szCs w:val="18"/>
        </w:rPr>
        <w:t xml:space="preserve">Top Risks &amp; Mitigations</w:t>
      </w:r>
    </w:p>
    <w:p>
      <w:pPr>
        <w:spacing w:after="20" w:before="20"/>
        <w:ind w:left="200" w:hanging="160"/>
      </w:pPr>
      <w:r>
        <w:rPr>
          <w:rFonts w:ascii="Arial" w:cs="Arial" w:eastAsia="Arial" w:hAnsi="Arial"/>
          <w:b/>
          <w:bCs/>
          <w:color w:val="B85C00"/>
          <w:sz w:val="16"/>
          <w:szCs w:val="16"/>
        </w:rPr>
        <w:t xml:space="preserve">▸ </w:t>
      </w:r>
      <w:r>
        <w:rPr>
          <w:rFonts w:ascii="Arial" w:cs="Arial" w:eastAsia="Arial" w:hAnsi="Arial"/>
          <w:sz w:val="16"/>
          <w:szCs w:val="16"/>
        </w:rPr>
        <w:t xml:space="preserve">Workforce Resilience is positioning, not a category — we sell into Engineering-Intelligence budget codes; Resilience is brand differentiation.</w:t>
      </w:r>
    </w:p>
    <w:p>
      <w:pPr>
        <w:spacing w:after="20" w:before="20"/>
        <w:ind w:left="200" w:hanging="160"/>
      </w:pPr>
      <w:r>
        <w:rPr>
          <w:rFonts w:ascii="Arial" w:cs="Arial" w:eastAsia="Arial" w:hAnsi="Arial"/>
          <w:b/>
          <w:bCs/>
          <w:color w:val="B85C00"/>
          <w:sz w:val="16"/>
          <w:szCs w:val="16"/>
        </w:rPr>
        <w:t xml:space="preserve">▸ </w:t>
      </w:r>
      <w:r>
        <w:rPr>
          <w:rFonts w:ascii="Arial" w:cs="Arial" w:eastAsia="Arial" w:hAnsi="Arial"/>
          <w:sz w:val="16"/>
          <w:szCs w:val="16"/>
        </w:rPr>
        <w:t xml:space="preserve">Tier 3 features are high-risk under EU AI Act + Colorado AI Act — hard human-in-the-loop, append-only audit trails, demographics-blocked production from day 1; Tier 3 deferred to Phase 2 (post-SOC 2).</w:t>
      </w:r>
    </w:p>
    <w:p>
      <w:pPr>
        <w:spacing w:after="20" w:before="20"/>
        <w:ind w:left="200" w:hanging="160"/>
      </w:pPr>
      <w:r>
        <w:rPr>
          <w:rFonts w:ascii="Arial" w:cs="Arial" w:eastAsia="Arial" w:hAnsi="Arial"/>
          <w:b/>
          <w:bCs/>
          <w:color w:val="B85C00"/>
          <w:sz w:val="16"/>
          <w:szCs w:val="16"/>
        </w:rPr>
        <w:t xml:space="preserve">▸ </w:t>
      </w:r>
      <w:r>
        <w:rPr>
          <w:rFonts w:ascii="Arial" w:cs="Arial" w:eastAsia="Arial" w:hAnsi="Arial"/>
          <w:sz w:val="16"/>
          <w:szCs w:val="16"/>
        </w:rPr>
        <w:t xml:space="preserve">Per-tenant DB COGS at scale — mitigated via tier-aware tenancy: pooled multi-tenant for Map, per-tenant for Decide+.</w:t>
      </w:r>
    </w:p>
    <w:p>
      <w:pPr>
        <w:spacing w:after="20" w:before="20"/>
        <w:ind w:left="200" w:hanging="160"/>
      </w:pPr>
      <w:r>
        <w:rPr>
          <w:rFonts w:ascii="Arial" w:cs="Arial" w:eastAsia="Arial" w:hAnsi="Arial"/>
          <w:b/>
          <w:bCs/>
          <w:color w:val="B85C00"/>
          <w:sz w:val="16"/>
          <w:szCs w:val="16"/>
        </w:rPr>
        <w:t xml:space="preserve">▸ </w:t>
      </w:r>
      <w:r>
        <w:rPr>
          <w:rFonts w:ascii="Arial" w:cs="Arial" w:eastAsia="Arial" w:hAnsi="Arial"/>
          <w:sz w:val="16"/>
          <w:szCs w:val="16"/>
        </w:rPr>
        <w:t xml:space="preserve">Y1 ARR may not hit Series-A bar of $1.5M+ — Seed runway extended to 24 months; Series A timing flexible.</w:t>
      </w:r>
    </w:p>
    <w:p>
      <w:pPr>
        <w:spacing w:after="20" w:before="20"/>
        <w:ind w:left="200" w:hanging="160"/>
      </w:pPr>
      <w:r>
        <w:rPr>
          <w:rFonts w:ascii="Arial" w:cs="Arial" w:eastAsia="Arial" w:hAnsi="Arial"/>
          <w:b/>
          <w:bCs/>
          <w:color w:val="B85C00"/>
          <w:sz w:val="16"/>
          <w:szCs w:val="16"/>
        </w:rPr>
        <w:t xml:space="preserve">▸ </w:t>
      </w:r>
      <w:r>
        <w:rPr>
          <w:rFonts w:ascii="Arial" w:cs="Arial" w:eastAsia="Arial" w:hAnsi="Arial"/>
          <w:sz w:val="16"/>
          <w:szCs w:val="16"/>
        </w:rPr>
        <w:t xml:space="preserve">No GTM co-founder yet — active open item; pre-Seed funding-gate.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A68"/>
          <w:sz w:val="18"/>
          <w:szCs w:val="18"/>
        </w:rPr>
        <w:t xml:space="preserve">Why Now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Three converging forces: (1) AI compliance wave — Colorado AI Act (Feb 2026), NYC Local Law 144, Illinois HB 3773 — creates audit-trail demand; (2) post-2022 layoff aftermath produced a generation of VPEs who lived "wrong-fire" mistakes; (3) LLM-native classification finally makes deep skill-mapping tractable at acceptable cost.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A68"/>
          <w:sz w:val="18"/>
          <w:szCs w:val="18"/>
        </w:rPr>
        <w:t xml:space="preserve">Competitive Position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Direct competitors (Jellyfish $130M+ raised, Swarmia, LinearB, Faros AI) are productivity-focused; none have engineering-native resilience framing, customer-taxonomy data flywheel, or AI-Act-ready compliance posture from day 1. HR-adjacent players (Lattice, Visier, Eightfold) have wrong DNA — survey-based or HR-derived. The category-king-in-niche pattern is faster than category creation.</w:t>
      </w:r>
    </w:p>
    <w:p>
      <w:pPr>
        <w:pBdr>
          <w:top w:val="single" w:color="BFC9D6" w:sz="6" w:space="4"/>
        </w:pBdr>
        <w:spacing w:after="0" w:before="240"/>
      </w:pPr>
      <w:r>
        <w:rPr>
          <w:rFonts w:ascii="Arial" w:cs="Arial" w:eastAsia="Arial" w:hAnsi="Arial"/>
          <w:i/>
          <w:iCs/>
          <w:color w:val="666666"/>
          <w:sz w:val="14"/>
          <w:szCs w:val="14"/>
        </w:rPr>
        <w:t xml:space="preserve">Project Paper v2 (post-Critique-Synthese)  ·  2026-05-09  ·  Author: Richard Hondrich  ·  Working Name: Keystone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Keystone — Executive Brief</dc:title>
  <dc:creator>Richard Hondrich</dc:creator>
  <dc:description>Workforce Resilience for Engineering Leaders — 2-Pager</dc:description>
  <cp:lastModifiedBy>Un-named</cp:lastModifiedBy>
  <cp:revision>1</cp:revision>
  <dcterms:created xsi:type="dcterms:W3CDTF">2026-05-09T12:40:02.762Z</dcterms:created>
  <dcterms:modified xsi:type="dcterms:W3CDTF">2026-05-09T12:40:02.762Z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