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0" w:before="400"/>
        <w:jc w:val="center"/>
      </w:pPr>
      <w:r>
        <w:rPr>
          <w:rFonts w:ascii="Arial" w:cs="Arial" w:eastAsia="Arial" w:hAnsi="Arial"/>
          <w:b/>
          <w:bCs/>
          <w:color w:val="1F3A68"/>
          <w:sz w:val="96"/>
          <w:szCs w:val="96"/>
        </w:rPr>
        <w:t xml:space="preserve">KEYSTONE</w:t>
      </w:r>
    </w:p>
    <w:p>
      <w:pPr>
        <w:spacing w:after="600" w:before="240"/>
        <w:jc w:val="center"/>
      </w:pPr>
      <w:r>
        <w:rPr>
          <w:rFonts w:ascii="Arial" w:cs="Arial" w:eastAsia="Arial" w:hAnsi="Arial"/>
          <w:i/>
          <w:iCs/>
          <w:color w:val="2E75B6"/>
          <w:sz w:val="32"/>
          <w:szCs w:val="32"/>
        </w:rPr>
        <w:t xml:space="preserve">Workforce Resilience for Engineering Leaders</w:t>
      </w:r>
    </w:p>
    <w:p>
      <w:pPr>
        <w:pBdr>
          <w:top w:val="single" w:color="B85C00" w:sz="12" w:space="4"/>
          <w:bottom w:val="single" w:color="B85C00" w:sz="12" w:space="4"/>
        </w:pBdr>
        <w:spacing w:after="200" w:before="200"/>
        <w:jc w:val="center"/>
      </w:pPr>
      <w:r>
        <w:rPr>
          <w:rFonts w:ascii="Arial" w:cs="Arial" w:eastAsia="Arial" w:hAnsi="Arial"/>
          <w:i/>
          <w:iCs/>
          <w:color w:val="222222"/>
          <w:sz w:val="26"/>
          <w:szCs w:val="26"/>
        </w:rPr>
        <w:t xml:space="preserve">Engineering leadership runs on gut feeling. We replace it with evidence.</w:t>
      </w:r>
    </w:p>
    <w:p>
      <w:r>
        <w:t xml:space="preserve"/>
      </w:r>
    </w:p>
    <w:p>
      <w:r>
        <w:t xml:space="preserve"/>
      </w:r>
    </w:p>
    <w:p>
      <w:r>
        <w:t xml:space="preserve"/>
      </w:r>
    </w:p>
    <w:p>
      <w:r>
        <w:t xml:space="preserve"/>
      </w:r>
    </w:p>
    <w:p>
      <w:pPr>
        <w:spacing w:after="80" w:before="1200"/>
        <w:jc w:val="center"/>
      </w:pPr>
      <w:r>
        <w:rPr>
          <w:rFonts w:ascii="Arial" w:cs="Arial" w:eastAsia="Arial" w:hAnsi="Arial"/>
          <w:b/>
          <w:bCs/>
          <w:color w:val="1F3A68"/>
          <w:sz w:val="28"/>
          <w:szCs w:val="28"/>
        </w:rPr>
        <w:t xml:space="preserve">Project Paper</w:t>
      </w:r>
    </w:p>
    <w:p>
      <w:pPr>
        <w:jc w:val="center"/>
      </w:pPr>
      <w:r>
        <w:rPr>
          <w:rFonts w:ascii="Arial" w:cs="Arial" w:eastAsia="Arial" w:hAnsi="Arial"/>
          <w:color w:val="666666"/>
          <w:sz w:val="22"/>
          <w:szCs w:val="22"/>
        </w:rPr>
        <w:t xml:space="preserve">Version 2 — post-Critique-Synthese</w:t>
      </w:r>
    </w:p>
    <w:p>
      <w:pPr>
        <w:spacing w:before="200"/>
        <w:jc w:val="center"/>
      </w:pPr>
      <w:r>
        <w:rPr>
          <w:rFonts w:ascii="Arial" w:cs="Arial" w:eastAsia="Arial" w:hAnsi="Arial"/>
          <w:color w:val="666666"/>
          <w:sz w:val="22"/>
          <w:szCs w:val="22"/>
        </w:rPr>
        <w:t xml:space="preserve">2026-05-09</w:t>
      </w:r>
    </w:p>
    <w:p>
      <w:pPr>
        <w:spacing w:before="80"/>
        <w:jc w:val="center"/>
      </w:pPr>
      <w:r>
        <w:rPr>
          <w:rFonts w:ascii="Arial" w:cs="Arial" w:eastAsia="Arial" w:hAnsi="Arial"/>
          <w:color w:val="666666"/>
          <w:sz w:val="22"/>
          <w:szCs w:val="22"/>
        </w:rPr>
        <w:t xml:space="preserve">Author: Richard Hondrich</w:t>
      </w:r>
    </w:p>
    <w:p>
      <w:pPr>
        <w:pStyle w:val="Heading1"/>
        <w:pageBreakBefore/>
        <w:spacing w:after="240" w:before="0"/>
      </w:pPr>
      <w:r>
        <w:rPr>
          <w:rFonts w:ascii="Arial" w:cs="Arial" w:eastAsia="Arial" w:hAnsi="Arial"/>
          <w:b/>
          <w:bCs/>
          <w:color w:val="1F3A68"/>
          <w:sz w:val="36"/>
          <w:szCs w:val="36"/>
        </w:rPr>
        <w:t xml:space="preserve">Executive Summary</w:t>
      </w:r>
    </w:p>
    <w:p>
      <w:pPr>
        <w:spacing w:after="80" w:before="80"/>
      </w:pPr>
      <w:r>
        <w:rPr>
          <w:rFonts w:ascii="Arial" w:cs="Arial" w:eastAsia="Arial" w:hAnsi="Arial"/>
          <w:sz w:val="22"/>
          <w:szCs w:val="22"/>
        </w:rPr>
        <w:t xml:space="preserve">Keystone is an LLM-powered B2B SaaS platform that brings evidence-based decision support to engineering leadership. Today, VPEs and Engineering Managers run their teams on gut feeling: they don't systematically know who knows what, where the team is fragile, or what breaks if a key person leaves. Keystone changes that — by classifying digital activity (Git, Jira, Slack, Confluence) into a versioned topic-and-ownership map, we make team resilience measurable.</w:t>
      </w:r>
    </w:p>
    <w:p>
      <w:pPr>
        <w:pStyle w:val="Heading2"/>
        <w:spacing w:after="120" w:before="240"/>
      </w:pPr>
      <w:r>
        <w:rPr>
          <w:rFonts w:ascii="Arial" w:cs="Arial" w:eastAsia="Arial" w:hAnsi="Arial"/>
          <w:b/>
          <w:bCs/>
          <w:color w:val="1F3A68"/>
          <w:sz w:val="28"/>
          <w:szCs w:val="28"/>
        </w:rPr>
        <w:t xml:space="preserve">Problem</w:t>
      </w:r>
    </w:p>
    <w:p>
      <w:pPr>
        <w:spacing w:after="80" w:before="80"/>
      </w:pPr>
      <w:r>
        <w:rPr>
          <w:rFonts w:ascii="Arial" w:cs="Arial" w:eastAsia="Arial" w:hAnsi="Arial"/>
          <w:sz w:val="22"/>
          <w:szCs w:val="22"/>
        </w:rPr>
        <w:t xml:space="preserve">Engineering leadership today makes three classes of people-decisions on instinct: performance management, risk management (single points of failure, knowledge silos), and reorganization or layoff decisions. The cost of getting these wrong — from quiet rehiring after layoffs to roadmap disasters when key engineers leave — is enormous. Yet the data to make these decisions evidence-based already exists in every engineering organization's Git, Jira, and Slack — it just isn't classified, structured, or made decision-grade.</w:t>
      </w:r>
    </w:p>
    <w:p>
      <w:pPr>
        <w:pStyle w:val="Heading2"/>
        <w:spacing w:after="120" w:before="240"/>
      </w:pPr>
      <w:r>
        <w:rPr>
          <w:rFonts w:ascii="Arial" w:cs="Arial" w:eastAsia="Arial" w:hAnsi="Arial"/>
          <w:b/>
          <w:bCs/>
          <w:color w:val="1F3A68"/>
          <w:sz w:val="28"/>
          <w:szCs w:val="28"/>
        </w:rPr>
        <w:t xml:space="preserve">Solution —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4660"/>
        <w:gridCol w:w="1200"/>
      </w:tblGrid>
      <w:tr>
        <w:trPr>
          <w:tblHeader/>
        </w:trPr>
        <w:tc>
          <w:tcPr>
            <w:tcW w:type="dxa" w:w="8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Tier</w:t>
            </w:r>
          </w:p>
        </w:tc>
        <w:tc>
          <w:tcPr>
            <w:tcW w:type="dxa" w:w="27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Module</w:t>
            </w:r>
          </w:p>
        </w:tc>
        <w:tc>
          <w:tcPr>
            <w:tcW w:type="dxa" w:w="46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What it delivers</w:t>
            </w:r>
          </w:p>
        </w:tc>
        <w:tc>
          <w:tcPr>
            <w:tcW w:type="dxa" w:w="12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MVP?</w:t>
            </w:r>
          </w:p>
        </w:tc>
      </w:tr>
      <w:tr>
        <w:tc>
          <w:tcPr>
            <w:tcW w:type="dxa" w:w="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w:t>
            </w:r>
          </w:p>
        </w:tc>
        <w:tc>
          <w:tcPr>
            <w:tcW w:type="dxa" w:w="27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Map — Knowledge &amp; Coverage</w:t>
            </w:r>
          </w:p>
        </w:tc>
        <w:tc>
          <w:tcPr>
            <w:tcW w:type="dxa" w:w="46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Topic / skill / ownership map across the team</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Yes (full)</w:t>
            </w:r>
          </w:p>
        </w:tc>
      </w:tr>
      <w:tr>
        <w:tc>
          <w:tcPr>
            <w:tcW w:type="dxa" w:w="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w:t>
            </w:r>
          </w:p>
        </w:tc>
        <w:tc>
          <w:tcPr>
            <w:tcW w:type="dxa" w:w="27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Pulse — Activity &amp; Engagement</w:t>
            </w:r>
          </w:p>
        </w:tc>
        <w:tc>
          <w:tcPr>
            <w:tcW w:type="dxa" w:w="46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Activity intensity, output, engagement signals</w:t>
            </w:r>
          </w:p>
        </w:tc>
        <w:tc>
          <w:tcPr>
            <w:tcW w:type="dxa" w:w="12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Phase 2</w:t>
            </w:r>
          </w:p>
        </w:tc>
      </w:tr>
      <w:tr>
        <w:tc>
          <w:tcPr>
            <w:tcW w:type="dxa" w:w="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w:t>
            </w:r>
          </w:p>
        </w:tc>
        <w:tc>
          <w:tcPr>
            <w:tcW w:type="dxa" w:w="27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Decide — Resilience Scoring</w:t>
            </w:r>
          </w:p>
        </w:tc>
        <w:tc>
          <w:tcPr>
            <w:tcW w:type="dxa" w:w="46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Reorg Discovery (Phase 2a), Full RRC (Phase 2b)</w:t>
            </w:r>
          </w:p>
        </w:tc>
        <w:tc>
          <w:tcPr>
            <w:tcW w:type="dxa" w:w="12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Phase 2</w:t>
            </w:r>
          </w:p>
        </w:tc>
      </w:tr>
    </w:tbl>
    <w:p>
      <w:r>
        <w:t xml:space="preserve"/>
      </w:r>
    </w:p>
    <w:p>
      <w:pPr>
        <w:spacing w:after="80" w:before="80"/>
      </w:pPr>
      <w:r>
        <w:rPr>
          <w:rFonts w:ascii="Arial" w:cs="Arial" w:eastAsia="Arial" w:hAnsi="Arial"/>
          <w:sz w:val="22"/>
          <w:szCs w:val="22"/>
        </w:rPr>
        <w:t xml:space="preserve">Keystone's strategic effect is land-and-expand: customers enter at Tier 1 with low trust required, then upgrade to Tier 3 once trust is built and our Trust Bundle has cleared their compliance review.</w:t>
      </w:r>
    </w:p>
    <w:p>
      <w:pPr>
        <w:pStyle w:val="Heading2"/>
        <w:spacing w:after="120" w:before="240"/>
      </w:pPr>
      <w:r>
        <w:rPr>
          <w:rFonts w:ascii="Arial" w:cs="Arial" w:eastAsia="Arial" w:hAnsi="Arial"/>
          <w:b/>
          <w:bCs/>
          <w:color w:val="1F3A68"/>
          <w:sz w:val="28"/>
          <w:szCs w:val="28"/>
        </w:rPr>
        <w:t xml:space="preserve">Wedge &amp; Differentiation</w:t>
      </w:r>
    </w:p>
    <w:p>
      <w:pPr>
        <w:spacing w:after="80" w:before="80"/>
      </w:pPr>
      <w:r>
        <w:rPr>
          <w:rFonts w:ascii="Arial" w:cs="Arial" w:eastAsia="Arial" w:hAnsi="Arial"/>
          <w:sz w:val="22"/>
          <w:szCs w:val="22"/>
        </w:rPr>
        <w:t xml:space="preserve">Our primary wedge is the Bus-Factor-Audit demo: in 60 seconds we surface every Single Point of Failure in a team, including the ones leadership didn't know existed. Our defensible moats are (1) the Resilience-Linse as brand differentiation, (2) the Customer-Taxonomy + HIL-Refinement Data Flywheel that compounds over customer lifetime, and (3) Compliance posture as procurement-speed accelerator (not as premium tier).</w:t>
      </w:r>
    </w:p>
    <w:p>
      <w:pPr>
        <w:pStyle w:val="Heading2"/>
        <w:spacing w:after="120" w:before="240"/>
      </w:pPr>
      <w:r>
        <w:rPr>
          <w:rFonts w:ascii="Arial" w:cs="Arial" w:eastAsia="Arial" w:hAnsi="Arial"/>
          <w:b/>
          <w:bCs/>
          <w:color w:val="1F3A68"/>
          <w:sz w:val="28"/>
          <w:szCs w:val="28"/>
        </w:rPr>
        <w:t xml:space="preserve">Target Customer</w:t>
      </w:r>
    </w:p>
    <w:p>
      <w:pPr>
        <w:spacing w:after="80" w:before="80"/>
      </w:pPr>
      <w:r>
        <w:rPr>
          <w:rFonts w:ascii="Arial" w:cs="Arial" w:eastAsia="Arial" w:hAnsi="Arial"/>
          <w:sz w:val="22"/>
          <w:szCs w:val="22"/>
        </w:rPr>
        <w:t xml:space="preserve">Series B+ US-Tech companies with 50–500 engineers. Champion is the VPE (budget) plus EM (daily user); Staff/Principal Engineer is the Operator persona who maintains the customer-specific taxonomy. We do not bypass HR — we offer an HR-Fast-Path-Artifact and a default HR-Read-only role.</w:t>
      </w:r>
    </w:p>
    <w:p>
      <w:pPr>
        <w:pStyle w:val="Heading2"/>
        <w:spacing w:after="120" w:before="240"/>
      </w:pPr>
      <w:r>
        <w:rPr>
          <w:rFonts w:ascii="Arial" w:cs="Arial" w:eastAsia="Arial" w:hAnsi="Arial"/>
          <w:b/>
          <w:bCs/>
          <w:color w:val="1F3A68"/>
          <w:sz w:val="28"/>
          <w:szCs w:val="28"/>
        </w:rPr>
        <w:t xml:space="preserve">Pricing &amp;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1500"/>
        <w:gridCol w:w="1060"/>
      </w:tblGrid>
      <w:tr>
        <w:trPr>
          <w:tblHeader/>
        </w:trPr>
        <w:tc>
          <w:tcPr>
            <w:tcW w:type="dxa" w:w="33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Tier</w:t>
            </w:r>
          </w:p>
        </w:tc>
        <w:tc>
          <w:tcPr>
            <w:tcW w:type="dxa" w:w="35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Tenancy</w:t>
            </w:r>
          </w:p>
        </w:tc>
        <w:tc>
          <w:tcPr>
            <w:tcW w:type="dxa" w:w="15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Eng-Floor</w:t>
            </w:r>
          </w:p>
        </w:tc>
        <w:tc>
          <w:tcPr>
            <w:tcW w:type="dxa" w:w="10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Per Eng / Mo</w:t>
            </w:r>
          </w:p>
        </w:tc>
      </w:tr>
      <w:t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Map</w:t>
            </w:r>
          </w:p>
        </w:tc>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Pooled multi-tenant</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30 Eng</w:t>
            </w:r>
          </w:p>
        </w:tc>
        <w:tc>
          <w:tcPr>
            <w:tcW w:type="dxa" w:w="10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$25</w:t>
            </w:r>
          </w:p>
        </w:tc>
      </w:tr>
      <w:tr>
        <w:tc>
          <w:tcPr>
            <w:tcW w:type="dxa" w:w="3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Map + Decide (Phase 2)</w:t>
            </w:r>
          </w:p>
        </w:tc>
        <w:tc>
          <w:tcPr>
            <w:tcW w:type="dxa" w:w="3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Per-Tenant DB</w:t>
            </w:r>
          </w:p>
        </w:tc>
        <w:tc>
          <w:tcPr>
            <w:tcW w:type="dxa" w:w="1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50 Eng</w:t>
            </w:r>
          </w:p>
        </w:tc>
        <w:tc>
          <w:tcPr>
            <w:tcW w:type="dxa" w:w="10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$45</w:t>
            </w:r>
          </w:p>
        </w:tc>
      </w:tr>
      <w:t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Enterprise</w:t>
            </w:r>
          </w:p>
        </w:tc>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Per-Tenant + Self-Host</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100 Eng</w:t>
            </w:r>
          </w:p>
        </w:tc>
        <w:tc>
          <w:tcPr>
            <w:tcW w:type="dxa" w:w="10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$60+</w:t>
            </w:r>
          </w:p>
        </w:tc>
      </w:tr>
    </w:tbl>
    <w:p>
      <w:r>
        <w:t xml:space="preserve"/>
      </w:r>
    </w:p>
    <w:p>
      <w:pPr>
        <w:spacing w:after="80" w:before="80"/>
      </w:pPr>
      <w:r>
        <w:rPr>
          <w:rFonts w:ascii="Arial" w:cs="Arial" w:eastAsia="Arial" w:hAnsi="Arial"/>
          <w:sz w:val="22"/>
          <w:szCs w:val="22"/>
        </w:rPr>
        <w:t xml:space="preserve">Funding plan: Seed $3–5M (24-month runway) → Series A $10–15M end Y1 / Q1–Q2 Y2 → Series B $25–40M Y3. Year-1 targets: 15–50 customers, $0.3–1.2M ARR, 3,000–8,000 engineering seats activated.</w:t>
      </w:r>
    </w:p>
    <w:p>
      <w:pPr>
        <w:pStyle w:val="Heading2"/>
        <w:spacing w:after="120" w:before="240"/>
      </w:pPr>
      <w:r>
        <w:rPr>
          <w:rFonts w:ascii="Arial" w:cs="Arial" w:eastAsia="Arial" w:hAnsi="Arial"/>
          <w:b/>
          <w:bCs/>
          <w:color w:val="1F3A68"/>
          <w:sz w:val="28"/>
          <w:szCs w:val="28"/>
        </w:rPr>
        <w:t xml:space="preserve">Critical Risks</w:t>
      </w:r>
    </w:p>
    <w:p>
      <w:pPr>
        <w:spacing w:after="80" w:before="80"/>
      </w:pPr>
      <w:r>
        <w:rPr>
          <w:rFonts w:ascii="Arial" w:cs="Arial" w:eastAsia="Arial" w:hAnsi="Arial"/>
          <w:sz w:val="22"/>
          <w:szCs w:val="22"/>
        </w:rPr>
        <w:t xml:space="preserve">Three risks deserve top-of-mind attention: (1) "Workforce Resilience" is positioning, not a buying category — we sell into Engineering-Intelligence budget codes and use Resilience as brand differentiation; (2) Tier 3 features are high-risk under EU AI Act and Colorado AI Act — we ship with hard human-in-the-loop, append-only audit trails, and demographics-blocked production models from day 1; (3) Per-tenant DB COGS at scale would be margin-destructive on Map-tier — we mitigate via tier-aware tenancy (pooled for Map, isolated for Decide+).</w:t>
      </w:r>
    </w:p>
    <w:p>
      <w:pPr>
        <w:pStyle w:val="Heading2"/>
        <w:spacing w:after="120" w:before="240"/>
      </w:pPr>
      <w:r>
        <w:rPr>
          <w:rFonts w:ascii="Arial" w:cs="Arial" w:eastAsia="Arial" w:hAnsi="Arial"/>
          <w:b/>
          <w:bCs/>
          <w:color w:val="1F3A68"/>
          <w:sz w:val="28"/>
          <w:szCs w:val="28"/>
        </w:rPr>
        <w:t xml:space="preserve">Why now</w:t>
      </w:r>
    </w:p>
    <w:p>
      <w:pPr>
        <w:spacing w:after="80" w:before="80"/>
      </w:pPr>
      <w:r>
        <w:rPr>
          <w:rFonts w:ascii="Arial" w:cs="Arial" w:eastAsia="Arial" w:hAnsi="Arial"/>
          <w:sz w:val="22"/>
          <w:szCs w:val="22"/>
        </w:rPr>
        <w:t xml:space="preserve">Three converging forces: the AI compliance wave (Colorado AI Act Feb 2026, NYC Local Law 144, Illinois HB 3773) creates audit-trail demand; the post-2022 layoff aftermath has produced a generation of VPEs who lived through "wrong-fire" mistakes; and LLM-native classification finally makes deep skill-mapping tractable at acceptable cost.</w:t>
      </w:r>
    </w:p>
    <w:p>
      <w:pPr>
        <w:pStyle w:val="Heading1"/>
        <w:pageBreakBefore/>
        <w:spacing w:after="240" w:before="240"/>
      </w:pPr>
      <w:r>
        <w:rPr>
          <w:rFonts w:ascii="Arial" w:cs="Arial" w:eastAsia="Arial" w:hAnsi="Arial"/>
          <w:b/>
          <w:bCs/>
          <w:color w:val="1F3A68"/>
          <w:sz w:val="36"/>
          <w:szCs w:val="36"/>
        </w:rPr>
        <w:t xml:space="preserve">1. Vision &amp; Positioning</w:t>
      </w:r>
    </w:p>
    <w:p>
      <w:pPr>
        <w:spacing w:after="80" w:before="80"/>
      </w:pPr>
      <w:r>
        <w:rPr>
          <w:rFonts w:ascii="Arial" w:cs="Arial" w:eastAsia="Arial" w:hAnsi="Arial"/>
          <w:sz w:val="22"/>
          <w:szCs w:val="22"/>
        </w:rPr>
        <w:t xml:space="preserve">Keystone's working name comes from architecture: the keystone is the wedge-shaped stone at the apex of an arch — the piece that holds the whole structure together. Without it, the construction collapses. The metaphor maps directly to engineering teams: every team has people, topics, and decisions that quietly hold the system together. Our job is to make those visible, before they fail.</w:t>
      </w:r>
    </w:p>
    <w:p>
      <w:pPr>
        <w:pStyle w:val="Heading2"/>
        <w:spacing w:after="120" w:before="240"/>
      </w:pPr>
      <w:r>
        <w:rPr>
          <w:rFonts w:ascii="Arial" w:cs="Arial" w:eastAsia="Arial" w:hAnsi="Arial"/>
          <w:b/>
          <w:bCs/>
          <w:color w:val="1F3A68"/>
          <w:sz w:val="28"/>
          <w:szCs w:val="28"/>
        </w:rPr>
        <w:t xml:space="preserve">1.1 Pitch</w:t>
      </w:r>
    </w:p>
    <w:p>
      <w:pPr>
        <w:pBdr>
          <w:left w:val="single" w:color="B85C00" w:sz="24" w:space="8"/>
        </w:pBdr>
        <w:spacing w:after="120" w:before="120"/>
        <w:ind w:left="720" w:right="720"/>
      </w:pPr>
      <w:r>
        <w:rPr>
          <w:rFonts w:ascii="Arial" w:cs="Arial" w:eastAsia="Arial" w:hAnsi="Arial"/>
          <w:i/>
          <w:iCs/>
          <w:color w:val="222222"/>
          <w:sz w:val="24"/>
          <w:szCs w:val="24"/>
        </w:rPr>
        <w:t xml:space="preserve">Hook: Engineering leadership runs on gut feeling. We replace it with evidence.</w:t>
      </w:r>
    </w:p>
    <w:p>
      <w:pPr>
        <w:pBdr>
          <w:left w:val="single" w:color="B85C00" w:sz="24" w:space="8"/>
        </w:pBdr>
        <w:spacing w:after="120" w:before="120"/>
        <w:ind w:left="720" w:right="720"/>
      </w:pPr>
      <w:r>
        <w:rPr>
          <w:rFonts w:ascii="Arial" w:cs="Arial" w:eastAsia="Arial" w:hAnsi="Arial"/>
          <w:i/>
          <w:iCs/>
          <w:color w:val="222222"/>
          <w:sz w:val="24"/>
          <w:szCs w:val="24"/>
        </w:rPr>
        <w:t xml:space="preserve">Subline: Workforce Resilience for Engineering Leaders — know your team, simulate change, decide with confidence.</w:t>
      </w:r>
    </w:p>
    <w:p>
      <w:pPr>
        <w:pStyle w:val="Heading2"/>
        <w:spacing w:after="120" w:before="240"/>
      </w:pPr>
      <w:r>
        <w:rPr>
          <w:rFonts w:ascii="Arial" w:cs="Arial" w:eastAsia="Arial" w:hAnsi="Arial"/>
          <w:b/>
          <w:bCs/>
          <w:color w:val="1F3A68"/>
          <w:sz w:val="28"/>
          <w:szCs w:val="28"/>
        </w:rPr>
        <w:t xml:space="preserve">1.2 Mission</w:t>
      </w:r>
    </w:p>
    <w:p>
      <w:pPr>
        <w:pBdr>
          <w:left w:val="single" w:color="B85C00" w:sz="24" w:space="8"/>
        </w:pBdr>
        <w:spacing w:after="120" w:before="120"/>
        <w:ind w:left="720" w:right="720"/>
      </w:pPr>
      <w:r>
        <w:rPr>
          <w:rFonts w:ascii="Arial" w:cs="Arial" w:eastAsia="Arial" w:hAnsi="Arial"/>
          <w:i/>
          <w:iCs/>
          <w:color w:val="222222"/>
          <w:sz w:val="24"/>
          <w:szCs w:val="24"/>
        </w:rPr>
        <w:t xml:space="preserve">We help engineering leaders make people decisions with the same rigor they apply to architecture decisions.</w:t>
      </w:r>
    </w:p>
    <w:p>
      <w:pPr>
        <w:pStyle w:val="Heading2"/>
        <w:spacing w:after="120" w:before="240"/>
      </w:pPr>
      <w:r>
        <w:rPr>
          <w:rFonts w:ascii="Arial" w:cs="Arial" w:eastAsia="Arial" w:hAnsi="Arial"/>
          <w:b/>
          <w:bCs/>
          <w:color w:val="1F3A68"/>
          <w:sz w:val="28"/>
          <w:szCs w:val="28"/>
        </w:rPr>
        <w:t xml:space="preserve">1.3 Anti-Positioning</w:t>
      </w:r>
    </w:p>
    <w:p>
      <w:pPr>
        <w:spacing w:after="80" w:before="80"/>
      </w:pPr>
      <w:r>
        <w:rPr>
          <w:rFonts w:ascii="Arial" w:cs="Arial" w:eastAsia="Arial" w:hAnsi="Arial"/>
          <w:sz w:val="22"/>
          <w:szCs w:val="22"/>
        </w:rPr>
        <w:t xml:space="preserve">We are NOT:</w:t>
      </w:r>
    </w:p>
    <w:p>
      <w:pPr>
        <w:pStyle w:val="ListParagraph"/>
        <w:numPr>
          <w:ilvl w:val="0"/>
          <w:numId w:val="2"/>
        </w:numPr>
        <w:spacing w:after="40" w:before="40"/>
      </w:pPr>
      <w:r>
        <w:rPr>
          <w:rFonts w:ascii="Arial" w:cs="Arial" w:eastAsia="Arial" w:hAnsi="Arial"/>
          <w:sz w:val="22"/>
          <w:szCs w:val="22"/>
        </w:rPr>
        <w:t xml:space="preserve">a surveillance tool</w:t>
      </w:r>
    </w:p>
    <w:p>
      <w:pPr>
        <w:pStyle w:val="ListParagraph"/>
        <w:numPr>
          <w:ilvl w:val="0"/>
          <w:numId w:val="2"/>
        </w:numPr>
        <w:spacing w:after="40" w:before="40"/>
      </w:pPr>
      <w:r>
        <w:rPr>
          <w:rFonts w:ascii="Arial" w:cs="Arial" w:eastAsia="Arial" w:hAnsi="Arial"/>
          <w:sz w:val="22"/>
          <w:szCs w:val="22"/>
        </w:rPr>
        <w:t xml:space="preserve">an HR system</w:t>
      </w:r>
    </w:p>
    <w:p>
      <w:pPr>
        <w:pStyle w:val="ListParagraph"/>
        <w:numPr>
          <w:ilvl w:val="0"/>
          <w:numId w:val="2"/>
        </w:numPr>
        <w:spacing w:after="40" w:before="40"/>
      </w:pPr>
      <w:r>
        <w:rPr>
          <w:rFonts w:ascii="Arial" w:cs="Arial" w:eastAsia="Arial" w:hAnsi="Arial"/>
          <w:sz w:val="22"/>
          <w:szCs w:val="22"/>
        </w:rPr>
        <w:t xml:space="preserve">a productivity tracker</w:t>
      </w:r>
    </w:p>
    <w:p>
      <w:pPr>
        <w:pStyle w:val="ListParagraph"/>
        <w:numPr>
          <w:ilvl w:val="0"/>
          <w:numId w:val="2"/>
        </w:numPr>
        <w:spacing w:after="40" w:before="40"/>
      </w:pPr>
      <w:r>
        <w:rPr>
          <w:rFonts w:ascii="Arial" w:cs="Arial" w:eastAsia="Arial" w:hAnsi="Arial"/>
          <w:sz w:val="22"/>
          <w:szCs w:val="22"/>
        </w:rPr>
        <w:t xml:space="preserve">a hire/fire automation</w:t>
      </w:r>
    </w:p>
    <w:p>
      <w:pPr>
        <w:pStyle w:val="ListParagraph"/>
        <w:numPr>
          <w:ilvl w:val="0"/>
          <w:numId w:val="2"/>
        </w:numPr>
        <w:spacing w:after="40" w:before="40"/>
      </w:pPr>
      <w:r>
        <w:rPr>
          <w:rFonts w:ascii="Arial" w:cs="Arial" w:eastAsia="Arial" w:hAnsi="Arial"/>
          <w:sz w:val="22"/>
          <w:szCs w:val="22"/>
        </w:rPr>
        <w:t xml:space="preserve">a generic people analytics suite</w:t>
      </w:r>
    </w:p>
    <w:p>
      <w:r>
        <w:t xml:space="preserve"/>
      </w:r>
    </w:p>
    <w:p>
      <w:pPr>
        <w:spacing w:after="80" w:before="80"/>
      </w:pPr>
      <w:r>
        <w:rPr>
          <w:rFonts w:ascii="Arial" w:cs="Arial" w:eastAsia="Arial" w:hAnsi="Arial"/>
          <w:sz w:val="22"/>
          <w:szCs w:val="22"/>
        </w:rPr>
        <w:t xml:space="preserve">We are an engineering-native decision-support layer.</w:t>
      </w:r>
    </w:p>
    <w:p>
      <w:pPr>
        <w:pStyle w:val="Heading2"/>
        <w:spacing w:after="120" w:before="240"/>
      </w:pPr>
      <w:r>
        <w:rPr>
          <w:rFonts w:ascii="Arial" w:cs="Arial" w:eastAsia="Arial" w:hAnsi="Arial"/>
          <w:b/>
          <w:bCs/>
          <w:color w:val="1F3A68"/>
          <w:sz w:val="28"/>
          <w:szCs w:val="28"/>
        </w:rPr>
        <w:t xml:space="preserve">1.4 Manifest — Six Principles</w:t>
      </w:r>
    </w:p>
    <w:p>
      <w:pPr>
        <w:spacing w:after="80" w:before="80"/>
      </w:pPr>
      <w:r>
        <w:rPr>
          <w:rFonts w:ascii="Arial" w:cs="Arial" w:eastAsia="Arial" w:hAnsi="Arial"/>
          <w:sz w:val="22"/>
          <w:szCs w:val="22"/>
        </w:rPr>
        <w:t xml:space="preserve">1. Engineering decisions deserve evidence. Architecture has reviews; people decisions have feelings. We change that.</w:t>
      </w:r>
    </w:p>
    <w:p>
      <w:pPr>
        <w:spacing w:after="80" w:before="80"/>
      </w:pPr>
      <w:r>
        <w:rPr>
          <w:rFonts w:ascii="Arial" w:cs="Arial" w:eastAsia="Arial" w:hAnsi="Arial"/>
          <w:sz w:val="22"/>
          <w:szCs w:val="22"/>
        </w:rPr>
        <w:t xml:space="preserve">2. Resilience over productivity. A "high-output" team that loses one person and breaks isn't a high-output team.</w:t>
      </w:r>
    </w:p>
    <w:p>
      <w:pPr>
        <w:spacing w:after="80" w:before="80"/>
      </w:pPr>
      <w:r>
        <w:rPr>
          <w:rFonts w:ascii="Arial" w:cs="Arial" w:eastAsia="Arial" w:hAnsi="Arial"/>
          <w:sz w:val="22"/>
          <w:szCs w:val="22"/>
        </w:rPr>
        <w:t xml:space="preserve">3. Decisions, not verdicts. We give signal — humans decide.</w:t>
      </w:r>
    </w:p>
    <w:p>
      <w:pPr>
        <w:spacing w:after="80" w:before="80"/>
      </w:pPr>
      <w:r>
        <w:rPr>
          <w:rFonts w:ascii="Arial" w:cs="Arial" w:eastAsia="Arial" w:hAnsi="Arial"/>
          <w:sz w:val="22"/>
          <w:szCs w:val="22"/>
        </w:rPr>
        <w:t xml:space="preserve">4. Transparency tiers, not blanket exposure. What ICs see ≠ what managers see ≠ what leadership sees. By design.</w:t>
      </w:r>
    </w:p>
    <w:p>
      <w:pPr>
        <w:spacing w:after="80" w:before="80"/>
      </w:pPr>
      <w:r>
        <w:rPr>
          <w:rFonts w:ascii="Arial" w:cs="Arial" w:eastAsia="Arial" w:hAnsi="Arial"/>
          <w:sz w:val="22"/>
          <w:szCs w:val="22"/>
        </w:rPr>
        <w:t xml:space="preserve">5. Auditable by default. Every output traceable, versioned, reproducible. AI without accountability is liability.</w:t>
      </w:r>
    </w:p>
    <w:p>
      <w:pPr>
        <w:spacing w:after="80" w:before="80"/>
      </w:pPr>
      <w:r>
        <w:rPr>
          <w:rFonts w:ascii="Arial" w:cs="Arial" w:eastAsia="Arial" w:hAnsi="Arial"/>
          <w:sz w:val="22"/>
          <w:szCs w:val="22"/>
        </w:rPr>
        <w:t xml:space="preserve">6. Engineering-native, not HR-derived. We speak Git, not headcount.</w:t>
      </w:r>
    </w:p>
    <w:p>
      <w:pPr>
        <w:pStyle w:val="Heading2"/>
        <w:spacing w:after="120" w:before="240"/>
      </w:pPr>
      <w:r>
        <w:rPr>
          <w:rFonts w:ascii="Arial" w:cs="Arial" w:eastAsia="Arial" w:hAnsi="Arial"/>
          <w:b/>
          <w:bCs/>
          <w:color w:val="1F3A68"/>
          <w:sz w:val="28"/>
          <w:szCs w:val="28"/>
        </w:rPr>
        <w:t xml:space="preserve">1.5 Brand Voice</w:t>
      </w:r>
    </w:p>
    <w:p>
      <w:pPr>
        <w:spacing w:after="80" w:before="80"/>
      </w:pPr>
      <w:r>
        <w:rPr>
          <w:rFonts w:ascii="Arial" w:cs="Arial" w:eastAsia="Arial" w:hAnsi="Arial"/>
          <w:sz w:val="22"/>
          <w:szCs w:val="22"/>
        </w:rPr>
        <w:t xml:space="preserve">Confident, technical, defensively positioned. We speak the engineering vocabulary (PR, Bus Factor, SLO) rather than HR terminology (Headcount, Talent Pool). Resilience metaphors substitute for productivity metaphors. We are provocative on the hook level and precise in the explanation.</w:t>
      </w:r>
    </w:p>
    <w:p>
      <w:pPr>
        <w:pStyle w:val="Heading1"/>
        <w:pageBreakBefore/>
        <w:spacing w:after="240" w:before="240"/>
      </w:pPr>
      <w:r>
        <w:rPr>
          <w:rFonts w:ascii="Arial" w:cs="Arial" w:eastAsia="Arial" w:hAnsi="Arial"/>
          <w:b/>
          <w:bCs/>
          <w:color w:val="1F3A68"/>
          <w:sz w:val="36"/>
          <w:szCs w:val="36"/>
        </w:rPr>
        <w:t xml:space="preserve">2. Use Cases &amp; Personas</w:t>
      </w:r>
    </w:p>
    <w:p>
      <w:pPr>
        <w:spacing w:after="80" w:before="80"/>
      </w:pPr>
      <w:r>
        <w:rPr>
          <w:rFonts w:ascii="Arial" w:cs="Arial" w:eastAsia="Arial" w:hAnsi="Arial"/>
          <w:sz w:val="22"/>
          <w:szCs w:val="22"/>
        </w:rPr>
        <w:t xml:space="preserve">Engineering tooling fails when it tries to serve every persona equally. Keystone disciplines its persona stack into a Champion-Operator-Approver structure — preventing feature sprawl while letting day-to-day usage scale to many roles.</w:t>
      </w:r>
    </w:p>
    <w:p>
      <w:pPr>
        <w:pStyle w:val="Heading2"/>
        <w:spacing w:after="120" w:before="240"/>
      </w:pPr>
      <w:r>
        <w:rPr>
          <w:rFonts w:ascii="Arial" w:cs="Arial" w:eastAsia="Arial" w:hAnsi="Arial"/>
          <w:b/>
          <w:bCs/>
          <w:color w:val="1F3A68"/>
          <w:sz w:val="28"/>
          <w:szCs w:val="28"/>
        </w:rPr>
        <w:t xml:space="preserve">2.1 Persona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860"/>
        <w:gridCol w:w="2500"/>
      </w:tblGrid>
      <w:tr>
        <w:trPr>
          <w:tblHeader/>
        </w:trPr>
        <w:tc>
          <w:tcPr>
            <w:tcW w:type="dxa" w:w="23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Role</w:t>
            </w:r>
          </w:p>
        </w:tc>
        <w:tc>
          <w:tcPr>
            <w:tcW w:type="dxa" w:w="27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Function</w:t>
            </w:r>
          </w:p>
        </w:tc>
        <w:tc>
          <w:tcPr>
            <w:tcW w:type="dxa" w:w="18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Scope</w:t>
            </w:r>
          </w:p>
        </w:tc>
        <w:tc>
          <w:tcPr>
            <w:tcW w:type="dxa" w:w="25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Product Role</w:t>
            </w:r>
          </w:p>
        </w:tc>
      </w:tr>
      <w:tr>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VPE</w:t>
            </w:r>
          </w:p>
        </w:tc>
        <w:tc>
          <w:tcPr>
            <w:tcW w:type="dxa" w:w="27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Champion + Approver (Tier 3)</w:t>
            </w:r>
          </w:p>
        </w:tc>
        <w:tc>
          <w:tcPr>
            <w:tcW w:type="dxa" w:w="18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Org-wide</w:t>
            </w:r>
          </w:p>
        </w:tc>
        <w:tc>
          <w:tcPr>
            <w:tcW w:type="dxa" w:w="2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Budget; &lt;10-min onboarding</w:t>
            </w:r>
          </w:p>
        </w:tc>
      </w:tr>
      <w:tr>
        <w:tc>
          <w:tcPr>
            <w:tcW w:type="dxa" w:w="2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EM</w:t>
            </w:r>
          </w:p>
        </w:tc>
        <w:tc>
          <w:tcPr>
            <w:tcW w:type="dxa" w:w="27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Co-Champion + Daily User</w:t>
            </w:r>
          </w:p>
        </w:tc>
        <w:tc>
          <w:tcPr>
            <w:tcW w:type="dxa" w:w="18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Single-Team</w:t>
            </w:r>
          </w:p>
        </w:tc>
        <w:tc>
          <w:tcPr>
            <w:tcW w:type="dxa" w:w="2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Tier 1 daily; Tier 2 (Phase 2)</w:t>
            </w:r>
          </w:p>
        </w:tc>
      </w:tr>
      <w:tr>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Staff / Principal Eng</w:t>
            </w:r>
          </w:p>
        </w:tc>
        <w:tc>
          <w:tcPr>
            <w:tcW w:type="dxa" w:w="27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Operator + Power User</w:t>
            </w:r>
          </w:p>
        </w:tc>
        <w:tc>
          <w:tcPr>
            <w:tcW w:type="dxa" w:w="18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Topic / Cross-Team</w:t>
            </w:r>
          </w:p>
        </w:tc>
        <w:tc>
          <w:tcPr>
            <w:tcW w:type="dxa" w:w="2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Onboarding refinement, taxonomy curation</w:t>
            </w:r>
          </w:p>
        </w:tc>
      </w:tr>
      <w:tr>
        <w:tc>
          <w:tcPr>
            <w:tcW w:type="dxa" w:w="2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CTO</w:t>
            </w:r>
          </w:p>
        </w:tc>
        <w:tc>
          <w:tcPr>
            <w:tcW w:type="dxa" w:w="27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Economic Buyer / Sponsor</w:t>
            </w:r>
          </w:p>
        </w:tc>
        <w:tc>
          <w:tcPr>
            <w:tcW w:type="dxa" w:w="18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Org-wide</w:t>
            </w:r>
          </w:p>
        </w:tc>
        <w:tc>
          <w:tcPr>
            <w:tcW w:type="dxa" w:w="2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Strategic sponsor, ROI validator</w:t>
            </w:r>
          </w:p>
        </w:tc>
      </w:tr>
      <w:tr>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HRBP Tech</w:t>
            </w:r>
          </w:p>
        </w:tc>
        <w:tc>
          <w:tcPr>
            <w:tcW w:type="dxa" w:w="27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Co-Signer (NEW)</w:t>
            </w:r>
          </w:p>
        </w:tc>
        <w:tc>
          <w:tcPr>
            <w:tcW w:type="dxa" w:w="18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t>
            </w:r>
          </w:p>
        </w:tc>
        <w:tc>
          <w:tcPr>
            <w:tcW w:type="dxa" w:w="2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HR Read-only role; HR-Fast-Path artifact</w:t>
            </w:r>
          </w:p>
        </w:tc>
      </w:tr>
      <w:tr>
        <w:tc>
          <w:tcPr>
            <w:tcW w:type="dxa" w:w="2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People Ops / Legal</w:t>
            </w:r>
          </w:p>
        </w:tc>
        <w:tc>
          <w:tcPr>
            <w:tcW w:type="dxa" w:w="27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Compliance Gatekeeper</w:t>
            </w:r>
          </w:p>
        </w:tc>
        <w:tc>
          <w:tcPr>
            <w:tcW w:type="dxa" w:w="18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t>
            </w:r>
          </w:p>
        </w:tc>
        <w:tc>
          <w:tcPr>
            <w:tcW w:type="dxa" w:w="2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Cleared via pre-baked Trust Bundle</w:t>
            </w:r>
          </w:p>
        </w:tc>
      </w:tr>
    </w:tbl>
    <w:p>
      <w:r>
        <w:t xml:space="preserve"/>
      </w:r>
    </w:p>
    <w:p>
      <w:pPr>
        <w:spacing w:after="80" w:before="80"/>
      </w:pPr>
      <w:r>
        <w:rPr>
          <w:rFonts w:ascii="Arial" w:cs="Arial" w:eastAsia="Arial" w:hAnsi="Arial"/>
          <w:sz w:val="22"/>
          <w:szCs w:val="22"/>
        </w:rPr>
        <w:t xml:space="preserve">The strategic implication: VPE drives budget, EM drives daily adoption, Staff/Principal drives taxonomy quality. This separation solves the VPE-time-required friction: the VPE approves outputs in under 10 minutes rather than configuring the system.</w:t>
      </w:r>
    </w:p>
    <w:p>
      <w:pPr>
        <w:pStyle w:val="Heading2"/>
        <w:spacing w:after="120" w:before="240"/>
      </w:pPr>
      <w:r>
        <w:rPr>
          <w:rFonts w:ascii="Arial" w:cs="Arial" w:eastAsia="Arial" w:hAnsi="Arial"/>
          <w:b/>
          <w:bCs/>
          <w:color w:val="1F3A68"/>
          <w:sz w:val="28"/>
          <w:szCs w:val="28"/>
        </w:rPr>
        <w:t xml:space="preserve">2.2 HR Stance — Engineering-led, HR-co-signed</w:t>
      </w:r>
    </w:p>
    <w:p>
      <w:pPr>
        <w:spacing w:after="80" w:before="80"/>
      </w:pPr>
      <w:r>
        <w:rPr>
          <w:rFonts w:ascii="Arial" w:cs="Arial" w:eastAsia="Arial" w:hAnsi="Arial"/>
          <w:sz w:val="22"/>
          <w:szCs w:val="22"/>
        </w:rPr>
        <w:t xml:space="preserve">Earlier versions of this paper proposed "bypass HR" — engineering-only buying. After critique, this stance was revised: even with engineering as the primary buyer, customer-side HR and Legal will trigger compliance review on any tool touching personnel data. Bypassing them produces deal-stage surprises. The new stance: engineering-led on the buying side, HR-co-signed via a default HR Read-only role and an HR-Fast-Path-Artifact (one-page document addressing typical HR concerns). This pre-empts review without diluting the engineering-native brand.</w:t>
      </w:r>
    </w:p>
    <w:p>
      <w:pPr>
        <w:pStyle w:val="Heading2"/>
        <w:spacing w:after="120" w:before="240"/>
      </w:pPr>
      <w:r>
        <w:rPr>
          <w:rFonts w:ascii="Arial" w:cs="Arial" w:eastAsia="Arial" w:hAnsi="Arial"/>
          <w:b/>
          <w:bCs/>
          <w:color w:val="1F3A68"/>
          <w:sz w:val="28"/>
          <w:szCs w:val="28"/>
        </w:rPr>
        <w:t xml:space="preserve">2.3 Use Cases per Tier</w:t>
      </w:r>
    </w:p>
    <w:p>
      <w:pPr>
        <w:pStyle w:val="Heading3"/>
        <w:spacing w:after="80" w:before="200"/>
      </w:pPr>
      <w:r>
        <w:rPr>
          <w:rFonts w:ascii="Arial" w:cs="Arial" w:eastAsia="Arial" w:hAnsi="Arial"/>
          <w:b/>
          <w:bCs/>
          <w:color w:val="2E75B6"/>
          <w:sz w:val="24"/>
          <w:szCs w:val="24"/>
        </w:rPr>
        <w:t xml:space="preserve">Tier 1 — Map (MVP)</w:t>
      </w:r>
    </w:p>
    <w:p>
      <w:pPr>
        <w:pStyle w:val="ListParagraph"/>
        <w:numPr>
          <w:ilvl w:val="0"/>
          <w:numId w:val="2"/>
        </w:numPr>
        <w:spacing w:after="40" w:before="40"/>
      </w:pPr>
      <w:r>
        <w:rPr>
          <w:rFonts w:ascii="Arial" w:cs="Arial" w:eastAsia="Arial" w:hAnsi="Arial"/>
          <w:sz w:val="22"/>
          <w:szCs w:val="22"/>
        </w:rPr>
        <w:t xml:space="preserve">Bus-Factor-Audit — surface SPOFs before personnel cycles. PRIMARY WEDGE.</w:t>
      </w:r>
    </w:p>
    <w:p>
      <w:pPr>
        <w:pStyle w:val="ListParagraph"/>
        <w:numPr>
          <w:ilvl w:val="0"/>
          <w:numId w:val="2"/>
        </w:numPr>
        <w:spacing w:after="40" w:before="40"/>
      </w:pPr>
      <w:r>
        <w:rPr>
          <w:rFonts w:ascii="Arial" w:cs="Arial" w:eastAsia="Arial" w:hAnsi="Arial"/>
          <w:sz w:val="22"/>
          <w:szCs w:val="22"/>
        </w:rPr>
        <w:t xml:space="preserve">Knowledge Discovery — "Who knows X?" — secondary hook</w:t>
      </w:r>
    </w:p>
    <w:p>
      <w:pPr>
        <w:pStyle w:val="ListParagraph"/>
        <w:numPr>
          <w:ilvl w:val="0"/>
          <w:numId w:val="2"/>
        </w:numPr>
        <w:spacing w:after="40" w:before="40"/>
      </w:pPr>
      <w:r>
        <w:rPr>
          <w:rFonts w:ascii="Arial" w:cs="Arial" w:eastAsia="Arial" w:hAnsi="Arial"/>
          <w:sz w:val="22"/>
          <w:szCs w:val="22"/>
        </w:rPr>
        <w:t xml:space="preserve">Skill-Gap analysis for hiring (later)</w:t>
      </w:r>
    </w:p>
    <w:p>
      <w:pPr>
        <w:pStyle w:val="ListParagraph"/>
        <w:numPr>
          <w:ilvl w:val="0"/>
          <w:numId w:val="2"/>
        </w:numPr>
        <w:spacing w:after="40" w:before="40"/>
      </w:pPr>
      <w:r>
        <w:rPr>
          <w:rFonts w:ascii="Arial" w:cs="Arial" w:eastAsia="Arial" w:hAnsi="Arial"/>
          <w:sz w:val="22"/>
          <w:szCs w:val="22"/>
        </w:rPr>
        <w:t xml:space="preserve">Onboarding-Buddy-Matching (later)</w:t>
      </w:r>
    </w:p>
    <w:p>
      <w:pPr>
        <w:pStyle w:val="Heading3"/>
        <w:spacing w:after="80" w:before="200"/>
      </w:pPr>
      <w:r>
        <w:rPr>
          <w:rFonts w:ascii="Arial" w:cs="Arial" w:eastAsia="Arial" w:hAnsi="Arial"/>
          <w:b/>
          <w:bCs/>
          <w:color w:val="2E75B6"/>
          <w:sz w:val="24"/>
          <w:szCs w:val="24"/>
        </w:rPr>
        <w:t xml:space="preserve">Tier 2 — Pulse (Phase 2)</w:t>
      </w:r>
    </w:p>
    <w:p>
      <w:pPr>
        <w:pStyle w:val="ListParagraph"/>
        <w:numPr>
          <w:ilvl w:val="0"/>
          <w:numId w:val="2"/>
        </w:numPr>
        <w:spacing w:after="40" w:before="40"/>
      </w:pPr>
      <w:r>
        <w:rPr>
          <w:rFonts w:ascii="Arial" w:cs="Arial" w:eastAsia="Arial" w:hAnsi="Arial"/>
          <w:sz w:val="22"/>
          <w:szCs w:val="22"/>
        </w:rPr>
        <w:t xml:space="preserve">Burnout early-warning (anomalous activity patterns)</w:t>
      </w:r>
    </w:p>
    <w:p>
      <w:pPr>
        <w:pStyle w:val="ListParagraph"/>
        <w:numPr>
          <w:ilvl w:val="0"/>
          <w:numId w:val="2"/>
        </w:numPr>
        <w:spacing w:after="40" w:before="40"/>
      </w:pPr>
      <w:r>
        <w:rPr>
          <w:rFonts w:ascii="Arial" w:cs="Arial" w:eastAsia="Arial" w:hAnsi="Arial"/>
          <w:sz w:val="22"/>
          <w:szCs w:val="22"/>
        </w:rPr>
        <w:t xml:space="preserve">Sprint-realism check (capacity vs. plan)</w:t>
      </w:r>
    </w:p>
    <w:p>
      <w:pPr>
        <w:pStyle w:val="ListParagraph"/>
        <w:numPr>
          <w:ilvl w:val="0"/>
          <w:numId w:val="2"/>
        </w:numPr>
        <w:spacing w:after="40" w:before="40"/>
      </w:pPr>
      <w:r>
        <w:rPr>
          <w:rFonts w:ascii="Arial" w:cs="Arial" w:eastAsia="Arial" w:hAnsi="Arial"/>
          <w:sz w:val="22"/>
          <w:szCs w:val="22"/>
        </w:rPr>
        <w:t xml:space="preserve">Cross-team collaboration health</w:t>
      </w:r>
    </w:p>
    <w:p>
      <w:pPr>
        <w:pStyle w:val="ListParagraph"/>
        <w:numPr>
          <w:ilvl w:val="0"/>
          <w:numId w:val="2"/>
        </w:numPr>
        <w:spacing w:after="40" w:before="40"/>
      </w:pPr>
      <w:r>
        <w:rPr>
          <w:rFonts w:ascii="Arial" w:cs="Arial" w:eastAsia="Arial" w:hAnsi="Arial"/>
          <w:sz w:val="22"/>
          <w:szCs w:val="22"/>
        </w:rPr>
        <w:t xml:space="preserve">Quarterly team-health trends</w:t>
      </w:r>
    </w:p>
    <w:p>
      <w:pPr>
        <w:pStyle w:val="Heading3"/>
        <w:spacing w:after="80" w:before="200"/>
      </w:pPr>
      <w:r>
        <w:rPr>
          <w:rFonts w:ascii="Arial" w:cs="Arial" w:eastAsia="Arial" w:hAnsi="Arial"/>
          <w:b/>
          <w:bCs/>
          <w:color w:val="2E75B6"/>
          <w:sz w:val="24"/>
          <w:szCs w:val="24"/>
        </w:rPr>
        <w:t xml:space="preserve">Tier 3 — Decide (Phase 2)</w:t>
      </w:r>
    </w:p>
    <w:p>
      <w:pPr>
        <w:spacing w:after="80" w:before="80"/>
      </w:pPr>
      <w:r>
        <w:rPr>
          <w:rFonts w:ascii="Arial" w:cs="Arial" w:eastAsia="Arial" w:hAnsi="Arial"/>
          <w:sz w:val="22"/>
          <w:szCs w:val="22"/>
        </w:rPr>
        <w:t xml:space="preserve">Phase 2a (Month 9–12) — Reorg Discovery: surfaces which topics and initiatives are exposed when a person leaves. No composite RRC score; only topics-affected and confidence indicators. Reduces Mobley-v.-Workday-style legal exposure dramatically.</w:t>
      </w:r>
    </w:p>
    <w:p>
      <w:pPr>
        <w:spacing w:after="80" w:before="80"/>
      </w:pPr>
      <w:r>
        <w:rPr>
          <w:rFonts w:ascii="Arial" w:cs="Arial" w:eastAsia="Arial" w:hAnsi="Arial"/>
          <w:sz w:val="22"/>
          <w:szCs w:val="22"/>
        </w:rPr>
        <w:t xml:space="preserve">Phase 2b (Month 12–18, post-SOC 2 Type II + retrospective validation study on 3+ design partner data) — Full Reorg-Simulation with RRC score, roadmap-impact analysis, and confidence intervals.</w:t>
      </w:r>
    </w:p>
    <w:p>
      <w:pPr>
        <w:pStyle w:val="Heading2"/>
        <w:spacing w:after="120" w:before="240"/>
      </w:pPr>
      <w:r>
        <w:rPr>
          <w:rFonts w:ascii="Arial" w:cs="Arial" w:eastAsia="Arial" w:hAnsi="Arial"/>
          <w:b/>
          <w:bCs/>
          <w:color w:val="1F3A68"/>
          <w:sz w:val="28"/>
          <w:szCs w:val="28"/>
        </w:rPr>
        <w:t xml:space="preserve">2.4 Anti-Use-Cases (what we deliberately DON'T do)</w:t>
      </w:r>
    </w:p>
    <w:p>
      <w:pPr>
        <w:pStyle w:val="ListParagraph"/>
        <w:numPr>
          <w:ilvl w:val="0"/>
          <w:numId w:val="2"/>
        </w:numPr>
        <w:spacing w:after="40" w:before="40"/>
      </w:pPr>
      <w:r>
        <w:rPr>
          <w:rFonts w:ascii="Arial" w:cs="Arial" w:eastAsia="Arial" w:hAnsi="Arial"/>
          <w:sz w:val="22"/>
          <w:szCs w:val="22"/>
        </w:rPr>
        <w:t xml:space="preserve">Real-time surveillance of individual employees</w:t>
      </w:r>
    </w:p>
    <w:p>
      <w:pPr>
        <w:pStyle w:val="ListParagraph"/>
        <w:numPr>
          <w:ilvl w:val="0"/>
          <w:numId w:val="2"/>
        </w:numPr>
        <w:spacing w:after="40" w:before="40"/>
      </w:pPr>
      <w:r>
        <w:rPr>
          <w:rFonts w:ascii="Arial" w:cs="Arial" w:eastAsia="Arial" w:hAnsi="Arial"/>
          <w:sz w:val="22"/>
          <w:szCs w:val="22"/>
        </w:rPr>
        <w:t xml:space="preserve">Automated fire/promote/hire recommendations without human-in-the-loop</w:t>
      </w:r>
    </w:p>
    <w:p>
      <w:pPr>
        <w:pStyle w:val="ListParagraph"/>
        <w:numPr>
          <w:ilvl w:val="0"/>
          <w:numId w:val="2"/>
        </w:numPr>
        <w:spacing w:after="40" w:before="40"/>
      </w:pPr>
      <w:r>
        <w:rPr>
          <w:rFonts w:ascii="Arial" w:cs="Arial" w:eastAsia="Arial" w:hAnsi="Arial"/>
          <w:sz w:val="22"/>
          <w:szCs w:val="22"/>
        </w:rPr>
        <w:t xml:space="preserve">1:1 ranking comparisons for ICs</w:t>
      </w:r>
    </w:p>
    <w:p>
      <w:pPr>
        <w:pStyle w:val="ListParagraph"/>
        <w:numPr>
          <w:ilvl w:val="0"/>
          <w:numId w:val="2"/>
        </w:numPr>
        <w:spacing w:after="40" w:before="40"/>
      </w:pPr>
      <w:r>
        <w:rPr>
          <w:rFonts w:ascii="Arial" w:cs="Arial" w:eastAsia="Arial" w:hAnsi="Arial"/>
          <w:sz w:val="22"/>
          <w:szCs w:val="22"/>
        </w:rPr>
        <w:t xml:space="preserve">IC-visible Tier 3 outputs</w:t>
      </w:r>
    </w:p>
    <w:p>
      <w:pPr>
        <w:pStyle w:val="ListParagraph"/>
        <w:numPr>
          <w:ilvl w:val="0"/>
          <w:numId w:val="2"/>
        </w:numPr>
        <w:spacing w:after="40" w:before="40"/>
      </w:pPr>
      <w:r>
        <w:rPr>
          <w:rFonts w:ascii="Arial" w:cs="Arial" w:eastAsia="Arial" w:hAnsi="Arial"/>
          <w:sz w:val="22"/>
          <w:szCs w:val="22"/>
        </w:rPr>
        <w:t xml:space="preserve">HR workflows (PIPs, comp reviews, performance calibration)</w:t>
      </w:r>
    </w:p>
    <w:p>
      <w:pPr>
        <w:pStyle w:val="ListParagraph"/>
        <w:numPr>
          <w:ilvl w:val="0"/>
          <w:numId w:val="2"/>
        </w:numPr>
        <w:spacing w:after="40" w:before="40"/>
      </w:pPr>
      <w:r>
        <w:rPr>
          <w:rFonts w:ascii="Arial" w:cs="Arial" w:eastAsia="Arial" w:hAnsi="Arial"/>
          <w:sz w:val="22"/>
          <w:szCs w:val="22"/>
        </w:rPr>
        <w:t xml:space="preserve">Numeric "Replaceability Scores" before SOC 2 Type II + retrospective bias validation</w:t>
      </w:r>
    </w:p>
    <w:p>
      <w:pPr>
        <w:pStyle w:val="Heading1"/>
        <w:pageBreakBefore/>
        <w:spacing w:after="240" w:before="240"/>
      </w:pPr>
      <w:r>
        <w:rPr>
          <w:rFonts w:ascii="Arial" w:cs="Arial" w:eastAsia="Arial" w:hAnsi="Arial"/>
          <w:b/>
          <w:bCs/>
          <w:color w:val="1F3A68"/>
          <w:sz w:val="36"/>
          <w:szCs w:val="36"/>
        </w:rPr>
        <w:t xml:space="preserve">3. Metrics &amp; Signals</w:t>
      </w:r>
    </w:p>
    <w:p>
      <w:pPr>
        <w:spacing w:after="80" w:before="80"/>
      </w:pPr>
      <w:r>
        <w:rPr>
          <w:rFonts w:ascii="Arial" w:cs="Arial" w:eastAsia="Arial" w:hAnsi="Arial"/>
          <w:sz w:val="22"/>
          <w:szCs w:val="22"/>
        </w:rPr>
        <w:t xml:space="preserve">Keystone's metric architecture is governed by two hard constraints: the MVP use cases (Knowledge Discovery, Bus-Factor-Audit) and the compliance regime (production demographics-blind, anti-gaming composites, adverse-impact-tested, audit-trailed).</w:t>
      </w:r>
    </w:p>
    <w:p>
      <w:pPr>
        <w:pStyle w:val="Heading2"/>
        <w:spacing w:after="120" w:before="240"/>
      </w:pPr>
      <w:r>
        <w:rPr>
          <w:rFonts w:ascii="Arial" w:cs="Arial" w:eastAsia="Arial" w:hAnsi="Arial"/>
          <w:b/>
          <w:bCs/>
          <w:color w:val="1F3A68"/>
          <w:sz w:val="28"/>
          <w:szCs w:val="28"/>
        </w:rPr>
        <w:t xml:space="preserve">3.1 Data Sources</w:t>
      </w:r>
    </w:p>
    <w:p>
      <w:pPr>
        <w:spacing w:after="80" w:before="80"/>
      </w:pPr>
      <w:r>
        <w:rPr>
          <w:rFonts w:ascii="Arial" w:cs="Arial" w:eastAsia="Arial" w:hAnsi="Arial"/>
          <w:sz w:val="22"/>
          <w:szCs w:val="22"/>
        </w:rPr>
        <w:t xml:space="preserve">Keystone ingests from four primary sources in the MVP — GitHub (commits, PR authorship, PR reviews, code owners, file-touch history), Jira (assignee, components, story-point velocity, status transitions), Slack (channel membership, substantive thread participation, mentions), and Confluence in Phase 1b (authored docs, edits, tag memberships). Calendar integration is optional in Phase 2.</w:t>
      </w:r>
    </w:p>
    <w:p>
      <w:pPr>
        <w:spacing w:after="80" w:before="80"/>
      </w:pPr>
      <w:r>
        <w:rPr>
          <w:rFonts w:ascii="Arial" w:cs="Arial" w:eastAsia="Arial" w:hAnsi="Arial"/>
          <w:sz w:val="22"/>
          <w:szCs w:val="22"/>
        </w:rPr>
        <w:t xml:space="preserve">From these raw signals, the Hybrid Classifier (see Chapter 4) produces the fundamental data unit: a (Person, Topic, Activity-Type, Strength, Timestamp, Source) tuple. Every metric below derives from these tuples.</w:t>
      </w:r>
    </w:p>
    <w:p>
      <w:pPr>
        <w:pStyle w:val="Heading2"/>
        <w:spacing w:after="120" w:before="240"/>
      </w:pPr>
      <w:r>
        <w:rPr>
          <w:rFonts w:ascii="Arial" w:cs="Arial" w:eastAsia="Arial" w:hAnsi="Arial"/>
          <w:b/>
          <w:bCs/>
          <w:color w:val="1F3A68"/>
          <w:sz w:val="28"/>
          <w:szCs w:val="28"/>
        </w:rPr>
        <w:t xml:space="preserve">3.2 Core Metrics — MVP</w:t>
      </w:r>
    </w:p>
    <w:p>
      <w:pPr>
        <w:pStyle w:val="Heading3"/>
        <w:spacing w:after="80" w:before="200"/>
      </w:pPr>
      <w:r>
        <w:rPr>
          <w:rFonts w:ascii="Arial" w:cs="Arial" w:eastAsia="Arial" w:hAnsi="Arial"/>
          <w:b/>
          <w:bCs/>
          <w:color w:val="2E75B6"/>
          <w:sz w:val="24"/>
          <w:szCs w:val="24"/>
        </w:rPr>
        <w:t xml:space="preserve">Topic Authority Score (TAS) — for Knowledge Discovery</w:t>
      </w:r>
    </w:p>
    <w:p>
      <w:pPr>
        <w:spacing w:after="80" w:before="80"/>
      </w:pPr>
      <w:r>
        <w:rPr>
          <w:rFonts w:ascii="Arial" w:cs="Arial" w:eastAsia="Arial" w:hAnsi="Arial"/>
          <w:sz w:val="22"/>
          <w:szCs w:val="22"/>
        </w:rPr>
        <w:t xml:space="preserve">TAS scores how much authority a person has over a topic, based on a weighted sum of activities. Action-type weights are deliberately balanced to avoid the code-heavy bias that would penalize Tech Leads, architects, and 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Action Type</w:t>
            </w:r>
          </w:p>
        </w:tc>
        <w:tc>
          <w:tcPr>
            <w:tcW w:type="dxa" w:w="30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Weight</w:t>
            </w:r>
          </w:p>
        </w:tc>
      </w:tr>
      <w:tr>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Doc / RFC Authorship</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1.00</w:t>
            </w:r>
          </w:p>
        </w:tc>
      </w:tr>
      <w:tr>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Code Authorship in topic-files</w:t>
            </w:r>
          </w:p>
        </w:tc>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0.85</w:t>
            </w:r>
          </w:p>
        </w:tc>
      </w:tr>
      <w:tr>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Jira Ticket Ownership (closed)</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0.65</w:t>
            </w:r>
          </w:p>
        </w:tc>
      </w:tr>
      <w:tr>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PR Review (substantive)</w:t>
            </w:r>
          </w:p>
        </w:tc>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0.50</w:t>
            </w:r>
          </w:p>
        </w:tc>
      </w:tr>
      <w:tr>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Slack Thread (substantive)</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0.20</w:t>
            </w:r>
          </w:p>
        </w:tc>
      </w:tr>
    </w:tbl>
    <w:p>
      <w:r>
        <w:t xml:space="preserve"/>
      </w:r>
    </w:p>
    <w:p>
      <w:pPr>
        <w:spacing w:after="80" w:before="80"/>
      </w:pPr>
      <w:r>
        <w:rPr>
          <w:rFonts w:ascii="Arial" w:cs="Arial" w:eastAsia="Arial" w:hAnsi="Arial"/>
          <w:sz w:val="22"/>
          <w:szCs w:val="22"/>
        </w:rPr>
        <w:t xml:space="preserve">A half-yearly recency decay applies. Output: ranked authority list per topic, plus "warm contacts" for secondary expertise.</w:t>
      </w:r>
    </w:p>
    <w:p>
      <w:pPr>
        <w:pStyle w:val="Heading3"/>
        <w:spacing w:after="80" w:before="200"/>
      </w:pPr>
      <w:r>
        <w:rPr>
          <w:rFonts w:ascii="Arial" w:cs="Arial" w:eastAsia="Arial" w:hAnsi="Arial"/>
          <w:b/>
          <w:bCs/>
          <w:color w:val="2E75B6"/>
          <w:sz w:val="24"/>
          <w:szCs w:val="24"/>
        </w:rPr>
        <w:t xml:space="preserve">Bus Factor (BF) and Knowledge Centrality Score (KCS) — for Bus-Factor-Audit</w:t>
      </w:r>
    </w:p>
    <w:p>
      <w:pPr>
        <w:spacing w:after="80" w:before="80"/>
      </w:pPr>
      <w:r>
        <w:rPr>
          <w:rFonts w:ascii="Arial" w:cs="Arial" w:eastAsia="Arial" w:hAnsi="Arial"/>
          <w:sz w:val="22"/>
          <w:szCs w:val="22"/>
        </w:rPr>
        <w:t xml:space="preserve">Bus Factor per topic counts the people whose TAS exceeds a topic-specific critical threshold. KCS aggregates per person — how many topics is this person the only or secondary owner of, weighted by Topic Criticality.</w:t>
      </w:r>
    </w:p>
    <w:p>
      <w:pPr>
        <w:spacing w:after="80" w:before="80"/>
      </w:pPr>
      <w:r>
        <w:rPr>
          <w:rFonts w:ascii="Arial" w:cs="Arial" w:eastAsia="Arial" w:hAnsi="Arial"/>
          <w:sz w:val="22"/>
          <w:szCs w:val="22"/>
        </w:rPr>
        <w:t xml:space="preserve">Topic Criticality (TC) is initially a manual VPE flag during onboarding (top 10–20 topics marked critical). This avoids false-positive alarms on low-impact topics. Later phases evolve to auto-detection from roadmap data and service traffic.</w:t>
      </w:r>
    </w:p>
    <w:p>
      <w:pPr>
        <w:pStyle w:val="Heading2"/>
        <w:spacing w:after="120" w:before="240"/>
      </w:pPr>
      <w:r>
        <w:rPr>
          <w:rFonts w:ascii="Arial" w:cs="Arial" w:eastAsia="Arial" w:hAnsi="Arial"/>
          <w:b/>
          <w:bCs/>
          <w:color w:val="1F3A68"/>
          <w:sz w:val="28"/>
          <w:szCs w:val="28"/>
        </w:rPr>
        <w:t xml:space="preserve">3.3 Reorg Discovery and Full RRC (Phase 2)</w:t>
      </w:r>
    </w:p>
    <w:p>
      <w:pPr>
        <w:spacing w:after="80" w:before="80"/>
      </w:pPr>
      <w:r>
        <w:rPr>
          <w:rFonts w:ascii="Arial" w:cs="Arial" w:eastAsia="Arial" w:hAnsi="Arial"/>
          <w:sz w:val="22"/>
          <w:szCs w:val="22"/>
        </w:rPr>
        <w:t xml:space="preserve">The Reorg metric stack splits into two phases. Phase 2a is Reorg Discovery: surfaces which topics and initiatives are exposed when a set of people leaves, without producing a composite score. Phase 2b is Full Resilience-on-Removal Composite (RRC) with numeric output and confidence intervals — gated on SOC 2 Type II and a retrospective validation study on at least three design-partner datasets.</w:t>
      </w:r>
    </w:p>
    <w:p>
      <w:pPr>
        <w:pStyle w:val="Heading2"/>
        <w:spacing w:after="120" w:before="240"/>
      </w:pPr>
      <w:r>
        <w:rPr>
          <w:rFonts w:ascii="Arial" w:cs="Arial" w:eastAsia="Arial" w:hAnsi="Arial"/>
          <w:b/>
          <w:bCs/>
          <w:color w:val="1F3A68"/>
          <w:sz w:val="28"/>
          <w:szCs w:val="28"/>
        </w:rPr>
        <w:t xml:space="preserve">3.4 Anti-Gaming Mechanics</w:t>
      </w:r>
    </w:p>
    <w:p>
      <w:pPr>
        <w:pStyle w:val="ListParagraph"/>
        <w:numPr>
          <w:ilvl w:val="0"/>
          <w:numId w:val="2"/>
        </w:numPr>
        <w:spacing w:after="40" w:before="40"/>
      </w:pPr>
      <w:r>
        <w:rPr>
          <w:rFonts w:ascii="Arial" w:cs="Arial" w:eastAsia="Arial" w:hAnsi="Arial"/>
          <w:sz w:val="22"/>
          <w:szCs w:val="22"/>
        </w:rPr>
        <w:t xml:space="preserve">No raw counts exposed — only composites in UI; weights versioned</w:t>
      </w:r>
    </w:p>
    <w:p>
      <w:pPr>
        <w:pStyle w:val="ListParagraph"/>
        <w:numPr>
          <w:ilvl w:val="0"/>
          <w:numId w:val="2"/>
        </w:numPr>
        <w:spacing w:after="40" w:before="40"/>
      </w:pPr>
      <w:r>
        <w:rPr>
          <w:rFonts w:ascii="Arial" w:cs="Arial" w:eastAsia="Arial" w:hAnsi="Arial"/>
          <w:sz w:val="22"/>
          <w:szCs w:val="22"/>
        </w:rPr>
        <w:t xml:space="preserve">Substantive filter — Slack thread "substantive" = &gt;1 sentence; reactions don't count; "lgtm" reviews don't count</w:t>
      </w:r>
    </w:p>
    <w:p>
      <w:pPr>
        <w:pStyle w:val="ListParagraph"/>
        <w:numPr>
          <w:ilvl w:val="0"/>
          <w:numId w:val="2"/>
        </w:numPr>
        <w:spacing w:after="40" w:before="40"/>
      </w:pPr>
      <w:r>
        <w:rPr>
          <w:rFonts w:ascii="Arial" w:cs="Arial" w:eastAsia="Arial" w:hAnsi="Arial"/>
          <w:sz w:val="22"/>
          <w:szCs w:val="22"/>
        </w:rPr>
        <w:t xml:space="preserve">LLM plausibility cross-check — anomaly detector flags output spikes, Slack spam, sock-puppet PRs</w:t>
      </w:r>
    </w:p>
    <w:p>
      <w:pPr>
        <w:pStyle w:val="ListParagraph"/>
        <w:numPr>
          <w:ilvl w:val="0"/>
          <w:numId w:val="2"/>
        </w:numPr>
        <w:spacing w:after="40" w:before="40"/>
      </w:pPr>
      <w:r>
        <w:rPr>
          <w:rFonts w:ascii="Arial" w:cs="Arial" w:eastAsia="Arial" w:hAnsi="Arial"/>
          <w:sz w:val="22"/>
          <w:szCs w:val="22"/>
        </w:rPr>
        <w:t xml:space="preserve">Versioned weights — composite weights versioned per model release; historical re-computability</w:t>
      </w:r>
    </w:p>
    <w:p>
      <w:pPr>
        <w:pStyle w:val="ListParagraph"/>
        <w:numPr>
          <w:ilvl w:val="0"/>
          <w:numId w:val="2"/>
        </w:numPr>
        <w:spacing w:after="40" w:before="40"/>
      </w:pPr>
      <w:r>
        <w:rPr>
          <w:rFonts w:ascii="Arial" w:cs="Arial" w:eastAsia="Arial" w:hAnsi="Arial"/>
          <w:sz w:val="22"/>
          <w:szCs w:val="22"/>
        </w:rPr>
        <w:t xml:space="preserve">Adverse-impact tested — every composite definition runs against synthetic test sets pre-release</w:t>
      </w:r>
    </w:p>
    <w:p>
      <w:pPr>
        <w:pStyle w:val="Heading2"/>
        <w:spacing w:after="120" w:before="240"/>
      </w:pPr>
      <w:r>
        <w:rPr>
          <w:rFonts w:ascii="Arial" w:cs="Arial" w:eastAsia="Arial" w:hAnsi="Arial"/>
          <w:b/>
          <w:bCs/>
          <w:color w:val="1F3A68"/>
          <w:sz w:val="28"/>
          <w:szCs w:val="28"/>
        </w:rPr>
        <w:t xml:space="preserve">3.5 Confidence and Coverage Indicators</w:t>
      </w:r>
    </w:p>
    <w:p>
      <w:pPr>
        <w:spacing w:after="80" w:before="80"/>
      </w:pPr>
      <w:r>
        <w:rPr>
          <w:rFonts w:ascii="Arial" w:cs="Arial" w:eastAsia="Arial" w:hAnsi="Arial"/>
          <w:sz w:val="22"/>
          <w:szCs w:val="22"/>
        </w:rPr>
        <w:t xml:space="preserve">Every metric ships with two companion values: a Confidence Level (Low/Medium/High) based on data volume, recency, and connected sources; and a Coverage Indicator (e.g., "3 of 5 connected sources, 90 days of data, 247 activities classified").</w:t>
      </w:r>
    </w:p>
    <w:p>
      <w:pPr>
        <w:spacing w:after="80" w:before="80"/>
      </w:pPr>
      <w:r>
        <w:rPr>
          <w:rFonts w:ascii="Arial" w:cs="Arial" w:eastAsia="Arial" w:hAnsi="Arial"/>
          <w:sz w:val="22"/>
          <w:szCs w:val="22"/>
        </w:rPr>
        <w:t xml:space="preserve">Below minimum confidence, output is technically unavailable — not just badged. This protects against decisions on thin data and is a compliance anchor.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3000"/>
      </w:tblGrid>
      <w:tr>
        <w:trPr>
          <w:tblHeader/>
        </w:trPr>
        <w:tc>
          <w:tcPr>
            <w:tcW w:type="dxa" w:w="35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Metric</w:t>
            </w:r>
          </w:p>
        </w:tc>
        <w:tc>
          <w:tcPr>
            <w:tcW w:type="dxa" w:w="18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Min Confidence</w:t>
            </w:r>
          </w:p>
        </w:tc>
        <w:tc>
          <w:tcPr>
            <w:tcW w:type="dxa" w:w="30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Min Coverage</w:t>
            </w:r>
          </w:p>
        </w:tc>
      </w:tr>
      <w:tr>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TAS (Knowledge Discovery, MVP)</w:t>
            </w:r>
          </w:p>
        </w:tc>
        <w:tc>
          <w:tcPr>
            <w:tcW w:type="dxa" w:w="18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Medium</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30 days, ≥2 sources</w:t>
            </w:r>
          </w:p>
        </w:tc>
      </w:tr>
      <w:tr>
        <w:tc>
          <w:tcPr>
            <w:tcW w:type="dxa" w:w="3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BF / KCS (Bus Factor, MVP)</w:t>
            </w:r>
          </w:p>
        </w:tc>
        <w:tc>
          <w:tcPr>
            <w:tcW w:type="dxa" w:w="18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Medium</w:t>
            </w:r>
          </w:p>
        </w:tc>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60 days, ≥2 sources</w:t>
            </w:r>
          </w:p>
        </w:tc>
      </w:tr>
      <w:tr>
        <w:tc>
          <w:tcPr>
            <w:tcW w:type="dxa" w:w="3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Topic-Exposure-Map (Reorg Discovery, Phase 2a)</w:t>
            </w:r>
          </w:p>
        </w:tc>
        <w:tc>
          <w:tcPr>
            <w:tcW w:type="dxa" w:w="18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High</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90 days, ≥2 sources, TC flags</w:t>
            </w:r>
          </w:p>
        </w:tc>
      </w:tr>
      <w:tr>
        <w:tc>
          <w:tcPr>
            <w:tcW w:type="dxa" w:w="3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RRC (Full Reorg-Sim, Phase 2b)</w:t>
            </w:r>
          </w:p>
        </w:tc>
        <w:tc>
          <w:tcPr>
            <w:tcW w:type="dxa" w:w="18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Very High</w:t>
            </w:r>
          </w:p>
        </w:tc>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180 days, ≥3 sources, retrospective validation</w:t>
            </w:r>
          </w:p>
        </w:tc>
      </w:tr>
    </w:tbl>
    <w:p>
      <w:pPr>
        <w:pStyle w:val="Heading1"/>
        <w:pageBreakBefore/>
        <w:spacing w:after="240" w:before="240"/>
      </w:pPr>
      <w:r>
        <w:rPr>
          <w:rFonts w:ascii="Arial" w:cs="Arial" w:eastAsia="Arial" w:hAnsi="Arial"/>
          <w:b/>
          <w:bCs/>
          <w:color w:val="1F3A68"/>
          <w:sz w:val="36"/>
          <w:szCs w:val="36"/>
        </w:rPr>
        <w:t xml:space="preserve">4. Classifier &amp; Data Model</w:t>
      </w:r>
    </w:p>
    <w:p>
      <w:pPr>
        <w:spacing w:after="80" w:before="80"/>
      </w:pPr>
      <w:r>
        <w:rPr>
          <w:rFonts w:ascii="Arial" w:cs="Arial" w:eastAsia="Arial" w:hAnsi="Arial"/>
          <w:sz w:val="22"/>
          <w:szCs w:val="22"/>
        </w:rPr>
        <w:t xml:space="preserve">The classifier is the heart of the product. If topic classifications are bad, every downstream metric is bad. Keystone uses a hybrid approach across three layers: a public versioned base taxonomy, a customer-specific embedding layer, and human-in-the-loop refinement.</w:t>
      </w:r>
    </w:p>
    <w:p>
      <w:pPr>
        <w:pStyle w:val="Heading2"/>
        <w:spacing w:after="120" w:before="240"/>
      </w:pPr>
      <w:r>
        <w:rPr>
          <w:rFonts w:ascii="Arial" w:cs="Arial" w:eastAsia="Arial" w:hAnsi="Arial"/>
          <w:b/>
          <w:bCs/>
          <w:color w:val="1F3A68"/>
          <w:sz w:val="28"/>
          <w:szCs w:val="28"/>
        </w:rPr>
        <w:t xml:space="preserve">4.1 Three-Layer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Layer</w:t>
            </w:r>
          </w:p>
        </w:tc>
        <w:tc>
          <w:tcPr>
            <w:tcW w:type="dxa" w:w="33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Function</w:t>
            </w:r>
          </w:p>
        </w:tc>
        <w:tc>
          <w:tcPr>
            <w:tcW w:type="dxa" w:w="30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Maintained by</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Base Taxonomy</w:t>
            </w:r>
          </w:p>
        </w:tc>
        <w:tc>
          <w:tcPr>
            <w:tcW w:type="dxa" w:w="3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Universal tech skills, frameworks, domains</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Keystone — quarterly, public versioned</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Customer Embedding Layer</w:t>
            </w:r>
          </w:p>
        </w:tc>
        <w:tc>
          <w:tcPr>
            <w:tcW w:type="dxa" w:w="3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Firm-specific clusters from repos / tickets / docs</w:t>
            </w:r>
          </w:p>
        </w:tc>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Auto-onboarding</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Human-in-the-Loop Refinement</w:t>
            </w:r>
          </w:p>
        </w:tc>
        <w:tc>
          <w:tcPr>
            <w:tcW w:type="dxa" w:w="3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Confirm / rename / merge / criticality-flag</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Staff/Principal Eng (Operator), VPE approves</w:t>
            </w:r>
          </w:p>
        </w:tc>
      </w:tr>
    </w:tbl>
    <w:p>
      <w:r>
        <w:t xml:space="preserve"/>
      </w:r>
    </w:p>
    <w:p>
      <w:pPr>
        <w:spacing w:after="80" w:before="80"/>
      </w:pPr>
      <w:r>
        <w:rPr>
          <w:rFonts w:ascii="Arial" w:cs="Arial" w:eastAsia="Arial" w:hAnsi="Arial"/>
          <w:sz w:val="22"/>
          <w:szCs w:val="22"/>
        </w:rPr>
        <w:t xml:space="preserve">The Base Taxonomy contains roughly 500 nodes initially across five dimensions — languages, frameworks, data/infrastructure, concepts, and practices. It is maintained by Keystone and published with version numbers, similar to how NIST publishes its frameworks. This transparency is a trust marker and enables external audits.</w:t>
      </w:r>
    </w:p>
    <w:p>
      <w:pPr>
        <w:pStyle w:val="Heading2"/>
        <w:spacing w:after="120" w:before="240"/>
      </w:pPr>
      <w:r>
        <w:rPr>
          <w:rFonts w:ascii="Arial" w:cs="Arial" w:eastAsia="Arial" w:hAnsi="Arial"/>
          <w:b/>
          <w:bCs/>
          <w:color w:val="1F3A68"/>
          <w:sz w:val="28"/>
          <w:szCs w:val="28"/>
        </w:rPr>
        <w:t xml:space="preserve">4.2 Onboarding Flow — Operator/Approver Separation</w:t>
      </w:r>
    </w:p>
    <w:p>
      <w:pPr>
        <w:spacing w:after="80" w:before="80"/>
      </w:pPr>
      <w:r>
        <w:rPr>
          <w:rFonts w:ascii="Arial" w:cs="Arial" w:eastAsia="Arial" w:hAnsi="Arial"/>
          <w:sz w:val="22"/>
          <w:szCs w:val="22"/>
        </w:rPr>
        <w:t xml:space="preserve">Earlier versions of this paper required a 30-minute VPE refinement call. Critique correctly noted that VPEs at Series B+ orgs do not have that time. The redesigned flow separates the Operator role (Staff/Principal Engineer, ~60–90 minutes async) from the Approver role (VPE, &lt;10 minutes):</w:t>
      </w:r>
    </w:p>
    <w:p>
      <w:pPr>
        <w:pStyle w:val="ListParagraph"/>
        <w:numPr>
          <w:ilvl w:val="0"/>
          <w:numId w:val="2"/>
        </w:numPr>
        <w:spacing w:after="40" w:before="40"/>
      </w:pPr>
      <w:r>
        <w:rPr>
          <w:rFonts w:ascii="Arial" w:cs="Arial" w:eastAsia="Arial" w:hAnsi="Arial"/>
          <w:sz w:val="22"/>
          <w:szCs w:val="22"/>
        </w:rPr>
        <w:t xml:space="preserve">Day 0 — Connect MCP connectors: GitHub + Jira + Slack (MVP)</w:t>
      </w:r>
    </w:p>
    <w:p>
      <w:pPr>
        <w:pStyle w:val="ListParagraph"/>
        <w:numPr>
          <w:ilvl w:val="0"/>
          <w:numId w:val="2"/>
        </w:numPr>
        <w:spacing w:after="40" w:before="40"/>
      </w:pPr>
      <w:r>
        <w:rPr>
          <w:rFonts w:ascii="Arial" w:cs="Arial" w:eastAsia="Arial" w:hAnsi="Arial"/>
          <w:sz w:val="22"/>
          <w:szCs w:val="22"/>
        </w:rPr>
        <w:t xml:space="preserve">Days 0–2 — Auto-bootstrap: pull 90–180 days, embed, cluster (HDBSCAN), LLM names clusters and pre-classifies criticality</w:t>
      </w:r>
    </w:p>
    <w:p>
      <w:pPr>
        <w:pStyle w:val="ListParagraph"/>
        <w:numPr>
          <w:ilvl w:val="0"/>
          <w:numId w:val="2"/>
        </w:numPr>
        <w:spacing w:after="40" w:before="40"/>
      </w:pPr>
      <w:r>
        <w:rPr>
          <w:rFonts w:ascii="Arial" w:cs="Arial" w:eastAsia="Arial" w:hAnsi="Arial"/>
          <w:sz w:val="22"/>
          <w:szCs w:val="22"/>
        </w:rPr>
        <w:t xml:space="preserve">Days 3–5 — Operator refinement: Staff/Principal reviews cluster naming, merges/splits/renames, adjusts criticality flags</w:t>
      </w:r>
    </w:p>
    <w:p>
      <w:pPr>
        <w:pStyle w:val="ListParagraph"/>
        <w:numPr>
          <w:ilvl w:val="0"/>
          <w:numId w:val="2"/>
        </w:numPr>
        <w:spacing w:after="40" w:before="40"/>
      </w:pPr>
      <w:r>
        <w:rPr>
          <w:rFonts w:ascii="Arial" w:cs="Arial" w:eastAsia="Arial" w:hAnsi="Arial"/>
          <w:sz w:val="22"/>
          <w:szCs w:val="22"/>
        </w:rPr>
        <w:t xml:space="preserve">Days 5–7 — VPE approval: confirms Top-10 critical-topic flags (LLM-pre-classified, Operator-pre-validated)</w:t>
      </w:r>
    </w:p>
    <w:p>
      <w:pPr>
        <w:pStyle w:val="ListParagraph"/>
        <w:numPr>
          <w:ilvl w:val="0"/>
          <w:numId w:val="2"/>
        </w:numPr>
        <w:spacing w:after="40" w:before="40"/>
      </w:pPr>
      <w:r>
        <w:rPr>
          <w:rFonts w:ascii="Arial" w:cs="Arial" w:eastAsia="Arial" w:hAnsi="Arial"/>
          <w:sz w:val="22"/>
          <w:szCs w:val="22"/>
        </w:rPr>
        <w:t xml:space="preserve">Day 7+ — Live: real-time classification, HIL refinement loop, quarterly drift review</w:t>
      </w:r>
    </w:p>
    <w:p>
      <w:r>
        <w:t xml:space="preserve"/>
      </w:r>
    </w:p>
    <w:p>
      <w:pPr>
        <w:spacing w:after="80" w:before="80"/>
      </w:pPr>
      <w:r>
        <w:rPr>
          <w:rFonts w:ascii="Arial" w:cs="Arial" w:eastAsia="Arial" w:hAnsi="Arial"/>
          <w:sz w:val="22"/>
          <w:szCs w:val="22"/>
        </w:rPr>
        <w:t xml:space="preserve">The HIL refinement loop is not just a UX detail — it is the primary moat-builder. Every misclassification report from EMs and Staff Engineers feeds back into the customer-specific taxonomy, compounding accuracy and switching cost over the customer lifetime (see Chapter 7).</w:t>
      </w:r>
    </w:p>
    <w:p>
      <w:pPr>
        <w:pStyle w:val="Heading2"/>
        <w:spacing w:after="120" w:before="240"/>
      </w:pPr>
      <w:r>
        <w:rPr>
          <w:rFonts w:ascii="Arial" w:cs="Arial" w:eastAsia="Arial" w:hAnsi="Arial"/>
          <w:b/>
          <w:bCs/>
          <w:color w:val="1F3A68"/>
          <w:sz w:val="28"/>
          <w:szCs w:val="28"/>
        </w:rPr>
        <w:t xml:space="preserve">4.3 Embedding Strategy</w:t>
      </w:r>
    </w:p>
    <w:p>
      <w:pPr>
        <w:spacing w:after="80" w:before="80"/>
      </w:pPr>
      <w:r>
        <w:rPr>
          <w:rFonts w:ascii="Arial" w:cs="Arial" w:eastAsia="Arial" w:hAnsi="Arial"/>
          <w:sz w:val="22"/>
          <w:szCs w:val="22"/>
        </w:rPr>
        <w:t xml:space="preserve">Default: AWS Bedrock embeddings (Cohere Embed v3 or Amazon Titan), routed through the customer's AWS region. This was a conscious revision from earlier OpenAI-direct dependency: routing customer engineering communications through OpenAI undermines the Trust Boundary story. Bedrock keeps customer data within AWS region under AWS DPA, consolidating the trust narrative.</w:t>
      </w:r>
    </w:p>
    <w:p>
      <w:pPr>
        <w:spacing w:after="80" w:before="80"/>
      </w:pPr>
      <w:r>
        <w:rPr>
          <w:rFonts w:ascii="Arial" w:cs="Arial" w:eastAsia="Arial" w:hAnsi="Arial"/>
          <w:sz w:val="22"/>
          <w:szCs w:val="22"/>
        </w:rPr>
        <w:t xml:space="preserve">Direct OpenAI API remains a fallback option (with explicit customer approval). Self-hosted BGE-M3 is the Enterprise OSS-switch, gated by a Quality-Parity-Test against Bedrock embeddings on real customer data — a quality drop greater than 15% blocks the Enterprise sale.</w:t>
      </w:r>
    </w:p>
    <w:p>
      <w:pPr>
        <w:pStyle w:val="Heading2"/>
        <w:spacing w:after="120" w:before="240"/>
      </w:pPr>
      <w:r>
        <w:rPr>
          <w:rFonts w:ascii="Arial" w:cs="Arial" w:eastAsia="Arial" w:hAnsi="Arial"/>
          <w:b/>
          <w:bCs/>
          <w:color w:val="1F3A68"/>
          <w:sz w:val="28"/>
          <w:szCs w:val="28"/>
        </w:rPr>
        <w:t xml:space="preserve">4.4 Code-Specific Handling</w:t>
      </w:r>
    </w:p>
    <w:p>
      <w:pPr>
        <w:spacing w:after="80" w:before="80"/>
      </w:pPr>
      <w:r>
        <w:rPr>
          <w:rFonts w:ascii="Arial" w:cs="Arial" w:eastAsia="Arial" w:hAnsi="Arial"/>
          <w:sz w:val="22"/>
          <w:szCs w:val="22"/>
        </w:rPr>
        <w:t xml:space="preserve">Naive text-embedding for code is mediocre — embeddings of source code don't capture topic semantics well. Keystone uses a structural-plus-semantic hybrid: a parser extracts imports, function names, file paths, module hierarchies, and package manifests; semantic embedding processes README, RFCs, code comments, and commit messages. Composite classification combines both signals plus a confidence score.</w:t>
      </w:r>
    </w:p>
    <w:p>
      <w:pPr>
        <w:spacing w:after="80" w:before="80"/>
      </w:pPr>
      <w:r>
        <w:rPr>
          <w:rFonts w:ascii="Arial" w:cs="Arial" w:eastAsia="Arial" w:hAnsi="Arial"/>
          <w:sz w:val="22"/>
          <w:szCs w:val="22"/>
        </w:rPr>
        <w:t xml:space="preserve">MVP language is TypeScript only — the highest customer-density language in our ICP, with a strong toolchain for structural parsing. Multi-language expansion is iterative: Python in Phase 1b, Go in Phase 2a, Java/Kotlin in Phase 2b. For non-anchor languages in MVP, naive embedding plus path heuristics plus LLM tagging serves as fallback — quality drop accepted for time-to-market.</w:t>
      </w:r>
    </w:p>
    <w:p>
      <w:pPr>
        <w:pStyle w:val="Heading2"/>
        <w:spacing w:after="120" w:before="240"/>
      </w:pPr>
      <w:r>
        <w:rPr>
          <w:rFonts w:ascii="Arial" w:cs="Arial" w:eastAsia="Arial" w:hAnsi="Arial"/>
          <w:b/>
          <w:bCs/>
          <w:color w:val="1F3A68"/>
          <w:sz w:val="28"/>
          <w:szCs w:val="28"/>
        </w:rPr>
        <w:t xml:space="preserve">4.5 Versioning</w:t>
      </w:r>
    </w:p>
    <w:p>
      <w:pPr>
        <w:spacing w:after="80" w:before="80"/>
      </w:pPr>
      <w:r>
        <w:rPr>
          <w:rFonts w:ascii="Arial" w:cs="Arial" w:eastAsia="Arial" w:hAnsi="Arial"/>
          <w:sz w:val="22"/>
          <w:szCs w:val="22"/>
        </w:rPr>
        <w:t xml:space="preserve">Two version axes: Taxonomy version (bumped semver on topic add/rename/merge/split/delete) and Classifier-Model version (bumped on LLM/embedding model update). Every classification carries both versions. Historical outputs remain reproducible. This is the audit-grade plumbing that makes Tier 3 outputs defensible later.</w:t>
      </w:r>
    </w:p>
    <w:p>
      <w:pPr>
        <w:pStyle w:val="Heading2"/>
        <w:spacing w:after="120" w:before="240"/>
      </w:pPr>
      <w:r>
        <w:rPr>
          <w:rFonts w:ascii="Arial" w:cs="Arial" w:eastAsia="Arial" w:hAnsi="Arial"/>
          <w:b/>
          <w:bCs/>
          <w:color w:val="1F3A68"/>
          <w:sz w:val="28"/>
          <w:szCs w:val="28"/>
        </w:rPr>
        <w:t xml:space="preserve">4.6 Vector Storage</w:t>
      </w:r>
    </w:p>
    <w:p>
      <w:pPr>
        <w:spacing w:after="80" w:before="80"/>
      </w:pPr>
      <w:r>
        <w:rPr>
          <w:rFonts w:ascii="Arial" w:cs="Arial" w:eastAsia="Arial" w:hAnsi="Arial"/>
          <w:sz w:val="22"/>
          <w:szCs w:val="22"/>
        </w:rPr>
        <w:t xml:space="preserve">Default: pgvector in tenant-isolated Postgres (for Decide+ tier) or pooled multi-tenant Postgres with row-level security and per-tenant application-level encryption (for Map tier). pgvector handles our scale, simplifies tenant isolation, and keeps the self-host story open. Weaviate becomes a Phase 2 option only if vector volume exceeds pgvector limits.</w:t>
      </w:r>
    </w:p>
    <w:p>
      <w:pPr>
        <w:pStyle w:val="Heading1"/>
        <w:pageBreakBefore/>
        <w:spacing w:after="240" w:before="240"/>
      </w:pPr>
      <w:r>
        <w:rPr>
          <w:rFonts w:ascii="Arial" w:cs="Arial" w:eastAsia="Arial" w:hAnsi="Arial"/>
          <w:b/>
          <w:bCs/>
          <w:color w:val="1F3A68"/>
          <w:sz w:val="36"/>
          <w:szCs w:val="36"/>
        </w:rPr>
        <w:t xml:space="preserve">5. Technical Architecture</w:t>
      </w:r>
    </w:p>
    <w:p>
      <w:pPr>
        <w:spacing w:after="80" w:before="80"/>
      </w:pPr>
      <w:r>
        <w:rPr>
          <w:rFonts w:ascii="Arial" w:cs="Arial" w:eastAsia="Arial" w:hAnsi="Arial"/>
          <w:sz w:val="22"/>
          <w:szCs w:val="22"/>
        </w:rPr>
        <w:t xml:space="preserve">The architecture must satisfy several hard constraints simultaneously: tier-aware tenancy, append-only audit logs, hard human-in-the-loop on Tier 3, demographics-blocked production models, embedding-provider abstraction, self-host readiness, and SOC 2 Type II compliance.</w:t>
      </w:r>
    </w:p>
    <w:p>
      <w:pPr>
        <w:pStyle w:val="Heading2"/>
        <w:spacing w:after="120" w:before="240"/>
      </w:pPr>
      <w:r>
        <w:rPr>
          <w:rFonts w:ascii="Arial" w:cs="Arial" w:eastAsia="Arial" w:hAnsi="Arial"/>
          <w:b/>
          <w:bCs/>
          <w:color w:val="1F3A68"/>
          <w:sz w:val="28"/>
          <w:szCs w:val="28"/>
        </w:rPr>
        <w:t xml:space="preserve">5.1 Three Layers</w:t>
      </w:r>
    </w:p>
    <w:p>
      <w:pPr>
        <w:pStyle w:val="ListParagraph"/>
        <w:numPr>
          <w:ilvl w:val="0"/>
          <w:numId w:val="2"/>
        </w:numPr>
        <w:spacing w:after="40" w:before="40"/>
      </w:pPr>
      <w:r>
        <w:rPr>
          <w:rFonts w:ascii="Arial" w:cs="Arial" w:eastAsia="Arial" w:hAnsi="Arial"/>
          <w:sz w:val="22"/>
          <w:szCs w:val="22"/>
        </w:rPr>
        <w:t xml:space="preserve">Application Layer (stateless, multi-tenant control): Web UI, Public API, Auth &amp; RBAC, Trust Bundle Generator</w:t>
      </w:r>
    </w:p>
    <w:p>
      <w:pPr>
        <w:pStyle w:val="ListParagraph"/>
        <w:numPr>
          <w:ilvl w:val="0"/>
          <w:numId w:val="2"/>
        </w:numPr>
        <w:spacing w:after="40" w:before="40"/>
      </w:pPr>
      <w:r>
        <w:rPr>
          <w:rFonts w:ascii="Arial" w:cs="Arial" w:eastAsia="Arial" w:hAnsi="Arial"/>
          <w:sz w:val="22"/>
          <w:szCs w:val="22"/>
        </w:rPr>
        <w:t xml:space="preserve">Processing Layer (tier-aware tenancy): Classifier Service, Metric Engine, Bias Audit Pipeline, Reorg Discovery (Phase 2), Audit Logger (WORM), Decision Log Service</w:t>
      </w:r>
    </w:p>
    <w:p>
      <w:pPr>
        <w:pStyle w:val="ListParagraph"/>
        <w:numPr>
          <w:ilvl w:val="0"/>
          <w:numId w:val="2"/>
        </w:numPr>
        <w:spacing w:after="40" w:before="40"/>
      </w:pPr>
      <w:r>
        <w:rPr>
          <w:rFonts w:ascii="Arial" w:cs="Arial" w:eastAsia="Arial" w:hAnsi="Arial"/>
          <w:sz w:val="22"/>
          <w:szCs w:val="22"/>
        </w:rPr>
        <w:t xml:space="preserve">Ingestion Layer: MCP/Connector Adapters → Normalization → Activity Queue (Git, Jira, Confluence, Slack)</w:t>
      </w:r>
    </w:p>
    <w:p>
      <w:pPr>
        <w:pStyle w:val="Heading2"/>
        <w:spacing w:after="120" w:before="240"/>
      </w:pPr>
      <w:r>
        <w:rPr>
          <w:rFonts w:ascii="Arial" w:cs="Arial" w:eastAsia="Arial" w:hAnsi="Arial"/>
          <w:b/>
          <w:bCs/>
          <w:color w:val="1F3A68"/>
          <w:sz w:val="28"/>
          <w:szCs w:val="28"/>
        </w:rPr>
        <w:t xml:space="preserve">5.2 Tier-Aware Tenancy</w:t>
      </w:r>
    </w:p>
    <w:p>
      <w:pPr>
        <w:spacing w:after="80" w:before="80"/>
      </w:pPr>
      <w:r>
        <w:rPr>
          <w:rFonts w:ascii="Arial" w:cs="Arial" w:eastAsia="Arial" w:hAnsi="Arial"/>
          <w:sz w:val="22"/>
          <w:szCs w:val="22"/>
        </w:rPr>
        <w:t xml:space="preserve">A key revision: instead of per-tenant DB for all customers, Keystone uses tier-aware tenancy. The Map tier (Tier 1) runs in pooled multi-tenant Postgres with row-level security and per-tenant application-level encryption. The Decide tier (Tier 3, Phase 2) and Enterprise both use per-tenant Postgres with per-tenant KMS keys.</w:t>
      </w:r>
    </w:p>
    <w:p>
      <w:pPr>
        <w:spacing w:after="80" w:before="80"/>
      </w:pPr>
      <w:r>
        <w:rPr>
          <w:rFonts w:ascii="Arial" w:cs="Arial" w:eastAsia="Arial" w:hAnsi="Arial"/>
          <w:sz w:val="22"/>
          <w:szCs w:val="22"/>
        </w:rPr>
        <w:t xml:space="preserve">Rationale: per-tenant DB on Tier 1 was a margin trap. At ~$1k/month COGS for a 50-engineer Map customer paying $1,250/month MRR, gross margin was zero or negative. Tier-aware tenancy keeps strong isolation where the data is most sensitive (Decide+) while making Tier 1 economically viable. The compliance argument holds because Map data is materially less sensitive than Decide data, and the pooled tier is defended by RLS plus per-tenant cryptographic isolation, both standard SOC 2 patterns.</w:t>
      </w:r>
    </w:p>
    <w:p>
      <w:pPr>
        <w:pStyle w:val="Heading2"/>
        <w:spacing w:after="120" w:before="240"/>
      </w:pPr>
      <w:r>
        <w:rPr>
          <w:rFonts w:ascii="Arial" w:cs="Arial" w:eastAsia="Arial" w:hAnsi="Arial"/>
          <w:b/>
          <w:bCs/>
          <w:color w:val="1F3A68"/>
          <w:sz w:val="28"/>
          <w:szCs w:val="28"/>
        </w:rPr>
        <w:t xml:space="preserve">5.3 Cloud Strategy — AWS-Primary with Cloud-Agnostic Abstraction</w:t>
      </w:r>
    </w:p>
    <w:p>
      <w:pPr>
        <w:spacing w:after="80" w:before="80"/>
      </w:pPr>
      <w:r>
        <w:rPr>
          <w:rFonts w:ascii="Arial" w:cs="Arial" w:eastAsia="Arial" w:hAnsi="Arial"/>
          <w:sz w:val="22"/>
          <w:szCs w:val="22"/>
        </w:rPr>
        <w:t xml:space="preserve">AWS is primary because the target ICP runs predominantly on AWS, and because AWS has the strongest enterprise self-host story. But we constrain AWS-specific code to under 5%: every AWS API sits behind an interface, infrastructure is Terraform, and the Helm chart for self-host can target any Kubernetes distribution.</w:t>
      </w:r>
    </w:p>
    <w:p>
      <w:pPr>
        <w:pStyle w:val="Heading2"/>
        <w:spacing w:after="120" w:before="240"/>
      </w:pPr>
      <w:r>
        <w:rPr>
          <w:rFonts w:ascii="Arial" w:cs="Arial" w:eastAsia="Arial" w:hAnsi="Arial"/>
          <w:b/>
          <w:bCs/>
          <w:color w:val="1F3A68"/>
          <w:sz w:val="28"/>
          <w:szCs w:val="28"/>
        </w:rPr>
        <w:t xml:space="preserve">5.4 LLM Provider Strategy — Bedrock-Primary</w:t>
      </w:r>
    </w:p>
    <w:p>
      <w:pPr>
        <w:spacing w:after="80" w:before="80"/>
      </w:pPr>
      <w:r>
        <w:rPr>
          <w:rFonts w:ascii="Arial" w:cs="Arial" w:eastAsia="Arial" w:hAnsi="Arial"/>
          <w:sz w:val="22"/>
          <w:szCs w:val="22"/>
        </w:rPr>
        <w:t xml:space="preserve">Default LLM routing is AWS Bedrock for both reasoning (Anthropic Claude — Sonnet primary, Haiku tiered) and embeddings (Cohere Embed v3 or Amazon Titan). This unifies the trust boundary: customer data never leaves the AWS region. Direct API to Anthropic or OpenAI is a fallback with explicit customer approval. Enterprise self-host swaps to OSS models (BGE-M3 for embeddings; OSS reasoning in Phase 2).</w:t>
      </w:r>
    </w:p>
    <w:p>
      <w:pPr>
        <w:spacing w:after="80" w:before="80"/>
      </w:pPr>
      <w:r>
        <w:rPr>
          <w:rFonts w:ascii="Arial" w:cs="Arial" w:eastAsia="Arial" w:hAnsi="Arial"/>
          <w:sz w:val="22"/>
          <w:szCs w:val="22"/>
        </w:rPr>
        <w:t xml:space="preserve">The LLMProvider interface is mandatory from day 1. This is the abstraction many AI startups claim and few actually test. Keystone runs a Quality-Parity-Test before any provider is offered to enterprise customers.</w:t>
      </w:r>
    </w:p>
    <w:p>
      <w:pPr>
        <w:pStyle w:val="Heading2"/>
        <w:spacing w:after="120" w:before="240"/>
      </w:pPr>
      <w:r>
        <w:rPr>
          <w:rFonts w:ascii="Arial" w:cs="Arial" w:eastAsia="Arial" w:hAnsi="Arial"/>
          <w:b/>
          <w:bCs/>
          <w:color w:val="1F3A68"/>
          <w:sz w:val="28"/>
          <w:szCs w:val="28"/>
        </w:rPr>
        <w:t xml:space="preserve">5.5 LLM Cost Strategy — Tiered Routing</w:t>
      </w:r>
    </w:p>
    <w:p>
      <w:pPr>
        <w:spacing w:after="80" w:before="80"/>
      </w:pPr>
      <w:r>
        <w:rPr>
          <w:rFonts w:ascii="Arial" w:cs="Arial" w:eastAsia="Arial" w:hAnsi="Arial"/>
          <w:sz w:val="22"/>
          <w:szCs w:val="22"/>
        </w:rPr>
        <w:t xml:space="preserve">Cost discipline is a survival metric. Activities flow through a tiered model router: Haiku gives a cheap fast first pass; if confidence falls below a threshold, Sonnet escalates; if confidence still falls below a lower threshold, the activity goes into a human review queue. Embedding cost is mitigated via content-hash deduplication and delta-embedding (only changed content). Per-tenant LLM budgets have hard caps with alerts. Worst-month-COGS is modeled per customer-size — including quarterly major-tax-change re-embedding spikes — and priced into the tier.</w:t>
      </w:r>
    </w:p>
    <w:p>
      <w:pPr>
        <w:pStyle w:val="Heading2"/>
        <w:spacing w:after="120" w:before="240"/>
      </w:pPr>
      <w:r>
        <w:rPr>
          <w:rFonts w:ascii="Arial" w:cs="Arial" w:eastAsia="Arial" w:hAnsi="Arial"/>
          <w:b/>
          <w:bCs/>
          <w:color w:val="1F3A68"/>
          <w:sz w:val="28"/>
          <w:szCs w:val="28"/>
        </w:rPr>
        <w:t xml:space="preserve">5.6 Audit Pipeline — WORM with Hash-Chain</w:t>
      </w:r>
    </w:p>
    <w:p>
      <w:pPr>
        <w:spacing w:after="80" w:before="80"/>
      </w:pPr>
      <w:r>
        <w:rPr>
          <w:rFonts w:ascii="Arial" w:cs="Arial" w:eastAsia="Arial" w:hAnsi="Arial"/>
          <w:sz w:val="22"/>
          <w:szCs w:val="22"/>
        </w:rPr>
        <w:t xml:space="preserve">Every Tier-3 output (Phase 2 onwards) is appended to a Postgres append-only table and mirrored to S3 with Object Lock for 7-year retention. Each entry hashes the previous entry plus its own content — a hash chain that makes tampering detectable. Keystone admins cannot delete entries. An "Auditor" RBAC role provides read-only access for external audits without impact. Enterprise customers may opt into zero-knowledge audit mode where the customer holds the audit DB and Keystone provides only hashes.</w:t>
      </w:r>
    </w:p>
    <w:p>
      <w:pPr>
        <w:pStyle w:val="Heading2"/>
        <w:spacing w:after="120" w:before="240"/>
      </w:pPr>
      <w:r>
        <w:rPr>
          <w:rFonts w:ascii="Arial" w:cs="Arial" w:eastAsia="Arial" w:hAnsi="Arial"/>
          <w:b/>
          <w:bCs/>
          <w:color w:val="1F3A68"/>
          <w:sz w:val="28"/>
          <w:szCs w:val="28"/>
        </w:rPr>
        <w:t xml:space="preserve">5.7 Security and Self-Host Readiness</w:t>
      </w:r>
    </w:p>
    <w:p>
      <w:pPr>
        <w:spacing w:after="80" w:before="80"/>
      </w:pPr>
      <w:r>
        <w:rPr>
          <w:rFonts w:ascii="Arial" w:cs="Arial" w:eastAsia="Arial" w:hAnsi="Arial"/>
          <w:sz w:val="22"/>
          <w:szCs w:val="22"/>
        </w:rPr>
        <w:t xml:space="preserve">OIDC SSO via Okta or Azure AD; MFA mandatory for admin and Tier 3 access. RBAC roles: Reader, Manager, Admin, Auditor, plus the new HR-Read-only role. mTLS between services. Per-tenant KMS keys for Decide+; per-tenant application-level encryption for pooled Map. SOC 2 Type II is the compliance baseline.</w:t>
      </w:r>
    </w:p>
    <w:p>
      <w:pPr>
        <w:spacing w:after="80" w:before="80"/>
      </w:pPr>
      <w:r>
        <w:rPr>
          <w:rFonts w:ascii="Arial" w:cs="Arial" w:eastAsia="Arial" w:hAnsi="Arial"/>
          <w:sz w:val="22"/>
          <w:szCs w:val="22"/>
        </w:rPr>
        <w:t xml:space="preserve">Self-host topology is built from day 1, even though it is sold only in Phase 2. Customers run their own Postgres, workers, and embedding pods (with the BGE-M3 OSS switch) on their Kubernetes cluster. Connectivity is outbound-only to the Keystone control plane — customers pull updates rather than receiving pushes. Without this discipline, the Enterprise OSS-switch promise would be a hollow marketing claim.</w:t>
      </w:r>
    </w:p>
    <w:p>
      <w:pPr>
        <w:pStyle w:val="Heading1"/>
        <w:pageBreakBefore/>
        <w:spacing w:after="240" w:before="240"/>
      </w:pPr>
      <w:r>
        <w:rPr>
          <w:rFonts w:ascii="Arial" w:cs="Arial" w:eastAsia="Arial" w:hAnsi="Arial"/>
          <w:b/>
          <w:bCs/>
          <w:color w:val="1F3A68"/>
          <w:sz w:val="36"/>
          <w:szCs w:val="36"/>
        </w:rPr>
        <w:t xml:space="preserve">6. Risks &amp; Compliance</w:t>
      </w:r>
    </w:p>
    <w:p>
      <w:pPr>
        <w:spacing w:after="80" w:before="80"/>
      </w:pPr>
      <w:r>
        <w:rPr>
          <w:rFonts w:ascii="Arial" w:cs="Arial" w:eastAsia="Arial" w:hAnsi="Arial"/>
          <w:sz w:val="22"/>
          <w:szCs w:val="22"/>
        </w:rPr>
        <w:t xml:space="preserve">Keystone IS a high-risk AI system under both EU AI Act Annex III ("Employment, workers management — decisions affecting essential terms of an employment relationship") and Colorado AI Act (effective February 2026). Trying to litigate that classification away would waste years; Keystone accepts it and architects accordingly. Our "Decision Support, not Decision Automation" framing is the legal load-bearing wall, technically enforced through hard human-in-the-loop gates rather than only through terms-of-service language.</w:t>
      </w:r>
    </w:p>
    <w:p>
      <w:pPr>
        <w:pStyle w:val="Heading2"/>
        <w:spacing w:after="120" w:before="240"/>
      </w:pPr>
      <w:r>
        <w:rPr>
          <w:rFonts w:ascii="Arial" w:cs="Arial" w:eastAsia="Arial" w:hAnsi="Arial"/>
          <w:b/>
          <w:bCs/>
          <w:color w:val="1F3A68"/>
          <w:sz w:val="28"/>
          <w:szCs w:val="28"/>
        </w:rPr>
        <w:t xml:space="preserve">6.1 Regulatory Landscape (US-First)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260"/>
        <w:gridCol w:w="1400"/>
      </w:tblGrid>
      <w:tr>
        <w:trPr>
          <w:tblHeader/>
        </w:trPr>
        <w:tc>
          <w:tcPr>
            <w:tcW w:type="dxa" w:w="17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Layer</w:t>
            </w:r>
          </w:p>
        </w:tc>
        <w:tc>
          <w:tcPr>
            <w:tcW w:type="dxa" w:w="62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Regulation</w:t>
            </w:r>
          </w:p>
        </w:tc>
        <w:tc>
          <w:tcPr>
            <w:tcW w:type="dxa" w:w="14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Status</w:t>
            </w:r>
          </w:p>
        </w:tc>
      </w:tr>
      <w:tr>
        <w:tc>
          <w:tcPr>
            <w:tcW w:type="dxa" w:w="17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US Federal</w:t>
            </w:r>
          </w:p>
        </w:tc>
        <w:tc>
          <w:tcPr>
            <w:tcW w:type="dxa" w:w="62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EEOC Technical Assistance (2023) — disparate impact</w:t>
            </w:r>
          </w:p>
        </w:tc>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Actively enforced</w:t>
            </w:r>
          </w:p>
        </w:tc>
      </w:tr>
      <w:tr>
        <w:tc>
          <w:tcPr>
            <w:tcW w:type="dxa" w:w="17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US Federal</w:t>
            </w:r>
          </w:p>
        </w:tc>
        <w:tc>
          <w:tcPr>
            <w:tcW w:type="dxa" w:w="62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NIST AI RMF — voluntary best practice</w:t>
            </w:r>
          </w:p>
        </w:tc>
        <w:tc>
          <w:tcPr>
            <w:tcW w:type="dxa" w:w="14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De-facto B2B requirement</w:t>
            </w:r>
          </w:p>
        </w:tc>
      </w:tr>
      <w:tr>
        <w:tc>
          <w:tcPr>
            <w:tcW w:type="dxa" w:w="17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US State</w:t>
            </w:r>
          </w:p>
        </w:tc>
        <w:tc>
          <w:tcPr>
            <w:tcW w:type="dxa" w:w="62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Colorado AI Act (Feb 2026) — high-risk RMS, IA, notice</w:t>
            </w:r>
          </w:p>
        </w:tc>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Binding from Feb 2026</w:t>
            </w:r>
          </w:p>
        </w:tc>
      </w:tr>
      <w:tr>
        <w:tc>
          <w:tcPr>
            <w:tcW w:type="dxa" w:w="17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US State</w:t>
            </w:r>
          </w:p>
        </w:tc>
        <w:tc>
          <w:tcPr>
            <w:tcW w:type="dxa" w:w="62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NYC Local Law 144 (AEDT) — annual public bias audit</w:t>
            </w:r>
          </w:p>
        </w:tc>
        <w:tc>
          <w:tcPr>
            <w:tcW w:type="dxa" w:w="14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Binding</w:t>
            </w:r>
          </w:p>
        </w:tc>
      </w:tr>
      <w:tr>
        <w:tc>
          <w:tcPr>
            <w:tcW w:type="dxa" w:w="17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US State</w:t>
            </w:r>
          </w:p>
        </w:tc>
        <w:tc>
          <w:tcPr>
            <w:tcW w:type="dxa" w:w="62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Illinois HB 3773, Texas TRAIGA, ~15 more in motion</w:t>
            </w:r>
          </w:p>
        </w:tc>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Watch</w:t>
            </w:r>
          </w:p>
        </w:tc>
      </w:tr>
      <w:tr>
        <w:tc>
          <w:tcPr>
            <w:tcW w:type="dxa" w:w="17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EU (Phase 2)</w:t>
            </w:r>
          </w:p>
        </w:tc>
        <w:tc>
          <w:tcPr>
            <w:tcW w:type="dxa" w:w="62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EU AI Act Annex III high-risk</w:t>
            </w:r>
          </w:p>
        </w:tc>
        <w:tc>
          <w:tcPr>
            <w:tcW w:type="dxa" w:w="14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Binding Aug 2026</w:t>
            </w:r>
          </w:p>
        </w:tc>
      </w:tr>
      <w:tr>
        <w:tc>
          <w:tcPr>
            <w:tcW w:type="dxa" w:w="17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EU (Phase 2)</w:t>
            </w:r>
          </w:p>
        </w:tc>
        <w:tc>
          <w:tcPr>
            <w:tcW w:type="dxa" w:w="62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GDPR Art. 22 — automated decisions</w:t>
            </w:r>
          </w:p>
        </w:tc>
        <w:tc>
          <w:tcPr>
            <w:tcW w:type="dxa" w:w="14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Binding</w:t>
            </w:r>
          </w:p>
        </w:tc>
      </w:tr>
      <w:tr>
        <w:tc>
          <w:tcPr>
            <w:tcW w:type="dxa" w:w="17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B2B Standard</w:t>
            </w:r>
          </w:p>
        </w:tc>
        <w:tc>
          <w:tcPr>
            <w:tcW w:type="dxa" w:w="62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SOC 2 Type II, ISO 42001</w:t>
            </w:r>
          </w:p>
        </w:tc>
        <w:tc>
          <w:tcPr>
            <w:tcW w:type="dxa" w:w="14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Tablestakes</w:t>
            </w:r>
          </w:p>
        </w:tc>
      </w:tr>
    </w:tbl>
    <w:p>
      <w:r>
        <w:t xml:space="preserve"/>
      </w:r>
    </w:p>
    <w:p>
      <w:pPr>
        <w:pStyle w:val="Heading2"/>
        <w:spacing w:after="120" w:before="240"/>
      </w:pPr>
      <w:r>
        <w:rPr>
          <w:rFonts w:ascii="Arial" w:cs="Arial" w:eastAsia="Arial" w:hAnsi="Arial"/>
          <w:b/>
          <w:bCs/>
          <w:color w:val="1F3A68"/>
          <w:sz w:val="28"/>
          <w:szCs w:val="28"/>
        </w:rPr>
        <w:t xml:space="preserve">6.2 Five-Pillar Mitigation</w:t>
      </w:r>
    </w:p>
    <w:p>
      <w:pPr>
        <w:pStyle w:val="Heading3"/>
        <w:spacing w:after="80" w:before="200"/>
      </w:pPr>
      <w:r>
        <w:rPr>
          <w:rFonts w:ascii="Arial" w:cs="Arial" w:eastAsia="Arial" w:hAnsi="Arial"/>
          <w:b/>
          <w:bCs/>
          <w:color w:val="2E75B6"/>
          <w:sz w:val="24"/>
          <w:szCs w:val="24"/>
        </w:rPr>
        <w:t xml:space="preserve">Pillar 1 — Product-Level Hardening</w:t>
      </w:r>
    </w:p>
    <w:p>
      <w:pPr>
        <w:spacing w:after="80" w:before="80"/>
      </w:pPr>
      <w:r>
        <w:rPr>
          <w:rFonts w:ascii="Arial" w:cs="Arial" w:eastAsia="Arial" w:hAnsi="Arial"/>
          <w:sz w:val="22"/>
          <w:szCs w:val="22"/>
        </w:rPr>
        <w:t xml:space="preserve">Hard human-in-the-loop: Tier-3 outputs are technically not batch-processable. No batch APIs for personnel decisions. Mandatory confirmation click plus justification field. Every Tier-3 artifact carries a "Decision Support — not a Decision" watermark plus audit stamp. Production models have no access to protected attributes (age, gender, ethnicity, marital status, pregnancy, disability) — directly or via proxies. Geofencing: jurisdictional gates trigger additional disclosure flows for Colorado and NYC customers.</w:t>
      </w:r>
    </w:p>
    <w:p>
      <w:pPr>
        <w:pStyle w:val="Heading3"/>
        <w:spacing w:after="80" w:before="200"/>
      </w:pPr>
      <w:r>
        <w:rPr>
          <w:rFonts w:ascii="Arial" w:cs="Arial" w:eastAsia="Arial" w:hAnsi="Arial"/>
          <w:b/>
          <w:bCs/>
          <w:color w:val="2E75B6"/>
          <w:sz w:val="24"/>
          <w:szCs w:val="24"/>
        </w:rPr>
        <w:t xml:space="preserve">Pillar 2 — Bias Testing Pipeline (Built-In, Hardened Post-Critique)</w:t>
      </w:r>
    </w:p>
    <w:p>
      <w:pPr>
        <w:spacing w:after="80" w:before="80"/>
      </w:pPr>
      <w:r>
        <w:rPr>
          <w:rFonts w:ascii="Arial" w:cs="Arial" w:eastAsia="Arial" w:hAnsi="Arial"/>
          <w:sz w:val="22"/>
          <w:szCs w:val="22"/>
        </w:rPr>
        <w:t xml:space="preserve">Architectural principle: production-side demographics-blocked, audit-side hermetically isolated, plus production-distribution proxy-bias monitor. Critique correctly noted that demographics-blocking alone does not catch proxy biases (tenure, time-zone, parental-leave activity gaps) that produce disparate impact in real-customer distributions. The redesigned pipeline has four layers: pre-deployment synthetic test sets per model release; continuous proxy-bias monitor on real customer activity distribution (audit-side isolated); customer-supplied demographic audit (Enterprise opt-in only, separate KMS, never returns to production); annual public bias audit NYC AEDT-style for all customers.</w:t>
      </w:r>
    </w:p>
    <w:p>
      <w:pPr>
        <w:pStyle w:val="Heading3"/>
        <w:spacing w:after="80" w:before="200"/>
      </w:pPr>
      <w:r>
        <w:rPr>
          <w:rFonts w:ascii="Arial" w:cs="Arial" w:eastAsia="Arial" w:hAnsi="Arial"/>
          <w:b/>
          <w:bCs/>
          <w:color w:val="2E75B6"/>
          <w:sz w:val="24"/>
          <w:szCs w:val="24"/>
        </w:rPr>
        <w:t xml:space="preserve">Pillar 3 — Audit and Documentation</w:t>
      </w:r>
    </w:p>
    <w:p>
      <w:pPr>
        <w:spacing w:after="80" w:before="80"/>
      </w:pPr>
      <w:r>
        <w:rPr>
          <w:rFonts w:ascii="Arial" w:cs="Arial" w:eastAsia="Arial" w:hAnsi="Arial"/>
          <w:sz w:val="22"/>
          <w:szCs w:val="22"/>
        </w:rPr>
        <w:t xml:space="preserve">Decision Log appended unalterably for every Tier-3 output, including model version, inputs, user, justification. Model Cards for every live model in the NIST AI RMF style. Auto-filled Impact Assessment templates (DPIA, EU AIA Conformity, US Bias Impact Assessment) for customers.</w:t>
      </w:r>
    </w:p>
    <w:p>
      <w:pPr>
        <w:pStyle w:val="Heading3"/>
        <w:spacing w:after="80" w:before="200"/>
      </w:pPr>
      <w:r>
        <w:rPr>
          <w:rFonts w:ascii="Arial" w:cs="Arial" w:eastAsia="Arial" w:hAnsi="Arial"/>
          <w:b/>
          <w:bCs/>
          <w:color w:val="2E75B6"/>
          <w:sz w:val="24"/>
          <w:szCs w:val="24"/>
        </w:rPr>
        <w:t xml:space="preserve">Pillar 4 — Trust Bundle as Procurement Accelerator (Reframed Post-Critique)</w:t>
      </w:r>
    </w:p>
    <w:p>
      <w:pPr>
        <w:spacing w:after="80" w:before="80"/>
      </w:pPr>
      <w:r>
        <w:rPr>
          <w:rFonts w:ascii="Arial" w:cs="Arial" w:eastAsia="Arial" w:hAnsi="Arial"/>
          <w:sz w:val="22"/>
          <w:szCs w:val="22"/>
        </w:rPr>
        <w:t xml:space="preserve">Earlier framing positioned compliance as a 12–24-month moat monetized as a paid Enterprise tier. Critique correctly noted that SOC 2 Type I is a 3-month exercise and a competitor like Jellyfish could close the gap with a Head of AI Governance and a six-month build. The reframe: compliance is table-stakes-bundled in all tiers (hard HIL, audit log, disclaimer, demographics-blocked production, bias monitor, AI AUP). What customers pay extra for in the Trust Bundle Enterprise add-on is procurement-speed: pre-filled Vendor Security Questionnaires, pre-filled DPIA and TIA templates, third-party auditor letter, self-host option, customer-specific quarterly bias report. Compliance is the entry ticket; the actual moat is data flywheel (see Chapter 7).</w:t>
      </w:r>
    </w:p>
    <w:p>
      <w:pPr>
        <w:pStyle w:val="Heading3"/>
        <w:spacing w:after="80" w:before="200"/>
      </w:pPr>
      <w:r>
        <w:rPr>
          <w:rFonts w:ascii="Arial" w:cs="Arial" w:eastAsia="Arial" w:hAnsi="Arial"/>
          <w:b/>
          <w:bCs/>
          <w:color w:val="2E75B6"/>
          <w:sz w:val="24"/>
          <w:szCs w:val="24"/>
        </w:rPr>
        <w:t xml:space="preserve">Pillar 5 — Insurance and Contractual</w:t>
      </w:r>
    </w:p>
    <w:p>
      <w:pPr>
        <w:spacing w:after="80" w:before="80"/>
      </w:pPr>
      <w:r>
        <w:rPr>
          <w:rFonts w:ascii="Arial" w:cs="Arial" w:eastAsia="Arial" w:hAnsi="Arial"/>
          <w:sz w:val="22"/>
          <w:szCs w:val="22"/>
        </w:rPr>
        <w:t xml:space="preserve">Errors-and-omissions and cyber liability insurance at $10M+ before launch. DPA templates US- and GDPR-conformant as standard. AI-specific indemnification narrowly scoped to Keystone-caused defects (not customer misuse). Limitation of liability contractually anchored to "tool, not decider." Customer Acceptable Use Policy explicitly forbids auto-decisioning, recruiting/hiring repurposing, and disclosure to non-authorized parties.</w:t>
      </w:r>
    </w:p>
    <w:p>
      <w:pPr>
        <w:pStyle w:val="Heading2"/>
        <w:spacing w:after="120" w:before="240"/>
      </w:pPr>
      <w:r>
        <w:rPr>
          <w:rFonts w:ascii="Arial" w:cs="Arial" w:eastAsia="Arial" w:hAnsi="Arial"/>
          <w:b/>
          <w:bCs/>
          <w:color w:val="1F3A68"/>
          <w:sz w:val="28"/>
          <w:szCs w:val="28"/>
        </w:rPr>
        <w:t xml:space="preserve">6.3 Pre-Launch Compliance Checklist</w:t>
      </w:r>
    </w:p>
    <w:p>
      <w:pPr>
        <w:pStyle w:val="ListParagraph"/>
        <w:numPr>
          <w:ilvl w:val="0"/>
          <w:numId w:val="2"/>
        </w:numPr>
        <w:spacing w:after="40" w:before="40"/>
      </w:pPr>
      <w:r>
        <w:rPr>
          <w:rFonts w:ascii="Arial" w:cs="Arial" w:eastAsia="Arial" w:hAnsi="Arial"/>
          <w:sz w:val="22"/>
          <w:szCs w:val="22"/>
        </w:rPr>
        <w:t xml:space="preserve">SOC 2 Type I before first paying customer</w:t>
      </w:r>
    </w:p>
    <w:p>
      <w:pPr>
        <w:pStyle w:val="ListParagraph"/>
        <w:numPr>
          <w:ilvl w:val="0"/>
          <w:numId w:val="2"/>
        </w:numPr>
        <w:spacing w:after="40" w:before="40"/>
      </w:pPr>
      <w:r>
        <w:rPr>
          <w:rFonts w:ascii="Arial" w:cs="Arial" w:eastAsia="Arial" w:hAnsi="Arial"/>
          <w:sz w:val="22"/>
          <w:szCs w:val="22"/>
        </w:rPr>
        <w:t xml:space="preserve">SOC 2 Type II within 12 months of launch</w:t>
      </w:r>
    </w:p>
    <w:p>
      <w:pPr>
        <w:pStyle w:val="ListParagraph"/>
        <w:numPr>
          <w:ilvl w:val="0"/>
          <w:numId w:val="2"/>
        </w:numPr>
        <w:spacing w:after="40" w:before="40"/>
      </w:pPr>
      <w:r>
        <w:rPr>
          <w:rFonts w:ascii="Arial" w:cs="Arial" w:eastAsia="Arial" w:hAnsi="Arial"/>
          <w:sz w:val="22"/>
          <w:szCs w:val="22"/>
        </w:rPr>
        <w:t xml:space="preserve">E&amp;O + Cyber Liability Insurance</w:t>
      </w:r>
    </w:p>
    <w:p>
      <w:pPr>
        <w:pStyle w:val="ListParagraph"/>
        <w:numPr>
          <w:ilvl w:val="0"/>
          <w:numId w:val="2"/>
        </w:numPr>
        <w:spacing w:after="40" w:before="40"/>
      </w:pPr>
      <w:r>
        <w:rPr>
          <w:rFonts w:ascii="Arial" w:cs="Arial" w:eastAsia="Arial" w:hAnsi="Arial"/>
          <w:sz w:val="22"/>
          <w:szCs w:val="22"/>
        </w:rPr>
        <w:t xml:space="preserve">AI Acceptable Use Policy</w:t>
      </w:r>
    </w:p>
    <w:p>
      <w:pPr>
        <w:pStyle w:val="ListParagraph"/>
        <w:numPr>
          <w:ilvl w:val="0"/>
          <w:numId w:val="2"/>
        </w:numPr>
        <w:spacing w:after="40" w:before="40"/>
      </w:pPr>
      <w:r>
        <w:rPr>
          <w:rFonts w:ascii="Arial" w:cs="Arial" w:eastAsia="Arial" w:hAnsi="Arial"/>
          <w:sz w:val="22"/>
          <w:szCs w:val="22"/>
        </w:rPr>
        <w:t xml:space="preserve">DPA Templates (US + GDPR)</w:t>
      </w:r>
    </w:p>
    <w:p>
      <w:pPr>
        <w:pStyle w:val="ListParagraph"/>
        <w:numPr>
          <w:ilvl w:val="0"/>
          <w:numId w:val="2"/>
        </w:numPr>
        <w:spacing w:after="40" w:before="40"/>
      </w:pPr>
      <w:r>
        <w:rPr>
          <w:rFonts w:ascii="Arial" w:cs="Arial" w:eastAsia="Arial" w:hAnsi="Arial"/>
          <w:sz w:val="22"/>
          <w:szCs w:val="22"/>
        </w:rPr>
        <w:t xml:space="preserve">First Public Bias Audit Report</w:t>
      </w:r>
    </w:p>
    <w:p>
      <w:pPr>
        <w:pStyle w:val="ListParagraph"/>
        <w:numPr>
          <w:ilvl w:val="0"/>
          <w:numId w:val="2"/>
        </w:numPr>
        <w:spacing w:after="40" w:before="40"/>
      </w:pPr>
      <w:r>
        <w:rPr>
          <w:rFonts w:ascii="Arial" w:cs="Arial" w:eastAsia="Arial" w:hAnsi="Arial"/>
          <w:sz w:val="22"/>
          <w:szCs w:val="22"/>
        </w:rPr>
        <w:t xml:space="preserve">NIST AI RMF Profile documented</w:t>
      </w:r>
    </w:p>
    <w:p>
      <w:pPr>
        <w:pStyle w:val="ListParagraph"/>
        <w:numPr>
          <w:ilvl w:val="0"/>
          <w:numId w:val="2"/>
        </w:numPr>
        <w:spacing w:after="40" w:before="40"/>
      </w:pPr>
      <w:r>
        <w:rPr>
          <w:rFonts w:ascii="Arial" w:cs="Arial" w:eastAsia="Arial" w:hAnsi="Arial"/>
          <w:sz w:val="22"/>
          <w:szCs w:val="22"/>
        </w:rPr>
        <w:t xml:space="preserve">Model Cards for all live models</w:t>
      </w:r>
    </w:p>
    <w:p>
      <w:pPr>
        <w:pStyle w:val="ListParagraph"/>
        <w:numPr>
          <w:ilvl w:val="0"/>
          <w:numId w:val="2"/>
        </w:numPr>
        <w:spacing w:after="40" w:before="40"/>
      </w:pPr>
      <w:r>
        <w:rPr>
          <w:rFonts w:ascii="Arial" w:cs="Arial" w:eastAsia="Arial" w:hAnsi="Arial"/>
          <w:sz w:val="22"/>
          <w:szCs w:val="22"/>
        </w:rPr>
        <w:t xml:space="preserve">Customer Trust Bundle v1</w:t>
      </w:r>
    </w:p>
    <w:p>
      <w:pPr>
        <w:pStyle w:val="ListParagraph"/>
        <w:numPr>
          <w:ilvl w:val="0"/>
          <w:numId w:val="2"/>
        </w:numPr>
        <w:spacing w:after="40" w:before="40"/>
      </w:pPr>
      <w:r>
        <w:rPr>
          <w:rFonts w:ascii="Arial" w:cs="Arial" w:eastAsia="Arial" w:hAnsi="Arial"/>
          <w:sz w:val="22"/>
          <w:szCs w:val="22"/>
        </w:rPr>
        <w:t xml:space="preserve">Internal Incident Response Plan</w:t>
      </w:r>
    </w:p>
    <w:p>
      <w:pPr>
        <w:pStyle w:val="ListParagraph"/>
        <w:numPr>
          <w:ilvl w:val="0"/>
          <w:numId w:val="2"/>
        </w:numPr>
        <w:spacing w:after="40" w:before="40"/>
      </w:pPr>
      <w:r>
        <w:rPr>
          <w:rFonts w:ascii="Arial" w:cs="Arial" w:eastAsia="Arial" w:hAnsi="Arial"/>
          <w:sz w:val="22"/>
          <w:szCs w:val="22"/>
        </w:rPr>
        <w:t xml:space="preserve">Employee AI Training Track</w:t>
      </w:r>
    </w:p>
    <w:p>
      <w:pPr>
        <w:pStyle w:val="Heading1"/>
        <w:pageBreakBefore/>
        <w:spacing w:after="240" w:before="240"/>
      </w:pPr>
      <w:r>
        <w:rPr>
          <w:rFonts w:ascii="Arial" w:cs="Arial" w:eastAsia="Arial" w:hAnsi="Arial"/>
          <w:b/>
          <w:bCs/>
          <w:color w:val="1F3A68"/>
          <w:sz w:val="36"/>
          <w:szCs w:val="36"/>
        </w:rPr>
        <w:t xml:space="preserve">7. Competition &amp; Differentiation</w:t>
      </w:r>
    </w:p>
    <w:p>
      <w:pPr>
        <w:spacing w:after="80" w:before="80"/>
      </w:pPr>
      <w:r>
        <w:rPr>
          <w:rFonts w:ascii="Arial" w:cs="Arial" w:eastAsia="Arial" w:hAnsi="Arial"/>
          <w:sz w:val="22"/>
          <w:szCs w:val="22"/>
        </w:rPr>
        <w:t xml:space="preserve">The competitive landscape splits into four concentric rings — direct, HR-adjacent, skill-mapping-adjacent, and survey-based. Keystone's primary direct threat is Jellyfish; the strongest defensible differentiation is the customer-taxonomy data flywheel rather than compliance posture.</w:t>
      </w:r>
    </w:p>
    <w:p>
      <w:pPr>
        <w:pStyle w:val="Heading2"/>
        <w:spacing w:after="120" w:before="240"/>
      </w:pPr>
      <w:r>
        <w:rPr>
          <w:rFonts w:ascii="Arial" w:cs="Arial" w:eastAsia="Arial" w:hAnsi="Arial"/>
          <w:b/>
          <w:bCs/>
          <w:color w:val="1F3A68"/>
          <w:sz w:val="28"/>
          <w:szCs w:val="28"/>
        </w:rPr>
        <w:t xml:space="preserve">7.1 Ring 1 — 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000"/>
        <w:gridCol w:w="1660"/>
        <w:gridCol w:w="1000"/>
      </w:tblGrid>
      <w:tr>
        <w:trPr>
          <w:tblHeader/>
        </w:trPr>
        <w:tc>
          <w:tcPr>
            <w:tcW w:type="dxa" w:w="24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Player</w:t>
            </w:r>
          </w:p>
        </w:tc>
        <w:tc>
          <w:tcPr>
            <w:tcW w:type="dxa" w:w="23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Focus</w:t>
            </w:r>
          </w:p>
        </w:tc>
        <w:tc>
          <w:tcPr>
            <w:tcW w:type="dxa" w:w="20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Strength</w:t>
            </w:r>
          </w:p>
        </w:tc>
        <w:tc>
          <w:tcPr>
            <w:tcW w:type="dxa" w:w="16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Weakness</w:t>
            </w:r>
          </w:p>
        </w:tc>
        <w:tc>
          <w:tcPr>
            <w:tcW w:type="dxa" w:w="10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Threat</w:t>
            </w:r>
          </w:p>
        </w:tc>
      </w:tr>
      <w:tr>
        <w:tc>
          <w:tcPr>
            <w:tcW w:type="dxa" w:w="24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Jellyfish (Series C, ~$50M ARR, $130M+ raised)</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Eng-Mgmt Platform, Allocation, Delivery</w:t>
            </w:r>
          </w:p>
        </w:tc>
        <w:tc>
          <w:tcPr>
            <w:tcW w:type="dxa" w:w="2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Enterprise-ready, Roadmap-Linkage, CFO-friendly</w:t>
            </w:r>
          </w:p>
        </w:tc>
        <w:tc>
          <w:tcPr>
            <w:tcW w:type="dxa" w:w="16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Productivity-Linse, HR-feel, not LLM-native</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High — could re-brand to Resilience in 9 months</w:t>
            </w:r>
          </w:p>
        </w:tc>
      </w:tr>
      <w:tr>
        <w:tc>
          <w:tcPr>
            <w:tcW w:type="dxa" w:w="24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Swarmia (Series A, FI)</w:t>
            </w:r>
          </w:p>
        </w:tc>
        <w:tc>
          <w:tcPr>
            <w:tcW w:type="dxa" w:w="2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Eng-Effectiveness, DORA + DX</w:t>
            </w:r>
          </w:p>
        </w:tc>
        <w:tc>
          <w:tcPr>
            <w:tcW w:type="dxa" w:w="2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Modern UI, Dev-loved</w:t>
            </w:r>
          </w:p>
        </w:tc>
        <w:tc>
          <w:tcPr>
            <w:tcW w:type="dxa" w:w="16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Tight DORA focus, no people layer</w:t>
            </w:r>
          </w:p>
        </w:tc>
        <w:tc>
          <w:tcPr>
            <w:tcW w:type="dxa" w:w="1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Medium</w:t>
            </w:r>
          </w:p>
        </w:tc>
      </w:tr>
      <w:tr>
        <w:tc>
          <w:tcPr>
            <w:tcW w:type="dxa" w:w="24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LinearB (Series B, IL)</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Dev-Productivity / Workflow</w:t>
            </w:r>
          </w:p>
        </w:tc>
        <w:tc>
          <w:tcPr>
            <w:tcW w:type="dxa" w:w="2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Workflow integration</w:t>
            </w:r>
          </w:p>
        </w:tc>
        <w:tc>
          <w:tcPr>
            <w:tcW w:type="dxa" w:w="16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 skill mapping</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Medium</w:t>
            </w:r>
          </w:p>
        </w:tc>
      </w:tr>
      <w:tr>
        <w:tc>
          <w:tcPr>
            <w:tcW w:type="dxa" w:w="24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Faros AI</w:t>
            </w:r>
          </w:p>
        </w:tc>
        <w:tc>
          <w:tcPr>
            <w:tcW w:type="dxa" w:w="2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Unified Eng-Data Layer</w:t>
            </w:r>
          </w:p>
        </w:tc>
        <w:tc>
          <w:tcPr>
            <w:tcW w:type="dxa" w:w="2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Modern data model</w:t>
            </w:r>
          </w:p>
        </w:tc>
        <w:tc>
          <w:tcPr>
            <w:tcW w:type="dxa" w:w="16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Platform-y, less opinionated</w:t>
            </w:r>
          </w:p>
        </w:tc>
        <w:tc>
          <w:tcPr>
            <w:tcW w:type="dxa" w:w="1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Structurally closest</w:t>
            </w:r>
          </w:p>
        </w:tc>
      </w:tr>
    </w:tbl>
    <w:p>
      <w:r>
        <w:t xml:space="preserve"/>
      </w:r>
    </w:p>
    <w:p>
      <w:pPr>
        <w:pStyle w:val="Heading2"/>
        <w:spacing w:after="120" w:before="240"/>
      </w:pPr>
      <w:r>
        <w:rPr>
          <w:rFonts w:ascii="Arial" w:cs="Arial" w:eastAsia="Arial" w:hAnsi="Arial"/>
          <w:b/>
          <w:bCs/>
          <w:color w:val="1F3A68"/>
          <w:sz w:val="28"/>
          <w:szCs w:val="28"/>
        </w:rPr>
        <w:t xml:space="preserve">7.2 Defensible Differentiation Axes</w:t>
      </w:r>
    </w:p>
    <w:p>
      <w:pPr>
        <w:spacing w:after="80" w:before="80"/>
      </w:pPr>
      <w:r>
        <w:rPr>
          <w:rFonts w:ascii="Arial" w:cs="Arial" w:eastAsia="Arial" w:hAnsi="Arial"/>
          <w:sz w:val="22"/>
          <w:szCs w:val="22"/>
        </w:rPr>
        <w:t xml:space="preserve">Critique correctly noted that compliance is not a 24-month moat. The reframed primary moat is the customer-taxonomy + HIL-refinement data flywheel: with each customer week, taxonomy accuracy compounds (60% on day 0 → 75% after VPE refinement → 85% after 90 days of HIL → 92%+ after 18 months). A customer leaving Keystone loses their refined knowledge graph; switching cost grows with customer lifetime. Cross-customer anonymized benchmarks (Phase 2) become a real data moat that Jellyfish, with its differently-architected taxonomy, cannot match without years of HIL refinement per customer.</w:t>
      </w:r>
    </w:p>
    <w:p>
      <w:pPr>
        <w:spacing w:after="80" w:before="80"/>
      </w:pPr>
      <w:r>
        <w:rPr>
          <w:rFonts w:ascii="Arial" w:cs="Arial" w:eastAsia="Arial" w:hAnsi="Arial"/>
          <w:sz w:val="22"/>
          <w:szCs w:val="22"/>
        </w:rPr>
        <w:t xml:space="preserve">Compliance is reframed from "moat" to "table-stakes-bundled + procurement-speed accelerator." Compliance depth gets us through the door; the data flywheel keeps customers inside.</w:t>
      </w:r>
    </w:p>
    <w:p>
      <w:pPr>
        <w:pStyle w:val="Heading2"/>
        <w:spacing w:after="120" w:before="240"/>
      </w:pPr>
      <w:r>
        <w:rPr>
          <w:rFonts w:ascii="Arial" w:cs="Arial" w:eastAsia="Arial" w:hAnsi="Arial"/>
          <w:b/>
          <w:bCs/>
          <w:color w:val="1F3A68"/>
          <w:sz w:val="28"/>
          <w:szCs w:val="28"/>
        </w:rPr>
        <w:t xml:space="preserve">7.3 Marketing Lead Axes</w:t>
      </w:r>
    </w:p>
    <w:p>
      <w:pPr>
        <w:pStyle w:val="ListParagraph"/>
        <w:numPr>
          <w:ilvl w:val="0"/>
          <w:numId w:val="2"/>
        </w:numPr>
        <w:spacing w:after="40" w:before="40"/>
      </w:pPr>
      <w:r>
        <w:rPr>
          <w:rFonts w:ascii="Arial" w:cs="Arial" w:eastAsia="Arial" w:hAnsi="Arial"/>
          <w:sz w:val="22"/>
          <w:szCs w:val="22"/>
        </w:rPr>
        <w:t xml:space="preserve">Resilience-Linse (Brand) — recurring hook in every asset: "Productivity is dead. Resilience is the new metric."</w:t>
      </w:r>
    </w:p>
    <w:p>
      <w:pPr>
        <w:pStyle w:val="ListParagraph"/>
        <w:numPr>
          <w:ilvl w:val="0"/>
          <w:numId w:val="2"/>
        </w:numPr>
        <w:spacing w:after="40" w:before="40"/>
      </w:pPr>
      <w:r>
        <w:rPr>
          <w:rFonts w:ascii="Arial" w:cs="Arial" w:eastAsia="Arial" w:hAnsi="Arial"/>
          <w:sz w:val="22"/>
          <w:szCs w:val="22"/>
        </w:rPr>
        <w:t xml:space="preserve">Bus-Factor-Audit (Killer Feature MVP) — demo moment: "Here are your 12 SPOFs. 4 of them you didn't know about."</w:t>
      </w:r>
    </w:p>
    <w:p>
      <w:pPr>
        <w:pStyle w:val="ListParagraph"/>
        <w:numPr>
          <w:ilvl w:val="0"/>
          <w:numId w:val="2"/>
        </w:numPr>
        <w:spacing w:after="40" w:before="40"/>
      </w:pPr>
      <w:r>
        <w:rPr>
          <w:rFonts w:ascii="Arial" w:cs="Arial" w:eastAsia="Arial" w:hAnsi="Arial"/>
          <w:sz w:val="22"/>
          <w:szCs w:val="22"/>
        </w:rPr>
        <w:t xml:space="preserve">Procurement-Speed (instead of "Compliance-Moat") — closer: "From handshake to SaaS in 30 days, not 90."</w:t>
      </w:r>
    </w:p>
    <w:p>
      <w:pPr>
        <w:pStyle w:val="ListParagraph"/>
        <w:numPr>
          <w:ilvl w:val="0"/>
          <w:numId w:val="2"/>
        </w:numPr>
        <w:spacing w:after="40" w:before="40"/>
      </w:pPr>
      <w:r>
        <w:rPr>
          <w:rFonts w:ascii="Arial" w:cs="Arial" w:eastAsia="Arial" w:hAnsi="Arial"/>
          <w:sz w:val="22"/>
          <w:szCs w:val="22"/>
        </w:rPr>
        <w:t xml:space="preserve">Phase 2: Reorg Discovery — upsell hook: "See which initiatives are exposed when X moves teams."</w:t>
      </w:r>
    </w:p>
    <w:p>
      <w:pPr>
        <w:pStyle w:val="Heading2"/>
        <w:spacing w:after="120" w:before="240"/>
      </w:pPr>
      <w:r>
        <w:rPr>
          <w:rFonts w:ascii="Arial" w:cs="Arial" w:eastAsia="Arial" w:hAnsi="Arial"/>
          <w:b/>
          <w:bCs/>
          <w:color w:val="1F3A68"/>
          <w:sz w:val="28"/>
          <w:szCs w:val="28"/>
        </w:rPr>
        <w:t xml:space="preserve">7.4 Category Strategy</w:t>
      </w:r>
    </w:p>
    <w:p>
      <w:pPr>
        <w:spacing w:after="80" w:before="80"/>
      </w:pPr>
      <w:r>
        <w:rPr>
          <w:rFonts w:ascii="Arial" w:cs="Arial" w:eastAsia="Arial" w:hAnsi="Arial"/>
          <w:sz w:val="22"/>
          <w:szCs w:val="22"/>
        </w:rPr>
        <w:t xml:space="preserve">Keystone sells into Engineering-Intelligence budget codes (existing buyer awareness, existing budget allocation), and uses "Resilience" as brand differentiation and sub-positioning within that category. Earlier versions of this paper proposed creating a new "Workforce Resilience" category — critique correctly flagged that category creation is too slow for a seed-stage business with 18-month runway. The category-king-in-niche pattern is faster: leverage existing search behavior, sharpen the differentiation within the category.</w:t>
      </w:r>
    </w:p>
    <w:p>
      <w:pPr>
        <w:pStyle w:val="Heading2"/>
        <w:spacing w:after="120" w:before="240"/>
      </w:pPr>
      <w:r>
        <w:rPr>
          <w:rFonts w:ascii="Arial" w:cs="Arial" w:eastAsia="Arial" w:hAnsi="Arial"/>
          <w:b/>
          <w:bCs/>
          <w:color w:val="1F3A68"/>
          <w:sz w:val="28"/>
          <w:szCs w:val="28"/>
        </w:rPr>
        <w:t xml:space="preserve">7.5 Forcing Functions</w:t>
      </w:r>
    </w:p>
    <w:p>
      <w:pPr>
        <w:spacing w:after="80" w:before="80"/>
      </w:pPr>
      <w:r>
        <w:rPr>
          <w:rFonts w:ascii="Arial" w:cs="Arial" w:eastAsia="Arial" w:hAnsi="Arial"/>
          <w:sz w:val="22"/>
          <w:szCs w:val="22"/>
        </w:rPr>
        <w:t xml:space="preserve">What converts "Workforce Resilience" from thought leadership into procurement action:</w:t>
      </w:r>
    </w:p>
    <w:p>
      <w:pPr>
        <w:pStyle w:val="ListParagraph"/>
        <w:numPr>
          <w:ilvl w:val="0"/>
          <w:numId w:val="2"/>
        </w:numPr>
        <w:spacing w:after="40" w:before="40"/>
      </w:pPr>
      <w:r>
        <w:rPr>
          <w:rFonts w:ascii="Arial" w:cs="Arial" w:eastAsia="Arial" w:hAnsi="Arial"/>
          <w:sz w:val="22"/>
          <w:szCs w:val="22"/>
        </w:rPr>
        <w:t xml:space="preserve">Colorado AI Act Reporting (Feb 2026) — consequential decisions reporting requires audit trails</w:t>
      </w:r>
    </w:p>
    <w:p>
      <w:pPr>
        <w:pStyle w:val="ListParagraph"/>
        <w:numPr>
          <w:ilvl w:val="0"/>
          <w:numId w:val="2"/>
        </w:numPr>
        <w:spacing w:after="40" w:before="40"/>
      </w:pPr>
      <w:r>
        <w:rPr>
          <w:rFonts w:ascii="Arial" w:cs="Arial" w:eastAsia="Arial" w:hAnsi="Arial"/>
          <w:sz w:val="22"/>
          <w:szCs w:val="22"/>
        </w:rPr>
        <w:t xml:space="preserve">NYC Local Law 144 (AEDT) — annual public bias audit mandatory</w:t>
      </w:r>
    </w:p>
    <w:p>
      <w:pPr>
        <w:pStyle w:val="ListParagraph"/>
        <w:numPr>
          <w:ilvl w:val="0"/>
          <w:numId w:val="2"/>
        </w:numPr>
        <w:spacing w:after="40" w:before="40"/>
      </w:pPr>
      <w:r>
        <w:rPr>
          <w:rFonts w:ascii="Arial" w:cs="Arial" w:eastAsia="Arial" w:hAnsi="Arial"/>
          <w:sz w:val="22"/>
          <w:szCs w:val="22"/>
        </w:rPr>
        <w:t xml:space="preserve">Layoff-Wave-Trigger — real-time customer pain at reorg/layoff event</w:t>
      </w:r>
    </w:p>
    <w:p>
      <w:pPr>
        <w:pStyle w:val="ListParagraph"/>
        <w:numPr>
          <w:ilvl w:val="0"/>
          <w:numId w:val="2"/>
        </w:numPr>
        <w:spacing w:after="40" w:before="40"/>
      </w:pPr>
      <w:r>
        <w:rPr>
          <w:rFonts w:ascii="Arial" w:cs="Arial" w:eastAsia="Arial" w:hAnsi="Arial"/>
          <w:sz w:val="22"/>
          <w:szCs w:val="22"/>
        </w:rPr>
        <w:t xml:space="preserve">Post-M&amp;A integration — acquirer needs clear org map of acquired team</w:t>
      </w:r>
    </w:p>
    <w:p>
      <w:pPr>
        <w:pStyle w:val="ListParagraph"/>
        <w:numPr>
          <w:ilvl w:val="0"/>
          <w:numId w:val="2"/>
        </w:numPr>
        <w:spacing w:after="40" w:before="40"/>
      </w:pPr>
      <w:r>
        <w:rPr>
          <w:rFonts w:ascii="Arial" w:cs="Arial" w:eastAsia="Arial" w:hAnsi="Arial"/>
          <w:sz w:val="22"/>
          <w:szCs w:val="22"/>
        </w:rPr>
        <w:t xml:space="preserve">Hyper-growth onboarding wall — when 50→200 engineers in 12 months, knowledge fragments</w:t>
      </w:r>
    </w:p>
    <w:p>
      <w:pPr>
        <w:pStyle w:val="ListParagraph"/>
        <w:numPr>
          <w:ilvl w:val="0"/>
          <w:numId w:val="2"/>
        </w:numPr>
        <w:spacing w:after="40" w:before="40"/>
      </w:pPr>
      <w:r>
        <w:rPr>
          <w:rFonts w:ascii="Arial" w:cs="Arial" w:eastAsia="Arial" w:hAnsi="Arial"/>
          <w:sz w:val="22"/>
          <w:szCs w:val="22"/>
        </w:rPr>
        <w:t xml:space="preserve">Quarterly board reporting — CTO/VPE must report engineering resilience as metric</w:t>
      </w:r>
    </w:p>
    <w:p>
      <w:pPr>
        <w:pStyle w:val="Heading1"/>
        <w:pageBreakBefore/>
        <w:spacing w:after="240" w:before="240"/>
      </w:pPr>
      <w:r>
        <w:rPr>
          <w:rFonts w:ascii="Arial" w:cs="Arial" w:eastAsia="Arial" w:hAnsi="Arial"/>
          <w:b/>
          <w:bCs/>
          <w:color w:val="1F3A68"/>
          <w:sz w:val="36"/>
          <w:szCs w:val="36"/>
        </w:rPr>
        <w:t xml:space="preserve">8. GTM, Pricing &amp; Roadmap</w:t>
      </w:r>
    </w:p>
    <w:p>
      <w:pPr>
        <w:spacing w:after="80" w:before="80"/>
      </w:pPr>
      <w:r>
        <w:rPr>
          <w:rFonts w:ascii="Arial" w:cs="Arial" w:eastAsia="Arial" w:hAnsi="Arial"/>
          <w:sz w:val="22"/>
          <w:szCs w:val="22"/>
        </w:rPr>
        <w:t xml:space="preserve">Keystone's go-to-market is top-down dominated with EM as co-champion and HR as co-signer, not bypassed. The MVP is Tier-1-First — Map plus Bus-Factor-Audit only — with Tier 3 deliberately deferred to Phase 2 to avoid the Mobley-v.-Workday-style legal trap that early Tier-3 launch would create.</w:t>
      </w:r>
    </w:p>
    <w:p>
      <w:pPr>
        <w:pStyle w:val="Heading2"/>
        <w:spacing w:after="120" w:before="240"/>
      </w:pPr>
      <w:r>
        <w:rPr>
          <w:rFonts w:ascii="Arial" w:cs="Arial" w:eastAsia="Arial" w:hAnsi="Arial"/>
          <w:b/>
          <w:bCs/>
          <w:color w:val="1F3A68"/>
          <w:sz w:val="28"/>
          <w:szCs w:val="28"/>
        </w:rPr>
        <w:t xml:space="preserve">8.1 MVP Scope (Tier-1-First)</w:t>
      </w:r>
    </w:p>
    <w:p>
      <w:pPr>
        <w:spacing w:after="80" w:before="80"/>
      </w:pPr>
      <w:r>
        <w:rPr>
          <w:rFonts w:ascii="Arial" w:cs="Arial" w:eastAsia="Arial" w:hAnsi="Arial"/>
          <w:sz w:val="22"/>
          <w:szCs w:val="22"/>
        </w:rPr>
        <w:t xml:space="preserve">The MVP at month 6 ships Tier 1 (Knowledge Discovery + Bus-Factor-Audit) over three connectors (GitHub, Jira, Slack), English only, US region (East and West-DR), with the full compliance foundation (hard HIL, audit log, disclaimer layer, demographics-blocked production, AI AUP), and tier-aware tenancy. Confluence connector lands in Phase 1b (months 6–9). Tier 2 Pulse beta at month 9. Reorg Discovery (Phase 2a) at month 12. SOC 2 Type I at month 9; first public bias audit at month 12; SOC 2 Type II by month 18.</w:t>
      </w:r>
    </w:p>
    <w:p>
      <w:pPr>
        <w:pStyle w:val="Heading2"/>
        <w:spacing w:after="120" w:before="240"/>
      </w:pPr>
      <w:r>
        <w:rPr>
          <w:rFonts w:ascii="Arial" w:cs="Arial" w:eastAsia="Arial" w:hAnsi="Arial"/>
          <w:b/>
          <w:bCs/>
          <w:color w:val="1F3A68"/>
          <w:sz w:val="28"/>
          <w:szCs w:val="28"/>
        </w:rPr>
        <w:t xml:space="preserve">8.2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1500"/>
        <w:gridCol w:w="1560"/>
      </w:tblGrid>
      <w:tr>
        <w:trPr>
          <w:tblHeader/>
        </w:trPr>
        <w:tc>
          <w:tcPr>
            <w:tcW w:type="dxa" w:w="33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Tier</w:t>
            </w:r>
          </w:p>
        </w:tc>
        <w:tc>
          <w:tcPr>
            <w:tcW w:type="dxa" w:w="30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Tenancy</w:t>
            </w:r>
          </w:p>
        </w:tc>
        <w:tc>
          <w:tcPr>
            <w:tcW w:type="dxa" w:w="15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Eng Floor</w:t>
            </w:r>
          </w:p>
        </w:tc>
        <w:tc>
          <w:tcPr>
            <w:tcW w:type="dxa" w:w="15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Per Eng / Month</w:t>
            </w:r>
          </w:p>
        </w:tc>
      </w:tr>
      <w:t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Map</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Pooled multi-tenant</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30 Eng</w:t>
            </w:r>
          </w:p>
        </w:tc>
        <w:tc>
          <w:tcPr>
            <w:tcW w:type="dxa" w:w="15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$25</w:t>
            </w:r>
          </w:p>
        </w:tc>
      </w:tr>
      <w:tr>
        <w:tc>
          <w:tcPr>
            <w:tcW w:type="dxa" w:w="3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Map + Decide (Phase 2)</w:t>
            </w:r>
          </w:p>
        </w:tc>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Per-Tenant DB</w:t>
            </w:r>
          </w:p>
        </w:tc>
        <w:tc>
          <w:tcPr>
            <w:tcW w:type="dxa" w:w="1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50 Eng</w:t>
            </w:r>
          </w:p>
        </w:tc>
        <w:tc>
          <w:tcPr>
            <w:tcW w:type="dxa" w:w="15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$45</w:t>
            </w:r>
          </w:p>
        </w:tc>
      </w:tr>
      <w:tr>
        <w:tc>
          <w:tcPr>
            <w:tcW w:type="dxa" w:w="3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Enterprise</w:t>
            </w:r>
          </w:p>
        </w:tc>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Per-Tenant + Self-Host</w:t>
            </w:r>
          </w:p>
        </w:tc>
        <w:tc>
          <w:tcPr>
            <w:tcW w:type="dxa" w:w="1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100 Eng</w:t>
            </w:r>
          </w:p>
        </w:tc>
        <w:tc>
          <w:tcPr>
            <w:tcW w:type="dxa" w:w="15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$60+ (or custom)</w:t>
            </w:r>
          </w:p>
        </w:tc>
      </w:tr>
    </w:tbl>
    <w:p>
      <w:r>
        <w:t xml:space="preserve"/>
      </w:r>
    </w:p>
    <w:p>
      <w:pPr>
        <w:spacing w:after="80" w:before="80"/>
      </w:pPr>
      <w:r>
        <w:rPr>
          <w:rFonts w:ascii="Arial" w:cs="Arial" w:eastAsia="Arial" w:hAnsi="Arial"/>
          <w:sz w:val="22"/>
          <w:szCs w:val="22"/>
        </w:rPr>
        <w:t xml:space="preserve">Annual-commit discount of 15–20%. Realistic blended gross margins of 65–72% (under the optimistic 80% claimed in earlier versions, after correctly counting customer success, SOC 2 amortization, and sales-engineer time). Margin improves with scale through customer-success leverage and per-customer cost efficiency.</w:t>
      </w:r>
    </w:p>
    <w:p>
      <w:pPr>
        <w:pStyle w:val="Heading2"/>
        <w:spacing w:after="120" w:before="240"/>
      </w:pPr>
      <w:r>
        <w:rPr>
          <w:rFonts w:ascii="Arial" w:cs="Arial" w:eastAsia="Arial" w:hAnsi="Arial"/>
          <w:b/>
          <w:bCs/>
          <w:color w:val="1F3A68"/>
          <w:sz w:val="28"/>
          <w:szCs w:val="28"/>
        </w:rPr>
        <w:t xml:space="preserve">8.3 Sales Motion</w:t>
      </w:r>
    </w:p>
    <w:p>
      <w:pPr>
        <w:spacing w:after="80" w:before="80"/>
      </w:pPr>
      <w:r>
        <w:rPr>
          <w:rFonts w:ascii="Arial" w:cs="Arial" w:eastAsia="Arial" w:hAnsi="Arial"/>
          <w:sz w:val="22"/>
          <w:szCs w:val="22"/>
        </w:rPr>
        <w:t xml:space="preserve">Top-down dominated, with EM as co-champion and HR as co-signer. The flow: outbound and content target VPE/CTO; discovery call demonstrates Bus-Factor-Audit as the Wow moment; 30-day Map-tier trial includes EM and Staff Engineers as hands-on users with sales-engineer-led onboarding; pre-baked Trust Bundle (pre-filled VSQ + HR-Fast-Path-Artifact) clears legal and HR review; close on annual contract. Expansion (Phase 2) adds Reorg Discovery, then full RRC, then Enterprise upsell.</w:t>
      </w:r>
    </w:p>
    <w:p>
      <w:pPr>
        <w:spacing w:after="80" w:before="80"/>
      </w:pPr>
      <w:r>
        <w:rPr>
          <w:rFonts w:ascii="Arial" w:cs="Arial" w:eastAsia="Arial" w:hAnsi="Arial"/>
          <w:sz w:val="22"/>
          <w:szCs w:val="22"/>
        </w:rPr>
        <w:t xml:space="preserve">Sales-cycle is realistic at 3–6 months for Series B+. Series-A scaleups on the pooled Map tier may close in 2–4 months due to lower compliance friction.</w:t>
      </w:r>
    </w:p>
    <w:p>
      <w:pPr>
        <w:pStyle w:val="Heading2"/>
        <w:spacing w:after="120" w:before="240"/>
      </w:pPr>
      <w:r>
        <w:rPr>
          <w:rFonts w:ascii="Arial" w:cs="Arial" w:eastAsia="Arial" w:hAnsi="Arial"/>
          <w:b/>
          <w:bCs/>
          <w:color w:val="1F3A68"/>
          <w:sz w:val="28"/>
          <w:szCs w:val="28"/>
        </w:rPr>
        <w:t xml:space="preserve">8.4 Wedge Strategy</w:t>
      </w:r>
    </w:p>
    <w:p>
      <w:pPr>
        <w:spacing w:after="80" w:before="80"/>
      </w:pPr>
      <w:r>
        <w:rPr>
          <w:rFonts w:ascii="Arial" w:cs="Arial" w:eastAsia="Arial" w:hAnsi="Arial"/>
          <w:sz w:val="22"/>
          <w:szCs w:val="22"/>
        </w:rPr>
        <w:t xml:space="preserve">Primary wedge: the Bus-Factor-Audit demo. In a discovery call: "How many engineers do you have? How many do you know personally well? Let me show you in 60 seconds how many SPOFs your team has — and how many of them you didn't know about." The demo runs on customer-data sample during onboarding. The Wow moment is reliably "4 out of 12 SPOFs were not on my radar."</w:t>
      </w:r>
    </w:p>
    <w:p>
      <w:pPr>
        <w:spacing w:after="80" w:before="80"/>
      </w:pPr>
      <w:r>
        <w:rPr>
          <w:rFonts w:ascii="Arial" w:cs="Arial" w:eastAsia="Arial" w:hAnsi="Arial"/>
          <w:sz w:val="22"/>
          <w:szCs w:val="22"/>
        </w:rPr>
        <w:t xml:space="preserve">This wedge replaces the earlier Reorg-Sim wedge for two reasons: lower legal exposure (no replaceability scoring on individuals) and lower compliance friction (no Tier-3 review needed in the first sales cycle). Reorg-Sim becomes the Phase-2 expansion hook.</w:t>
      </w:r>
    </w:p>
    <w:p>
      <w:pPr>
        <w:pStyle w:val="Heading2"/>
        <w:spacing w:after="120" w:before="240"/>
      </w:pPr>
      <w:r>
        <w:rPr>
          <w:rFonts w:ascii="Arial" w:cs="Arial" w:eastAsia="Arial" w:hAnsi="Arial"/>
          <w:b/>
          <w:bCs/>
          <w:color w:val="1F3A68"/>
          <w:sz w:val="28"/>
          <w:szCs w:val="28"/>
        </w:rPr>
        <w:t xml:space="preserve">8.5 Year-1 Roadmap</w:t>
      </w:r>
    </w:p>
    <w:p>
      <w:pPr>
        <w:spacing w:after="80" w:before="80"/>
      </w:pPr>
      <w:r>
        <w:rPr>
          <w:rFonts w:ascii="Arial" w:cs="Arial" w:eastAsia="Arial" w:hAnsi="Arial"/>
          <w:sz w:val="22"/>
          <w:szCs w:val="22"/>
        </w:rPr>
        <w:t xml:space="preserve">Q1 (Build, Tier 1 only): MVP Tier 1, three connectors, hybrid classifier on TypeScript anchor language, audit log v1, tier-aware tenancy. 5 design partners signed pre-SOC-2 with 50% discount. AI Risk Management System and AI AUP draft.</w:t>
      </w:r>
    </w:p>
    <w:p>
      <w:pPr>
        <w:spacing w:after="80" w:before="80"/>
      </w:pPr>
      <w:r>
        <w:rPr>
          <w:rFonts w:ascii="Arial" w:cs="Arial" w:eastAsia="Arial" w:hAnsi="Arial"/>
          <w:sz w:val="22"/>
          <w:szCs w:val="22"/>
        </w:rPr>
        <w:t xml:space="preserve">Q2 (Launch Tier 1): MVP hardening, Public API, Confluence connector. Public launch at month 6 — Tier 1 only. 5–15 paying customers. Outbound engine. SOC 2 Type I prep. AI AUP live.</w:t>
      </w:r>
    </w:p>
    <w:p>
      <w:pPr>
        <w:spacing w:after="80" w:before="80"/>
      </w:pPr>
      <w:r>
        <w:rPr>
          <w:rFonts w:ascii="Arial" w:cs="Arial" w:eastAsia="Arial" w:hAnsi="Arial"/>
          <w:sz w:val="22"/>
          <w:szCs w:val="22"/>
        </w:rPr>
        <w:t xml:space="preserve">Q3 (Tier 1 Scale + Tier 2 Beta): Tier 2 Pulse closed beta. LLM cost optimization. Reorg Discovery beta (no RRC). 15–35 paying customers. First public bias audit report. Trust Bundle v1. SOC 2 Type I at month 9. NIST AI RMF Profile.</w:t>
      </w:r>
    </w:p>
    <w:p>
      <w:pPr>
        <w:spacing w:after="80" w:before="80"/>
      </w:pPr>
      <w:r>
        <w:rPr>
          <w:rFonts w:ascii="Arial" w:cs="Arial" w:eastAsia="Arial" w:hAnsi="Arial"/>
          <w:sz w:val="22"/>
          <w:szCs w:val="22"/>
        </w:rPr>
        <w:t xml:space="preserve">Q4 (Reorg Discovery GA + Series A): Tier 2 Pulse GA. Reorg Discovery GA. Self-Host Enterprise beta. 35–60 paying customers. Series A close. Public bias audit published. SOC 2 Type II prep.</w:t>
      </w:r>
    </w:p>
    <w:p>
      <w:pPr>
        <w:pStyle w:val="Heading2"/>
        <w:spacing w:after="120" w:before="240"/>
      </w:pPr>
      <w:r>
        <w:rPr>
          <w:rFonts w:ascii="Arial" w:cs="Arial" w:eastAsia="Arial" w:hAnsi="Arial"/>
          <w:b/>
          <w:bCs/>
          <w:color w:val="1F3A68"/>
          <w:sz w:val="28"/>
          <w:szCs w:val="28"/>
        </w:rPr>
        <w:t xml:space="preserve">8.6 Funding Plan</w:t>
      </w:r>
    </w:p>
    <w:p>
      <w:pPr>
        <w:spacing w:after="80" w:before="80"/>
      </w:pPr>
      <w:r>
        <w:rPr>
          <w:rFonts w:ascii="Arial" w:cs="Arial" w:eastAsia="Arial" w:hAnsi="Arial"/>
          <w:sz w:val="22"/>
          <w:szCs w:val="22"/>
        </w:rPr>
        <w:t xml:space="preserve">Seed: $3–5M for 24-month runway (extended from the earlier 18 months after the critique observed that Y1 ARR likely lands at $0.3–1.2M, below the $1.5M+ Series-A bar in current 2026 markets). Use of funds: 5–6 engineers, 1 designer, 1 founder selling, 1 founder building, AWS/LLM costs, SOC 2 audit. Series A: $10–15M end Y1 or Q1–Q2 Y2. Series B: $25–40M Y3.</w:t>
      </w:r>
    </w:p>
    <w:p>
      <w:pPr>
        <w:pStyle w:val="Heading2"/>
        <w:spacing w:after="120" w:before="240"/>
      </w:pPr>
      <w:r>
        <w:rPr>
          <w:rFonts w:ascii="Arial" w:cs="Arial" w:eastAsia="Arial" w:hAnsi="Arial"/>
          <w:b/>
          <w:bCs/>
          <w:color w:val="1F3A68"/>
          <w:sz w:val="28"/>
          <w:szCs w:val="28"/>
        </w:rPr>
        <w:t xml:space="preserve">8.7 Year-1 Targets (Min/Max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300"/>
        <w:gridCol w:w="2560"/>
      </w:tblGrid>
      <w:tr>
        <w:trPr>
          <w:tblHeader/>
        </w:trPr>
        <w:tc>
          <w:tcPr>
            <w:tcW w:type="dxa" w:w="45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Metric</w:t>
            </w:r>
          </w:p>
        </w:tc>
        <w:tc>
          <w:tcPr>
            <w:tcW w:type="dxa" w:w="23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Year 1 Min</w:t>
            </w:r>
          </w:p>
        </w:tc>
        <w:tc>
          <w:tcPr>
            <w:tcW w:type="dxa" w:w="25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Year 1 Stretch</w:t>
            </w:r>
          </w:p>
        </w:tc>
      </w:tr>
      <w:tr>
        <w:tc>
          <w:tcPr>
            <w:tcW w:type="dxa" w:w="4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Engineering Seats Activated (North Star)</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3,000</w:t>
            </w:r>
          </w:p>
        </w:tc>
        <w:tc>
          <w:tcPr>
            <w:tcW w:type="dxa" w:w="25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8,000</w:t>
            </w:r>
          </w:p>
        </w:tc>
      </w:tr>
      <w:tr>
        <w:tc>
          <w:tcPr>
            <w:tcW w:type="dxa" w:w="4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ARR</w:t>
            </w:r>
          </w:p>
        </w:tc>
        <w:tc>
          <w:tcPr>
            <w:tcW w:type="dxa" w:w="2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$0.3M</w:t>
            </w:r>
          </w:p>
        </w:tc>
        <w:tc>
          <w:tcPr>
            <w:tcW w:type="dxa" w:w="25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$1.2M</w:t>
            </w:r>
          </w:p>
        </w:tc>
      </w:tr>
      <w:tr>
        <w:tc>
          <w:tcPr>
            <w:tcW w:type="dxa" w:w="4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Customer Count</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15</w:t>
            </w:r>
          </w:p>
        </w:tc>
        <w:tc>
          <w:tcPr>
            <w:tcW w:type="dxa" w:w="25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50</w:t>
            </w:r>
          </w:p>
        </w:tc>
      </w:tr>
      <w:tr>
        <w:tc>
          <w:tcPr>
            <w:tcW w:type="dxa" w:w="4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Time-to-First-Value</w:t>
            </w:r>
          </w:p>
        </w:tc>
        <w:tc>
          <w:tcPr>
            <w:tcW w:type="dxa" w:w="2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&lt;14 days</w:t>
            </w:r>
          </w:p>
        </w:tc>
        <w:tc>
          <w:tcPr>
            <w:tcW w:type="dxa" w:w="25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&lt;14 days</w:t>
            </w:r>
          </w:p>
        </w:tc>
      </w:tr>
      <w:tr>
        <w:tc>
          <w:tcPr>
            <w:tcW w:type="dxa" w:w="45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Customer NPS</w:t>
            </w:r>
          </w:p>
        </w:tc>
        <w:tc>
          <w:tcPr>
            <w:tcW w:type="dxa" w:w="23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30+</w:t>
            </w:r>
          </w:p>
        </w:tc>
        <w:tc>
          <w:tcPr>
            <w:tcW w:type="dxa" w:w="25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50+</w:t>
            </w:r>
          </w:p>
        </w:tc>
      </w:tr>
      <w:tr>
        <w:tc>
          <w:tcPr>
            <w:tcW w:type="dxa" w:w="45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Map → Decide Up-Sell Rate</w:t>
            </w:r>
          </w:p>
        </w:tc>
        <w:tc>
          <w:tcPr>
            <w:tcW w:type="dxa" w:w="23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20% within 9mo</w:t>
            </w:r>
          </w:p>
        </w:tc>
        <w:tc>
          <w:tcPr>
            <w:tcW w:type="dxa" w:w="25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40%</w:t>
            </w:r>
          </w:p>
        </w:tc>
      </w:tr>
    </w:tbl>
    <w:p>
      <w:r>
        <w:t xml:space="preserve"/>
      </w:r>
    </w:p>
    <w:p>
      <w:pPr>
        <w:pStyle w:val="Heading2"/>
        <w:spacing w:after="120" w:before="240"/>
      </w:pPr>
      <w:r>
        <w:rPr>
          <w:rFonts w:ascii="Arial" w:cs="Arial" w:eastAsia="Arial" w:hAnsi="Arial"/>
          <w:b/>
          <w:bCs/>
          <w:color w:val="1F3A68"/>
          <w:sz w:val="28"/>
          <w:szCs w:val="28"/>
        </w:rPr>
        <w:t xml:space="preserve">8.8 Team &amp; Hiring Plan</w:t>
      </w:r>
    </w:p>
    <w:p>
      <w:pPr>
        <w:spacing w:after="80" w:before="80"/>
      </w:pPr>
      <w:r>
        <w:rPr>
          <w:rFonts w:ascii="Arial" w:cs="Arial" w:eastAsia="Arial" w:hAnsi="Arial"/>
          <w:sz w:val="22"/>
          <w:szCs w:val="22"/>
        </w:rPr>
        <w:t xml:space="preserve">The critique correctly observed that this is not yet a Seed-fundable artifact because no founder/team is disclosed. Open team items: GTM co-founder identification, VPE advisor recruitment pre-Seed, equity pool plan and founder splits.</w:t>
      </w:r>
    </w:p>
    <w:p>
      <w:pPr>
        <w:spacing w:after="80" w:before="80"/>
      </w:pPr>
      <w:r>
        <w:rPr>
          <w:rFonts w:ascii="Arial" w:cs="Arial" w:eastAsia="Arial" w:hAnsi="Arial"/>
          <w:sz w:val="22"/>
          <w:szCs w:val="22"/>
        </w:rPr>
        <w:t xml:space="preserve">Year-1 hiring plan post-Seed: 2 ML/Backend engineers (Q1), 1 Frontend engineer (Q1), 1 Designer (Q2), 1 Customer Success Lead (Q2), 1 Sales Engineer (Q3), 1 first AE/SDR (Q3). Total Y1 headcount: 8–10 including founders.</w:t>
      </w:r>
    </w:p>
    <w:p>
      <w:pPr>
        <w:pStyle w:val="Heading1"/>
        <w:pageBreakBefore/>
        <w:spacing w:after="240" w:before="240"/>
      </w:pPr>
      <w:r>
        <w:rPr>
          <w:rFonts w:ascii="Arial" w:cs="Arial" w:eastAsia="Arial" w:hAnsi="Arial"/>
          <w:b/>
          <w:bCs/>
          <w:color w:val="1F3A68"/>
          <w:sz w:val="36"/>
          <w:szCs w:val="36"/>
        </w:rPr>
        <w:t xml:space="preserve">Appendix A — Key Decisions Log</w:t>
      </w:r>
    </w:p>
    <w:p>
      <w:pPr>
        <w:spacing w:after="80" w:before="80"/>
      </w:pPr>
      <w:r>
        <w:rPr>
          <w:rFonts w:ascii="Arial" w:cs="Arial" w:eastAsia="Arial" w:hAnsi="Arial"/>
          <w:sz w:val="22"/>
          <w:szCs w:val="22"/>
        </w:rPr>
        <w:t xml:space="preserve">Selected key strategic decisions from the working decisions-log. Full chronological log lives in the project repository as decisions-log.md.</w:t>
      </w:r>
    </w:p>
    <w:p>
      <w:pPr>
        <w:pStyle w:val="Heading2"/>
        <w:spacing w:after="120" w:before="240"/>
      </w:pPr>
      <w:r>
        <w:rPr>
          <w:rFonts w:ascii="Arial" w:cs="Arial" w:eastAsia="Arial" w:hAnsi="Arial"/>
          <w:b/>
          <w:bCs/>
          <w:color w:val="1F3A68"/>
          <w:sz w:val="28"/>
          <w:szCs w:val="28"/>
        </w:rPr>
        <w:t xml:space="preserve">Vision &amp; Positioning</w:t>
      </w:r>
    </w:p>
    <w:p>
      <w:pPr>
        <w:pStyle w:val="ListParagraph"/>
        <w:numPr>
          <w:ilvl w:val="0"/>
          <w:numId w:val="2"/>
        </w:numPr>
        <w:spacing w:after="40" w:before="40"/>
      </w:pPr>
      <w:r>
        <w:rPr>
          <w:rFonts w:ascii="Arial" w:cs="Arial" w:eastAsia="Arial" w:hAnsi="Arial"/>
          <w:sz w:val="22"/>
          <w:szCs w:val="22"/>
        </w:rPr>
        <w:t xml:space="preserve">Working name: Keystone — architectural metaphor, resilience reference</w:t>
      </w:r>
    </w:p>
    <w:p>
      <w:pPr>
        <w:pStyle w:val="ListParagraph"/>
        <w:numPr>
          <w:ilvl w:val="0"/>
          <w:numId w:val="2"/>
        </w:numPr>
        <w:spacing w:after="40" w:before="40"/>
      </w:pPr>
      <w:r>
        <w:rPr>
          <w:rFonts w:ascii="Arial" w:cs="Arial" w:eastAsia="Arial" w:hAnsi="Arial"/>
          <w:sz w:val="22"/>
          <w:szCs w:val="22"/>
        </w:rPr>
        <w:t xml:space="preserve">Pitch style: provocative hook plus functional subline</w:t>
      </w:r>
    </w:p>
    <w:p>
      <w:pPr>
        <w:pStyle w:val="ListParagraph"/>
        <w:numPr>
          <w:ilvl w:val="0"/>
          <w:numId w:val="2"/>
        </w:numPr>
        <w:spacing w:after="40" w:before="40"/>
      </w:pPr>
      <w:r>
        <w:rPr>
          <w:rFonts w:ascii="Arial" w:cs="Arial" w:eastAsia="Arial" w:hAnsi="Arial"/>
          <w:sz w:val="22"/>
          <w:szCs w:val="22"/>
        </w:rPr>
        <w:t xml:space="preserve">Mission: "rigor of architecture decisions applied to people decisions"</w:t>
      </w:r>
    </w:p>
    <w:p>
      <w:pPr>
        <w:pStyle w:val="ListParagraph"/>
        <w:numPr>
          <w:ilvl w:val="0"/>
          <w:numId w:val="2"/>
        </w:numPr>
        <w:spacing w:after="40" w:before="40"/>
      </w:pPr>
      <w:r>
        <w:rPr>
          <w:rFonts w:ascii="Arial" w:cs="Arial" w:eastAsia="Arial" w:hAnsi="Arial"/>
          <w:sz w:val="22"/>
          <w:szCs w:val="22"/>
        </w:rPr>
        <w:t xml:space="preserve">Anti-positioning: explicit NOT-list — not surveillance, not HR, not productivity</w:t>
      </w:r>
    </w:p>
    <w:p>
      <w:pPr>
        <w:pStyle w:val="ListParagraph"/>
        <w:numPr>
          <w:ilvl w:val="0"/>
          <w:numId w:val="2"/>
        </w:numPr>
        <w:spacing w:after="40" w:before="40"/>
      </w:pPr>
      <w:r>
        <w:rPr>
          <w:rFonts w:ascii="Arial" w:cs="Arial" w:eastAsia="Arial" w:hAnsi="Arial"/>
          <w:sz w:val="22"/>
          <w:szCs w:val="22"/>
        </w:rPr>
        <w:t xml:space="preserve">Brand voice: confident, technical, defensively positioned</w:t>
      </w:r>
    </w:p>
    <w:p>
      <w:pPr>
        <w:pStyle w:val="Heading2"/>
        <w:spacing w:after="120" w:before="240"/>
      </w:pPr>
      <w:r>
        <w:rPr>
          <w:rFonts w:ascii="Arial" w:cs="Arial" w:eastAsia="Arial" w:hAnsi="Arial"/>
          <w:b/>
          <w:bCs/>
          <w:color w:val="1F3A68"/>
          <w:sz w:val="28"/>
          <w:szCs w:val="28"/>
        </w:rPr>
        <w:t xml:space="preserve">Product Architecture</w:t>
      </w:r>
    </w:p>
    <w:p>
      <w:pPr>
        <w:pStyle w:val="ListParagraph"/>
        <w:numPr>
          <w:ilvl w:val="0"/>
          <w:numId w:val="2"/>
        </w:numPr>
        <w:spacing w:after="40" w:before="40"/>
      </w:pPr>
      <w:r>
        <w:rPr>
          <w:rFonts w:ascii="Arial" w:cs="Arial" w:eastAsia="Arial" w:hAnsi="Arial"/>
          <w:sz w:val="22"/>
          <w:szCs w:val="22"/>
        </w:rPr>
        <w:t xml:space="preserve">Three-tier model: Map (Tier 1) / Pulse (Tier 2) / Decide (Tier 3)</w:t>
      </w:r>
    </w:p>
    <w:p>
      <w:pPr>
        <w:pStyle w:val="ListParagraph"/>
        <w:numPr>
          <w:ilvl w:val="0"/>
          <w:numId w:val="2"/>
        </w:numPr>
        <w:spacing w:after="40" w:before="40"/>
      </w:pPr>
      <w:r>
        <w:rPr>
          <w:rFonts w:ascii="Arial" w:cs="Arial" w:eastAsia="Arial" w:hAnsi="Arial"/>
          <w:sz w:val="22"/>
          <w:szCs w:val="22"/>
        </w:rPr>
        <w:t xml:space="preserve">MVP scope: Tier-1-First (Map + Bus-Factor only); Reorg-Sim deferred to Phase 2</w:t>
      </w:r>
    </w:p>
    <w:p>
      <w:pPr>
        <w:pStyle w:val="ListParagraph"/>
        <w:numPr>
          <w:ilvl w:val="0"/>
          <w:numId w:val="2"/>
        </w:numPr>
        <w:spacing w:after="40" w:before="40"/>
      </w:pPr>
      <w:r>
        <w:rPr>
          <w:rFonts w:ascii="Arial" w:cs="Arial" w:eastAsia="Arial" w:hAnsi="Arial"/>
          <w:sz w:val="22"/>
          <w:szCs w:val="22"/>
        </w:rPr>
        <w:t xml:space="preserve">Reorg-Sim path: Phase 2a Reorg Discovery (no score) → Phase 2b Full RRC (post-validation)</w:t>
      </w:r>
    </w:p>
    <w:p>
      <w:pPr>
        <w:pStyle w:val="ListParagraph"/>
        <w:numPr>
          <w:ilvl w:val="0"/>
          <w:numId w:val="2"/>
        </w:numPr>
        <w:spacing w:after="40" w:before="40"/>
      </w:pPr>
      <w:r>
        <w:rPr>
          <w:rFonts w:ascii="Arial" w:cs="Arial" w:eastAsia="Arial" w:hAnsi="Arial"/>
          <w:sz w:val="22"/>
          <w:szCs w:val="22"/>
        </w:rPr>
        <w:t xml:space="preserve">Tier-aware tenancy: pooled multi-tenant for Map; per-tenant DB for Decide+/Enterprise</w:t>
      </w:r>
    </w:p>
    <w:p>
      <w:pPr>
        <w:pStyle w:val="ListParagraph"/>
        <w:numPr>
          <w:ilvl w:val="0"/>
          <w:numId w:val="2"/>
        </w:numPr>
        <w:spacing w:after="40" w:before="40"/>
      </w:pPr>
      <w:r>
        <w:rPr>
          <w:rFonts w:ascii="Arial" w:cs="Arial" w:eastAsia="Arial" w:hAnsi="Arial"/>
          <w:sz w:val="22"/>
          <w:szCs w:val="22"/>
        </w:rPr>
        <w:t xml:space="preserve">Hybrid classifier: base + customer embedding + HIL refinement, continuously editable with versioning</w:t>
      </w:r>
    </w:p>
    <w:p>
      <w:pPr>
        <w:pStyle w:val="ListParagraph"/>
        <w:numPr>
          <w:ilvl w:val="0"/>
          <w:numId w:val="2"/>
        </w:numPr>
        <w:spacing w:after="40" w:before="40"/>
      </w:pPr>
      <w:r>
        <w:rPr>
          <w:rFonts w:ascii="Arial" w:cs="Arial" w:eastAsia="Arial" w:hAnsi="Arial"/>
          <w:sz w:val="22"/>
          <w:szCs w:val="22"/>
        </w:rPr>
        <w:t xml:space="preserve">Code analysis: structural + semantic hybrid, MVP single anchor language (TypeScript)</w:t>
      </w:r>
    </w:p>
    <w:p>
      <w:pPr>
        <w:pStyle w:val="Heading2"/>
        <w:spacing w:after="120" w:before="240"/>
      </w:pPr>
      <w:r>
        <w:rPr>
          <w:rFonts w:ascii="Arial" w:cs="Arial" w:eastAsia="Arial" w:hAnsi="Arial"/>
          <w:b/>
          <w:bCs/>
          <w:color w:val="1F3A68"/>
          <w:sz w:val="28"/>
          <w:szCs w:val="28"/>
        </w:rPr>
        <w:t xml:space="preserve">Personas &amp; GTM</w:t>
      </w:r>
    </w:p>
    <w:p>
      <w:pPr>
        <w:pStyle w:val="ListParagraph"/>
        <w:numPr>
          <w:ilvl w:val="0"/>
          <w:numId w:val="2"/>
        </w:numPr>
        <w:spacing w:after="40" w:before="40"/>
      </w:pPr>
      <w:r>
        <w:rPr>
          <w:rFonts w:ascii="Arial" w:cs="Arial" w:eastAsia="Arial" w:hAnsi="Arial"/>
          <w:sz w:val="22"/>
          <w:szCs w:val="22"/>
        </w:rPr>
        <w:t xml:space="preserve">Primary champion: VPE; co-champion EM; operator Staff/Principal Eng</w:t>
      </w:r>
    </w:p>
    <w:p>
      <w:pPr>
        <w:pStyle w:val="ListParagraph"/>
        <w:numPr>
          <w:ilvl w:val="0"/>
          <w:numId w:val="2"/>
        </w:numPr>
        <w:spacing w:after="40" w:before="40"/>
      </w:pPr>
      <w:r>
        <w:rPr>
          <w:rFonts w:ascii="Arial" w:cs="Arial" w:eastAsia="Arial" w:hAnsi="Arial"/>
          <w:sz w:val="22"/>
          <w:szCs w:val="22"/>
        </w:rPr>
        <w:t xml:space="preserve">HR stance: engineering-led, HR-co-signed (HR-Fast-Path artifact)</w:t>
      </w:r>
    </w:p>
    <w:p>
      <w:pPr>
        <w:pStyle w:val="ListParagraph"/>
        <w:numPr>
          <w:ilvl w:val="0"/>
          <w:numId w:val="2"/>
        </w:numPr>
        <w:spacing w:after="40" w:before="40"/>
      </w:pPr>
      <w:r>
        <w:rPr>
          <w:rFonts w:ascii="Arial" w:cs="Arial" w:eastAsia="Arial" w:hAnsi="Arial"/>
          <w:sz w:val="22"/>
          <w:szCs w:val="22"/>
        </w:rPr>
        <w:t xml:space="preserve">Primary wedge: Bus-Factor-Audit demo</w:t>
      </w:r>
    </w:p>
    <w:p>
      <w:pPr>
        <w:pStyle w:val="ListParagraph"/>
        <w:numPr>
          <w:ilvl w:val="0"/>
          <w:numId w:val="2"/>
        </w:numPr>
        <w:spacing w:after="40" w:before="40"/>
      </w:pPr>
      <w:r>
        <w:rPr>
          <w:rFonts w:ascii="Arial" w:cs="Arial" w:eastAsia="Arial" w:hAnsi="Arial"/>
          <w:sz w:val="22"/>
          <w:szCs w:val="22"/>
        </w:rPr>
        <w:t xml:space="preserve">Sales motion: top-down + EM co-champion enabled</w:t>
      </w:r>
    </w:p>
    <w:p>
      <w:pPr>
        <w:pStyle w:val="ListParagraph"/>
        <w:numPr>
          <w:ilvl w:val="0"/>
          <w:numId w:val="2"/>
        </w:numPr>
        <w:spacing w:after="40" w:before="40"/>
      </w:pPr>
      <w:r>
        <w:rPr>
          <w:rFonts w:ascii="Arial" w:cs="Arial" w:eastAsia="Arial" w:hAnsi="Arial"/>
          <w:sz w:val="22"/>
          <w:szCs w:val="22"/>
        </w:rPr>
        <w:t xml:space="preserve">Pricing: per-engineer-per-month with tier-aware floors (30 Eng Map / 50 Eng Decide / 100 Eng Enterprise)</w:t>
      </w:r>
    </w:p>
    <w:p>
      <w:pPr>
        <w:pStyle w:val="ListParagraph"/>
        <w:numPr>
          <w:ilvl w:val="0"/>
          <w:numId w:val="2"/>
        </w:numPr>
        <w:spacing w:after="40" w:before="40"/>
      </w:pPr>
      <w:r>
        <w:rPr>
          <w:rFonts w:ascii="Arial" w:cs="Arial" w:eastAsia="Arial" w:hAnsi="Arial"/>
          <w:sz w:val="22"/>
          <w:szCs w:val="22"/>
        </w:rPr>
        <w:t xml:space="preserve">Free tier: no — 30-day trial with sales-engineer-led onboarding</w:t>
      </w:r>
    </w:p>
    <w:p>
      <w:pPr>
        <w:pStyle w:val="ListParagraph"/>
        <w:numPr>
          <w:ilvl w:val="0"/>
          <w:numId w:val="2"/>
        </w:numPr>
        <w:spacing w:after="40" w:before="40"/>
      </w:pPr>
      <w:r>
        <w:rPr>
          <w:rFonts w:ascii="Arial" w:cs="Arial" w:eastAsia="Arial" w:hAnsi="Arial"/>
          <w:sz w:val="22"/>
          <w:szCs w:val="22"/>
        </w:rPr>
        <w:t xml:space="preserve">MVP build: 6 months (aggressive)</w:t>
      </w:r>
    </w:p>
    <w:p>
      <w:pPr>
        <w:pStyle w:val="Heading2"/>
        <w:spacing w:after="120" w:before="240"/>
      </w:pPr>
      <w:r>
        <w:rPr>
          <w:rFonts w:ascii="Arial" w:cs="Arial" w:eastAsia="Arial" w:hAnsi="Arial"/>
          <w:b/>
          <w:bCs/>
          <w:color w:val="1F3A68"/>
          <w:sz w:val="28"/>
          <w:szCs w:val="28"/>
        </w:rPr>
        <w:t xml:space="preserve">Compliance</w:t>
      </w:r>
    </w:p>
    <w:p>
      <w:pPr>
        <w:pStyle w:val="ListParagraph"/>
        <w:numPr>
          <w:ilvl w:val="0"/>
          <w:numId w:val="2"/>
        </w:numPr>
        <w:spacing w:after="40" w:before="40"/>
      </w:pPr>
      <w:r>
        <w:rPr>
          <w:rFonts w:ascii="Arial" w:cs="Arial" w:eastAsia="Arial" w:hAnsi="Arial"/>
          <w:sz w:val="22"/>
          <w:szCs w:val="22"/>
        </w:rPr>
        <w:t xml:space="preserve">Classification: Keystone IS a high-risk AI system under EU AI Act + Colorado AI Act — accepted, not litigated</w:t>
      </w:r>
    </w:p>
    <w:p>
      <w:pPr>
        <w:pStyle w:val="ListParagraph"/>
        <w:numPr>
          <w:ilvl w:val="0"/>
          <w:numId w:val="2"/>
        </w:numPr>
        <w:spacing w:after="40" w:before="40"/>
      </w:pPr>
      <w:r>
        <w:rPr>
          <w:rFonts w:ascii="Arial" w:cs="Arial" w:eastAsia="Arial" w:hAnsi="Arial"/>
          <w:sz w:val="22"/>
          <w:szCs w:val="22"/>
        </w:rPr>
        <w:t xml:space="preserve">Human-in-the-loop: hard enforced, no batch APIs for Tier 3</w:t>
      </w:r>
    </w:p>
    <w:p>
      <w:pPr>
        <w:pStyle w:val="ListParagraph"/>
        <w:numPr>
          <w:ilvl w:val="0"/>
          <w:numId w:val="2"/>
        </w:numPr>
        <w:spacing w:after="40" w:before="40"/>
      </w:pPr>
      <w:r>
        <w:rPr>
          <w:rFonts w:ascii="Arial" w:cs="Arial" w:eastAsia="Arial" w:hAnsi="Arial"/>
          <w:sz w:val="22"/>
          <w:szCs w:val="22"/>
        </w:rPr>
        <w:t xml:space="preserve">Trust Bundle: paid Enterprise procurement-speed accelerator (not premium compliance tier)</w:t>
      </w:r>
    </w:p>
    <w:p>
      <w:pPr>
        <w:pStyle w:val="ListParagraph"/>
        <w:numPr>
          <w:ilvl w:val="0"/>
          <w:numId w:val="2"/>
        </w:numPr>
        <w:spacing w:after="40" w:before="40"/>
      </w:pPr>
      <w:r>
        <w:rPr>
          <w:rFonts w:ascii="Arial" w:cs="Arial" w:eastAsia="Arial" w:hAnsi="Arial"/>
          <w:sz w:val="22"/>
          <w:szCs w:val="22"/>
        </w:rPr>
        <w:t xml:space="preserve">Demographics: production-blocked + audit-side proxy-bias monitor</w:t>
      </w:r>
    </w:p>
    <w:p>
      <w:pPr>
        <w:pStyle w:val="ListParagraph"/>
        <w:numPr>
          <w:ilvl w:val="0"/>
          <w:numId w:val="2"/>
        </w:numPr>
        <w:spacing w:after="40" w:before="40"/>
      </w:pPr>
      <w:r>
        <w:rPr>
          <w:rFonts w:ascii="Arial" w:cs="Arial" w:eastAsia="Arial" w:hAnsi="Arial"/>
          <w:sz w:val="22"/>
          <w:szCs w:val="22"/>
        </w:rPr>
        <w:t xml:space="preserve">EU AI Act: Phase-2-ready foundation built from day 1</w:t>
      </w:r>
    </w:p>
    <w:p>
      <w:pPr>
        <w:pStyle w:val="ListParagraph"/>
        <w:numPr>
          <w:ilvl w:val="0"/>
          <w:numId w:val="2"/>
        </w:numPr>
        <w:spacing w:after="40" w:before="40"/>
      </w:pPr>
      <w:r>
        <w:rPr>
          <w:rFonts w:ascii="Arial" w:cs="Arial" w:eastAsia="Arial" w:hAnsi="Arial"/>
          <w:sz w:val="22"/>
          <w:szCs w:val="22"/>
        </w:rPr>
        <w:t xml:space="preserve">Public bias audit: annual NYC-AEDT-style for all customers</w:t>
      </w:r>
    </w:p>
    <w:p>
      <w:pPr>
        <w:pStyle w:val="ListParagraph"/>
        <w:numPr>
          <w:ilvl w:val="0"/>
          <w:numId w:val="2"/>
        </w:numPr>
        <w:spacing w:after="40" w:before="40"/>
      </w:pPr>
      <w:r>
        <w:rPr>
          <w:rFonts w:ascii="Arial" w:cs="Arial" w:eastAsia="Arial" w:hAnsi="Arial"/>
          <w:sz w:val="22"/>
          <w:szCs w:val="22"/>
        </w:rPr>
        <w:t xml:space="preserve">Insurance: E&amp;O + Cyber Liability $10M+ pre-launch</w:t>
      </w:r>
    </w:p>
    <w:p>
      <w:pPr>
        <w:pStyle w:val="Heading2"/>
        <w:spacing w:after="120" w:before="240"/>
      </w:pPr>
      <w:r>
        <w:rPr>
          <w:rFonts w:ascii="Arial" w:cs="Arial" w:eastAsia="Arial" w:hAnsi="Arial"/>
          <w:b/>
          <w:bCs/>
          <w:color w:val="1F3A68"/>
          <w:sz w:val="28"/>
          <w:szCs w:val="28"/>
        </w:rPr>
        <w:t xml:space="preserve">Tech Architecture</w:t>
      </w:r>
    </w:p>
    <w:p>
      <w:pPr>
        <w:pStyle w:val="ListParagraph"/>
        <w:numPr>
          <w:ilvl w:val="0"/>
          <w:numId w:val="2"/>
        </w:numPr>
        <w:spacing w:after="40" w:before="40"/>
      </w:pPr>
      <w:r>
        <w:rPr>
          <w:rFonts w:ascii="Arial" w:cs="Arial" w:eastAsia="Arial" w:hAnsi="Arial"/>
          <w:sz w:val="22"/>
          <w:szCs w:val="22"/>
        </w:rPr>
        <w:t xml:space="preserve">Cloud: AWS-primary with cloud-agnostic abstraction, max 5% AWS-specific code</w:t>
      </w:r>
    </w:p>
    <w:p>
      <w:pPr>
        <w:pStyle w:val="ListParagraph"/>
        <w:numPr>
          <w:ilvl w:val="0"/>
          <w:numId w:val="2"/>
        </w:numPr>
        <w:spacing w:after="40" w:before="40"/>
      </w:pPr>
      <w:r>
        <w:rPr>
          <w:rFonts w:ascii="Arial" w:cs="Arial" w:eastAsia="Arial" w:hAnsi="Arial"/>
          <w:sz w:val="22"/>
          <w:szCs w:val="22"/>
        </w:rPr>
        <w:t xml:space="preserve">LLM provider: AWS Bedrock primary (Anthropic Claude + Cohere/Titan); Direct API fallback</w:t>
      </w:r>
    </w:p>
    <w:p>
      <w:pPr>
        <w:pStyle w:val="ListParagraph"/>
        <w:numPr>
          <w:ilvl w:val="0"/>
          <w:numId w:val="2"/>
        </w:numPr>
        <w:spacing w:after="40" w:before="40"/>
      </w:pPr>
      <w:r>
        <w:rPr>
          <w:rFonts w:ascii="Arial" w:cs="Arial" w:eastAsia="Arial" w:hAnsi="Arial"/>
          <w:sz w:val="22"/>
          <w:szCs w:val="22"/>
        </w:rPr>
        <w:t xml:space="preserve">LLMProvider interface: mandatory from day 1</w:t>
      </w:r>
    </w:p>
    <w:p>
      <w:pPr>
        <w:pStyle w:val="ListParagraph"/>
        <w:numPr>
          <w:ilvl w:val="0"/>
          <w:numId w:val="2"/>
        </w:numPr>
        <w:spacing w:after="40" w:before="40"/>
      </w:pPr>
      <w:r>
        <w:rPr>
          <w:rFonts w:ascii="Arial" w:cs="Arial" w:eastAsia="Arial" w:hAnsi="Arial"/>
          <w:sz w:val="22"/>
          <w:szCs w:val="22"/>
        </w:rPr>
        <w:t xml:space="preserve">Tiered model routing: Haiku first-pass, Sonnet on low-confidence escalation, human review queue at lower threshold</w:t>
      </w:r>
    </w:p>
    <w:p>
      <w:pPr>
        <w:pStyle w:val="ListParagraph"/>
        <w:numPr>
          <w:ilvl w:val="0"/>
          <w:numId w:val="2"/>
        </w:numPr>
        <w:spacing w:after="40" w:before="40"/>
      </w:pPr>
      <w:r>
        <w:rPr>
          <w:rFonts w:ascii="Arial" w:cs="Arial" w:eastAsia="Arial" w:hAnsi="Arial"/>
          <w:sz w:val="22"/>
          <w:szCs w:val="22"/>
        </w:rPr>
        <w:t xml:space="preserve">Audit pipeline: Postgres append-only + S3 Object Lock mirror + hash-chain</w:t>
      </w:r>
    </w:p>
    <w:p>
      <w:pPr>
        <w:pStyle w:val="ListParagraph"/>
        <w:numPr>
          <w:ilvl w:val="0"/>
          <w:numId w:val="2"/>
        </w:numPr>
        <w:spacing w:after="40" w:before="40"/>
      </w:pPr>
      <w:r>
        <w:rPr>
          <w:rFonts w:ascii="Arial" w:cs="Arial" w:eastAsia="Arial" w:hAnsi="Arial"/>
          <w:sz w:val="22"/>
          <w:szCs w:val="22"/>
        </w:rPr>
        <w:t xml:space="preserve">Self-host topology: built from day 1, sold from Phase 2</w:t>
      </w:r>
    </w:p>
    <w:p>
      <w:pPr>
        <w:pStyle w:val="Heading2"/>
        <w:spacing w:after="120" w:before="240"/>
      </w:pPr>
      <w:r>
        <w:rPr>
          <w:rFonts w:ascii="Arial" w:cs="Arial" w:eastAsia="Arial" w:hAnsi="Arial"/>
          <w:b/>
          <w:bCs/>
          <w:color w:val="1F3A68"/>
          <w:sz w:val="28"/>
          <w:szCs w:val="28"/>
        </w:rPr>
        <w:t xml:space="preserve">Funding</w:t>
      </w:r>
    </w:p>
    <w:p>
      <w:pPr>
        <w:pStyle w:val="ListParagraph"/>
        <w:numPr>
          <w:ilvl w:val="0"/>
          <w:numId w:val="2"/>
        </w:numPr>
        <w:spacing w:after="40" w:before="40"/>
      </w:pPr>
      <w:r>
        <w:rPr>
          <w:rFonts w:ascii="Arial" w:cs="Arial" w:eastAsia="Arial" w:hAnsi="Arial"/>
          <w:sz w:val="22"/>
          <w:szCs w:val="22"/>
        </w:rPr>
        <w:t xml:space="preserve">Seed $3–5M with 24-month runway</w:t>
      </w:r>
    </w:p>
    <w:p>
      <w:pPr>
        <w:pStyle w:val="ListParagraph"/>
        <w:numPr>
          <w:ilvl w:val="0"/>
          <w:numId w:val="2"/>
        </w:numPr>
        <w:spacing w:after="40" w:before="40"/>
      </w:pPr>
      <w:r>
        <w:rPr>
          <w:rFonts w:ascii="Arial" w:cs="Arial" w:eastAsia="Arial" w:hAnsi="Arial"/>
          <w:sz w:val="22"/>
          <w:szCs w:val="22"/>
        </w:rPr>
        <w:t xml:space="preserve">Series A $10–15M end Y1 or Q1–Q2 Y2</w:t>
      </w:r>
    </w:p>
    <w:p>
      <w:pPr>
        <w:pStyle w:val="ListParagraph"/>
        <w:numPr>
          <w:ilvl w:val="0"/>
          <w:numId w:val="2"/>
        </w:numPr>
        <w:spacing w:after="40" w:before="40"/>
      </w:pPr>
      <w:r>
        <w:rPr>
          <w:rFonts w:ascii="Arial" w:cs="Arial" w:eastAsia="Arial" w:hAnsi="Arial"/>
          <w:sz w:val="22"/>
          <w:szCs w:val="22"/>
        </w:rPr>
        <w:t xml:space="preserve">Series B $25–40M Y3</w:t>
      </w:r>
    </w:p>
    <w:p>
      <w:pPr>
        <w:pStyle w:val="ListParagraph"/>
        <w:numPr>
          <w:ilvl w:val="0"/>
          <w:numId w:val="2"/>
        </w:numPr>
        <w:spacing w:after="40" w:before="40"/>
      </w:pPr>
      <w:r>
        <w:rPr>
          <w:rFonts w:ascii="Arial" w:cs="Arial" w:eastAsia="Arial" w:hAnsi="Arial"/>
          <w:sz w:val="22"/>
          <w:szCs w:val="22"/>
        </w:rPr>
        <w:t xml:space="preserve">North Star metric: Engineering Seats Activated; counter metric: customer-side bias audit score</w:t>
      </w:r>
    </w:p>
    <w:p>
      <w:pPr>
        <w:pStyle w:val="Heading1"/>
        <w:pageBreakBefore/>
        <w:spacing w:after="240" w:before="240"/>
      </w:pPr>
      <w:r>
        <w:rPr>
          <w:rFonts w:ascii="Arial" w:cs="Arial" w:eastAsia="Arial" w:hAnsi="Arial"/>
          <w:b/>
          <w:bCs/>
          <w:color w:val="1F3A68"/>
          <w:sz w:val="36"/>
          <w:szCs w:val="36"/>
        </w:rPr>
        <w:t xml:space="preserve">Appendix B — Open Questions</w:t>
      </w:r>
    </w:p>
    <w:p>
      <w:pPr>
        <w:spacing w:after="80" w:before="80"/>
      </w:pPr>
      <w:r>
        <w:rPr>
          <w:rFonts w:ascii="Arial" w:cs="Arial" w:eastAsia="Arial" w:hAnsi="Arial"/>
          <w:sz w:val="22"/>
          <w:szCs w:val="22"/>
        </w:rPr>
        <w:t xml:space="preserve">Active questions held in the project repository as open-questions.md. Listed here in priority order for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000"/>
        <w:gridCol w:w="1800"/>
      </w:tblGrid>
      <w:tr>
        <w:trPr>
          <w:tblHeader/>
        </w:trPr>
        <w:tc>
          <w:tcPr>
            <w:tcW w:type="dxa" w:w="8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ID</w:t>
            </w:r>
          </w:p>
        </w:tc>
        <w:tc>
          <w:tcPr>
            <w:tcW w:type="dxa" w:w="67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Question</w:t>
            </w:r>
          </w:p>
        </w:tc>
        <w:tc>
          <w:tcPr>
            <w:tcW w:type="dxa" w:w="10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Module</w:t>
            </w:r>
          </w:p>
        </w:tc>
        <w:tc>
          <w:tcPr>
            <w:tcW w:type="dxa" w:w="18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Priority</w:t>
            </w:r>
          </w:p>
        </w:tc>
      </w:tr>
      <w:tr>
        <w:tc>
          <w:tcPr>
            <w:tcW w:type="dxa" w:w="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Q-T1</w:t>
            </w:r>
          </w:p>
        </w:tc>
        <w:tc>
          <w:tcPr>
            <w:tcW w:type="dxa" w:w="67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GTM co-founder identification</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8</w:t>
            </w:r>
          </w:p>
        </w:tc>
        <w:tc>
          <w:tcPr>
            <w:tcW w:type="dxa" w:w="1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Critical (funding prerequisite)</w:t>
            </w:r>
          </w:p>
        </w:tc>
      </w:tr>
      <w:tr>
        <w:tc>
          <w:tcPr>
            <w:tcW w:type="dxa" w:w="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Q-D1</w:t>
            </w:r>
          </w:p>
        </w:tc>
        <w:tc>
          <w:tcPr>
            <w:tcW w:type="dxa" w:w="67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Customer-discovery interview run (5–10 VPE interviews) for Pain + Pricing validation</w:t>
            </w:r>
          </w:p>
        </w:tc>
        <w:tc>
          <w:tcPr>
            <w:tcW w:type="dxa" w:w="1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1, 2, 8</w:t>
            </w:r>
          </w:p>
        </w:tc>
        <w:tc>
          <w:tcPr>
            <w:tcW w:type="dxa" w:w="1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Critical (Pre-Seed prerequisite)</w:t>
            </w:r>
          </w:p>
        </w:tc>
      </w:tr>
      <w:tr>
        <w:tc>
          <w:tcPr>
            <w:tcW w:type="dxa" w:w="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Q-T2</w:t>
            </w:r>
          </w:p>
        </w:tc>
        <w:tc>
          <w:tcPr>
            <w:tcW w:type="dxa" w:w="67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VPE advisor recruitment pre-Seed (design-partner intros, ICP validation)</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8</w:t>
            </w:r>
          </w:p>
        </w:tc>
        <w:tc>
          <w:tcPr>
            <w:tcW w:type="dxa" w:w="1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High</w:t>
            </w:r>
          </w:p>
        </w:tc>
      </w:tr>
      <w:tr>
        <w:tc>
          <w:tcPr>
            <w:tcW w:type="dxa" w:w="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Q3</w:t>
            </w:r>
          </w:p>
        </w:tc>
        <w:tc>
          <w:tcPr>
            <w:tcW w:type="dxa" w:w="67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Tier-3 auditability depth — Decision Log sufficient or Court-defensible required?</w:t>
            </w:r>
          </w:p>
        </w:tc>
        <w:tc>
          <w:tcPr>
            <w:tcW w:type="dxa" w:w="1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4, 6</w:t>
            </w:r>
          </w:p>
        </w:tc>
        <w:tc>
          <w:tcPr>
            <w:tcW w:type="dxa" w:w="1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High</w:t>
            </w:r>
          </w:p>
        </w:tc>
      </w:tr>
      <w:tr>
        <w:tc>
          <w:tcPr>
            <w:tcW w:type="dxa" w:w="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Q-S1</w:t>
            </w:r>
          </w:p>
        </w:tc>
        <w:tc>
          <w:tcPr>
            <w:tcW w:type="dxa" w:w="67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TAM/SOM bottom-up calculation (Crunchbase / SimilarWeb count of US Series B+ Tech with 50+ Eng)</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7, 8</w:t>
            </w:r>
          </w:p>
        </w:tc>
        <w:tc>
          <w:tcPr>
            <w:tcW w:type="dxa" w:w="1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Medium</w:t>
            </w:r>
          </w:p>
        </w:tc>
      </w:tr>
      <w:tr>
        <w:tc>
          <w:tcPr>
            <w:tcW w:type="dxa" w:w="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Q-V1</w:t>
            </w:r>
          </w:p>
        </w:tc>
        <w:tc>
          <w:tcPr>
            <w:tcW w:type="dxa" w:w="67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Retrospective Reorg-Sim validation study design (3+ design-partner data) for Phase 2b RRC gating</w:t>
            </w:r>
          </w:p>
        </w:tc>
        <w:tc>
          <w:tcPr>
            <w:tcW w:type="dxa" w:w="1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3, 2</w:t>
            </w:r>
          </w:p>
        </w:tc>
        <w:tc>
          <w:tcPr>
            <w:tcW w:type="dxa" w:w="1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Medium</w:t>
            </w:r>
          </w:p>
        </w:tc>
      </w:tr>
      <w:tr>
        <w:tc>
          <w:tcPr>
            <w:tcW w:type="dxa" w:w="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Q-T3</w:t>
            </w:r>
          </w:p>
        </w:tc>
        <w:tc>
          <w:tcPr>
            <w:tcW w:type="dxa" w:w="67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Equity pool plan and founder splits</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8</w:t>
            </w:r>
          </w:p>
        </w:tc>
        <w:tc>
          <w:tcPr>
            <w:tcW w:type="dxa" w:w="1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Medium</w:t>
            </w:r>
          </w:p>
        </w:tc>
      </w:tr>
      <w:tr>
        <w:tc>
          <w:tcPr>
            <w:tcW w:type="dxa" w:w="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Q4</w:t>
            </w:r>
          </w:p>
        </w:tc>
        <w:tc>
          <w:tcPr>
            <w:tcW w:type="dxa" w:w="67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Self-hosted Enterprise option scope</w:t>
            </w:r>
          </w:p>
        </w:tc>
        <w:tc>
          <w:tcPr>
            <w:tcW w:type="dxa" w:w="1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5, 8</w:t>
            </w:r>
          </w:p>
        </w:tc>
        <w:tc>
          <w:tcPr>
            <w:tcW w:type="dxa" w:w="1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Medium</w:t>
            </w:r>
          </w:p>
        </w:tc>
      </w:tr>
      <w:tr>
        <w:tc>
          <w:tcPr>
            <w:tcW w:type="dxa" w:w="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Q-V2</w:t>
            </w:r>
          </w:p>
        </w:tc>
        <w:tc>
          <w:tcPr>
            <w:tcW w:type="dxa" w:w="67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OSS-Switch quality-parity-test spec (Bedrock vs. BGE-M3) before Enterprise sale</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4, 5</w:t>
            </w:r>
          </w:p>
        </w:tc>
        <w:tc>
          <w:tcPr>
            <w:tcW w:type="dxa" w:w="1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Low (before Enterprise tier launch)</w:t>
            </w:r>
          </w:p>
        </w:tc>
      </w:tr>
      <w:tr>
        <w:tc>
          <w:tcPr>
            <w:tcW w:type="dxa" w:w="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Q-W1</w:t>
            </w:r>
          </w:p>
        </w:tc>
        <w:tc>
          <w:tcPr>
            <w:tcW w:type="dxa" w:w="67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Macro-timing watch (Layoffs.fyi monthly tracking; reposition trigger at &lt;30% of 2023 peak)</w:t>
            </w:r>
          </w:p>
        </w:tc>
        <w:tc>
          <w:tcPr>
            <w:tcW w:type="dxa" w:w="1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1, 7</w:t>
            </w:r>
          </w:p>
        </w:tc>
        <w:tc>
          <w:tcPr>
            <w:tcW w:type="dxa" w:w="18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P3 Watch</w:t>
            </w:r>
          </w:p>
        </w:tc>
      </w:tr>
      <w:tr>
        <w:tc>
          <w:tcPr>
            <w:tcW w:type="dxa" w:w="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Q5</w:t>
            </w:r>
          </w:p>
        </w:tc>
        <w:tc>
          <w:tcPr>
            <w:tcW w:type="dxa" w:w="67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Gallup-style engagement survey as add-on?</w:t>
            </w:r>
          </w:p>
        </w:tc>
        <w:tc>
          <w:tcPr>
            <w:tcW w:type="dxa" w:w="1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w:t>
            </w:r>
          </w:p>
        </w:tc>
        <w:tc>
          <w:tcPr>
            <w:tcW w:type="dxa" w:w="18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Low</w:t>
            </w:r>
          </w:p>
        </w:tc>
      </w:tr>
    </w:tbl>
    <w:p>
      <w:pPr>
        <w:pStyle w:val="Heading1"/>
        <w:pageBreakBefore/>
        <w:spacing w:after="240" w:before="240"/>
      </w:pPr>
      <w:r>
        <w:rPr>
          <w:rFonts w:ascii="Arial" w:cs="Arial" w:eastAsia="Arial" w:hAnsi="Arial"/>
          <w:b/>
          <w:bCs/>
          <w:color w:val="1F3A68"/>
          <w:sz w:val="36"/>
          <w:szCs w:val="36"/>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Term</w:t>
            </w:r>
          </w:p>
        </w:tc>
        <w:tc>
          <w:tcPr>
            <w:tcW w:type="dxa" w:w="6360"/>
            <w:tcBorders>
              <w:top w:val="single" w:color="BFC9D6" w:sz="4"/>
              <w:left w:val="single" w:color="BFC9D6" w:sz="4"/>
              <w:bottom w:val="single" w:color="BFC9D6" w:sz="4"/>
              <w:right w:val="single" w:color="BFC9D6" w:sz="4"/>
            </w:tcBorders>
            <w:shd w:fill="D5E0EE" w:val="clear"/>
            <w:tcMar>
              <w:top w:type="dxa" w:w="80"/>
              <w:left w:type="dxa" w:w="120"/>
              <w:bottom w:type="dxa" w:w="80"/>
              <w:right w:type="dxa" w:w="120"/>
            </w:tcMar>
          </w:tcPr>
          <w:p>
            <w:pPr>
              <w:spacing w:after="0" w:before="0"/>
            </w:pPr>
            <w:r>
              <w:rPr>
                <w:rFonts w:ascii="Arial" w:cs="Arial" w:eastAsia="Arial" w:hAnsi="Arial"/>
                <w:b/>
                <w:bCs/>
                <w:color w:val="1F3A68"/>
                <w:sz w:val="20"/>
                <w:szCs w:val="20"/>
              </w:rPr>
              <w:t xml:space="preserve">Definition</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Bus Factor</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The number of people whose disappearance would create a critical knowledge gap for a topic. Bus Factor = 1 means a single point of failure.</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BF</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Abbreviation for Bus Factor.</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Champion</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 B2B SaaS sales, the persona inside a customer organization who drives the deal forward internally. For Keystone: VPE primary, EM secondary.</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Composite Metric</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 metric derived from weighted combination of multiple raw signals, designed to be hard to game. Keystone's TAS, KCS, and RRC are all composites.</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Data Flywheel</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 self-reinforcing loop where each customer's usage produces refined data (in our case, customer-specific taxonomy) that compounds switching cost and product accuracy.</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Decision Log</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Append-only, immutable audit record of every Tier-3 output, including model version, inputs, user, justification, and timestamp.</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Forcing Function</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An external trigger (regulatory deadline, market event, viral incident) that converts latent demand into procurement action.</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HIL</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Human-in-the-Loop. Architectural pattern requiring explicit human review before a model output produces an action.</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ICP</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Ideal Customer Profile. For Keystone: Series B+ US Tech, 50–500 engineers.</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Knowledge Centrality Score (KCS)</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Per-person metric aggregating how many topics a person uniquely or near-uniquely owns, weighted by topic criticality.</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MCP</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Model Context Protocol — standardized interface for AI tools to integrate with external systems (Git, Jira, etc.).</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Mobley v. Workday</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Ongoing US lawsuit alleging that Workday's AI-based hiring screen produced disparate impact. Cited as precedent for AI-on-personnel-data legal risk.</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North Star Metric</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The single metric that best captures the value Keystone delivers. For us: Engineering Seats Activated.</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Per-Tenant DB</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Database isolation pattern where each customer has their own database, encryption keys, and infrastructure. Used by Keystone for Decide+ and Enterprise tiers.</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Pooled Multi-Tenant</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Database pattern where multiple customers share infrastructure with logical isolation via row-level security and per-tenant encryption. Used by Keystone for the Map tier.</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RRC</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Resilience-on-Removal Composite. Phase-2b numeric score modeling the impact of removing a person or group from the team.</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SOC 2 Type I / II</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Industry-standard security audits. Type I assesses controls at a point in time; Type II assesses them over a 6–12 month operating period.</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SPOF</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Single Point of Failure — a topic where Bus Factor = 1.</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TAS</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Topic Authority Score — per-person, per-topic weighted measure of how much authority a person has on a topic.</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Tier-Aware Tenancy</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Keystone's tenancy strategy: pooled multi-tenant for Map (Tier 1), per-tenant DB for Decide (Tier 3) and Enterprise.</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Topic Criticality (TC)</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Flag indicating whether a topic is critical to the roadmap. Initially set by VPE; later evolved to auto-detection.</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Trust Bundle</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Keystone's paid Enterprise add-on containing pre-filled VSQ, DPIA/TIA templates, third-party auditor letter, self-host option, and quarterly bias reports — positioned as procurement-speed accelerator.</w:t>
            </w:r>
          </w:p>
        </w:tc>
      </w:tr>
      <w:tr>
        <w:tc>
          <w:tcPr>
            <w:tcW w:type="dxa" w:w="300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VPE</w:t>
            </w:r>
          </w:p>
        </w:tc>
        <w:tc>
          <w:tcPr>
            <w:tcW w:type="dxa" w:w="6360"/>
            <w:tcBorders>
              <w:top w:val="single" w:color="BFC9D6" w:sz="4"/>
              <w:left w:val="single" w:color="BFC9D6" w:sz="4"/>
              <w:bottom w:val="single" w:color="BFC9D6" w:sz="4"/>
              <w:right w:val="single" w:color="BFC9D6" w:sz="4"/>
            </w:tcBorders>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Vice President of Engineering — Keystone's primary champion persona.</w:t>
            </w:r>
          </w:p>
        </w:tc>
      </w:tr>
      <w:tr>
        <w:tc>
          <w:tcPr>
            <w:tcW w:type="dxa" w:w="300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WORM</w:t>
            </w:r>
          </w:p>
        </w:tc>
        <w:tc>
          <w:tcPr>
            <w:tcW w:type="dxa" w:w="6360"/>
            <w:tcBorders>
              <w:top w:val="single" w:color="BFC9D6" w:sz="4"/>
              <w:left w:val="single" w:color="BFC9D6" w:sz="4"/>
              <w:bottom w:val="single" w:color="BFC9D6" w:sz="4"/>
              <w:right w:val="single" w:color="BFC9D6" w:sz="4"/>
            </w:tcBorders>
            <w:shd w:fill="F4F6F9"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Write-Once-Read-Many — storage pattern guaranteeing immutability after write. Used in Keystone's audit log.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Keystone — Project Paper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A68"/>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F3A68"/>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Keystone — Project Paper</dc:title>
  <dc:creator>Richard Hondrich</dc:creator>
  <dc:description>Workforce Resilience for Engineering Leaders — Project Paper v2</dc:description>
  <cp:lastModifiedBy>Un-named</cp:lastModifiedBy>
  <cp:revision>1</cp:revision>
  <dcterms:created xsi:type="dcterms:W3CDTF">2026-05-09T12:29:54.363Z</dcterms:created>
  <dcterms:modified xsi:type="dcterms:W3CDTF">2026-05-09T12:29:54.363Z</dcterms:modified>
</cp:coreProperties>
</file>

<file path=docProps/custom.xml><?xml version="1.0" encoding="utf-8"?>
<Properties xmlns="http://schemas.openxmlformats.org/officeDocument/2006/custom-properties" xmlns:vt="http://schemas.openxmlformats.org/officeDocument/2006/docPropsVTypes"/>
</file>