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1F3A68"/>
          <w:sz w:val="56"/>
          <w:szCs w:val="56"/>
        </w:rPr>
        <w:t xml:space="preserve">KEYSTONE</w:t>
      </w:r>
    </w:p>
    <w:p>
      <w:pPr>
        <w:spacing w:after="60" w:before="0"/>
      </w:pPr>
      <w:r>
        <w:rPr>
          <w:rFonts w:ascii="Arial" w:cs="Arial" w:eastAsia="Arial" w:hAnsi="Arial"/>
          <w:i/>
          <w:iCs/>
          <w:color w:val="2E75B6"/>
          <w:sz w:val="22"/>
          <w:szCs w:val="22"/>
        </w:rPr>
        <w:t xml:space="preserve">Workforce Resilience für Engineering-Leaders</w:t>
      </w:r>
    </w:p>
    <w:p>
      <w:pPr>
        <w:pBdr>
          <w:top w:val="single" w:color="B85C00" w:sz="8" w:space="2"/>
          <w:bottom w:val="single" w:color="B85C00" w:sz="8" w:space="2"/>
        </w:pBdr>
        <w:spacing w:after="100" w:before="0"/>
      </w:pPr>
      <w:r>
        <w:rPr>
          <w:rFonts w:ascii="Arial" w:cs="Arial" w:eastAsia="Arial" w:hAnsi="Arial"/>
          <w:i/>
          <w:iCs/>
          <w:color w:val="222222"/>
          <w:sz w:val="18"/>
          <w:szCs w:val="18"/>
        </w:rPr>
        <w:t xml:space="preserve">   Engineering-Leadership läuft auf Bauchgefühl. Wir ersetzen es durch Evidenz.   </w:t>
      </w:r>
    </w:p>
    <w:p>
      <w:pPr>
        <w:spacing w:after="60" w:before="80"/>
      </w:pPr>
      <w:r>
        <w:rPr>
          <w:rFonts w:ascii="Arial" w:cs="Arial" w:eastAsia="Arial" w:hAnsi="Arial"/>
          <w:b/>
          <w:bCs/>
          <w:color w:val="1F3A68"/>
          <w:sz w:val="18"/>
          <w:szCs w:val="18"/>
        </w:rPr>
        <w:t xml:space="preserve">Problem</w:t>
      </w:r>
    </w:p>
    <w:p>
      <w:pPr>
        <w:spacing w:after="30" w:before="30"/>
      </w:pPr>
      <w:r>
        <w:rPr>
          <w:rFonts w:ascii="Arial" w:cs="Arial" w:eastAsia="Arial" w:hAnsi="Arial"/>
          <w:sz w:val="16"/>
          <w:szCs w:val="16"/>
        </w:rPr>
        <w:t xml:space="preserve">VPEs und Engineering-Manager führen ihre Teams bauchgesteuert. Sie wissen nicht systematisch, wer welche Themen abdeckt, wo das Team zerbrechlich ist, oder was wegbricht, wenn eine Schlüsselperson das Team verlässt. Die Kosten von Fehlentscheidungen — stilles Re-Hiring nach Layoffs, Roadmap-Desaster bei Wegfall von Schlüssel-Engineers — sind enorm. Die Daten existieren bereits in Git, Jira und Slack. Sie sind nur nicht klassifiziert, strukturiert oder entscheidungsreif aufbereitet.</w:t>
      </w:r>
    </w:p>
    <w:p>
      <w:pPr>
        <w:spacing w:after="60" w:before="100"/>
      </w:pPr>
      <w:r>
        <w:rPr>
          <w:rFonts w:ascii="Arial" w:cs="Arial" w:eastAsia="Arial" w:hAnsi="Arial"/>
          <w:b/>
          <w:bCs/>
          <w:color w:val="1F3A68"/>
          <w:sz w:val="18"/>
          <w:szCs w:val="18"/>
        </w:rPr>
        <w:t xml:space="preserve">Lösung — Drei-Tier-Architektur</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000"/>
        <w:gridCol w:w="1612"/>
      </w:tblGrid>
      <w:tr>
        <w:trPr>
          <w:tblHeader/>
        </w:trPr>
        <w:tc>
          <w:tcPr>
            <w:tcW w:type="dxa" w:w="600"/>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Tier</w:t>
            </w:r>
          </w:p>
        </w:tc>
        <w:tc>
          <w:tcPr>
            <w:tcW w:type="dxa" w:w="3300"/>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Modul</w:t>
            </w:r>
          </w:p>
        </w:tc>
        <w:tc>
          <w:tcPr>
            <w:tcW w:type="dxa" w:w="5000"/>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Liefert</w:t>
            </w:r>
          </w:p>
        </w:tc>
        <w:tc>
          <w:tcPr>
            <w:tcW w:type="dxa" w:w="1612"/>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MVP</w:t>
            </w:r>
          </w:p>
        </w:tc>
      </w:tr>
      <w:tr>
        <w:tc>
          <w:tcPr>
            <w:tcW w:type="dxa" w:w="6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1</w:t>
            </w:r>
          </w:p>
        </w:tc>
        <w:tc>
          <w:tcPr>
            <w:tcW w:type="dxa" w:w="33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Map — Knowledge &amp; Coverage</w:t>
            </w:r>
          </w:p>
        </w:tc>
        <w:tc>
          <w:tcPr>
            <w:tcW w:type="dxa" w:w="50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Topic-/Skill-/Ownership-Karte des Teams</w:t>
            </w:r>
          </w:p>
        </w:tc>
        <w:tc>
          <w:tcPr>
            <w:tcW w:type="dxa" w:w="1612"/>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Ja (komplett)</w:t>
            </w:r>
          </w:p>
        </w:tc>
      </w:tr>
      <w:tr>
        <w:tc>
          <w:tcPr>
            <w:tcW w:type="dxa" w:w="6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2</w:t>
            </w:r>
          </w:p>
        </w:tc>
        <w:tc>
          <w:tcPr>
            <w:tcW w:type="dxa" w:w="33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Pulse — Activity &amp; Engagement</w:t>
            </w:r>
          </w:p>
        </w:tc>
        <w:tc>
          <w:tcPr>
            <w:tcW w:type="dxa" w:w="50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Aktivitätsdichte, Output, Engagement-Signale</w:t>
            </w:r>
          </w:p>
        </w:tc>
        <w:tc>
          <w:tcPr>
            <w:tcW w:type="dxa" w:w="1612"/>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Phase 2</w:t>
            </w:r>
          </w:p>
        </w:tc>
      </w:tr>
      <w:tr>
        <w:tc>
          <w:tcPr>
            <w:tcW w:type="dxa" w:w="6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3</w:t>
            </w:r>
          </w:p>
        </w:tc>
        <w:tc>
          <w:tcPr>
            <w:tcW w:type="dxa" w:w="33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Decide — Resilience Scoring</w:t>
            </w:r>
          </w:p>
        </w:tc>
        <w:tc>
          <w:tcPr>
            <w:tcW w:type="dxa" w:w="50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Reorg Discovery → Full RRC (post-Validierung)</w:t>
            </w:r>
          </w:p>
        </w:tc>
        <w:tc>
          <w:tcPr>
            <w:tcW w:type="dxa" w:w="1612"/>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Phase 2</w:t>
            </w:r>
          </w:p>
        </w:tc>
      </w:tr>
    </w:tbl>
    <w:p>
      <w:pPr>
        <w:spacing w:after="60" w:before="100"/>
      </w:pPr>
      <w:r>
        <w:rPr>
          <w:rFonts w:ascii="Arial" w:cs="Arial" w:eastAsia="Arial" w:hAnsi="Arial"/>
          <w:b/>
          <w:bCs/>
          <w:color w:val="1F3A68"/>
          <w:sz w:val="18"/>
          <w:szCs w:val="18"/>
        </w:rPr>
        <w:t xml:space="preserve">Wedge &amp; Defensible Moats</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Primärer Wedge — Bus-Factor-Audit-Demo: "Hier sind deine 12 SPOFs. 4 davon waren dir nicht klar." Demobar in 60 Sekunden auf Customer-Daten.</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Resilience-Linse — Brand-Differenzierung gegen productivity-fokussierte Incumbents (Jellyfish, Swarmia, LinearB).</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Customer-Taxonomy + HIL Data Flywheel — Genauigkeit kompoundiert von 60% → 92%+ über 18-Monats Customer-Lifetime; Switching-Cost wächst über Zeit.</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Compliance — Table-Stakes-bundled + Procurement-Speed-Accelerator (Trust Bundle: Pre-filled VSQ, DPIA, 3rd-Party-Auditor-Letter).</w:t>
      </w:r>
    </w:p>
    <w:p>
      <w:pPr>
        <w:spacing w:after="60" w:before="100"/>
      </w:pPr>
      <w:r>
        <w:rPr>
          <w:rFonts w:ascii="Arial" w:cs="Arial" w:eastAsia="Arial" w:hAnsi="Arial"/>
          <w:b/>
          <w:bCs/>
          <w:color w:val="1F3A68"/>
          <w:sz w:val="18"/>
          <w:szCs w:val="18"/>
        </w:rPr>
        <w:t xml:space="preserve">Zielkunde</w:t>
      </w:r>
    </w:p>
    <w:p>
      <w:pPr>
        <w:spacing w:after="30" w:before="30"/>
      </w:pPr>
      <w:r>
        <w:rPr>
          <w:rFonts w:ascii="Arial" w:cs="Arial" w:eastAsia="Arial" w:hAnsi="Arial"/>
          <w:b/>
          <w:bCs/>
          <w:sz w:val="16"/>
          <w:szCs w:val="16"/>
        </w:rPr>
        <w:t xml:space="preserve">ICP: </w:t>
      </w:r>
      <w:r>
        <w:rPr>
          <w:rFonts w:ascii="Arial" w:cs="Arial" w:eastAsia="Arial" w:hAnsi="Arial"/>
          <w:sz w:val="16"/>
          <w:szCs w:val="16"/>
        </w:rPr>
        <w:t xml:space="preserve">Series-B+ US-Tech, 50–500 Engineers. </w:t>
      </w:r>
      <w:r>
        <w:rPr>
          <w:rFonts w:ascii="Arial" w:cs="Arial" w:eastAsia="Arial" w:hAnsi="Arial"/>
          <w:b/>
          <w:bCs/>
          <w:sz w:val="16"/>
          <w:szCs w:val="16"/>
        </w:rPr>
        <w:t xml:space="preserve">Champion: </w:t>
      </w:r>
      <w:r>
        <w:rPr>
          <w:rFonts w:ascii="Arial" w:cs="Arial" w:eastAsia="Arial" w:hAnsi="Arial"/>
          <w:sz w:val="16"/>
          <w:szCs w:val="16"/>
        </w:rPr>
        <w:t xml:space="preserve">VPE (Budget) + EM (Daily User). </w:t>
      </w:r>
      <w:r>
        <w:rPr>
          <w:rFonts w:ascii="Arial" w:cs="Arial" w:eastAsia="Arial" w:hAnsi="Arial"/>
          <w:b/>
          <w:bCs/>
          <w:sz w:val="16"/>
          <w:szCs w:val="16"/>
        </w:rPr>
        <w:t xml:space="preserve">Operator: </w:t>
      </w:r>
      <w:r>
        <w:rPr>
          <w:rFonts w:ascii="Arial" w:cs="Arial" w:eastAsia="Arial" w:hAnsi="Arial"/>
          <w:sz w:val="16"/>
          <w:szCs w:val="16"/>
        </w:rPr>
        <w:t xml:space="preserve">Staff/Principal Engineer (Taxonomie-Pflege). </w:t>
      </w:r>
      <w:r>
        <w:rPr>
          <w:rFonts w:ascii="Arial" w:cs="Arial" w:eastAsia="Arial" w:hAnsi="Arial"/>
          <w:b/>
          <w:bCs/>
          <w:sz w:val="16"/>
          <w:szCs w:val="16"/>
        </w:rPr>
        <w:t xml:space="preserve">HR-Stance: </w:t>
      </w:r>
      <w:r>
        <w:rPr>
          <w:rFonts w:ascii="Arial" w:cs="Arial" w:eastAsia="Arial" w:hAnsi="Arial"/>
          <w:sz w:val="16"/>
          <w:szCs w:val="16"/>
        </w:rPr>
        <w:t xml:space="preserve">Engineering-led, HR-co-signed (HR-Fast-Path-Artifact + Read-only-Rolle).</w:t>
      </w:r>
    </w:p>
    <w:p>
      <w:pPr>
        <w:spacing w:after="60" w:before="100"/>
      </w:pPr>
      <w:r>
        <w:rPr>
          <w:rFonts w:ascii="Arial" w:cs="Arial" w:eastAsia="Arial" w:hAnsi="Arial"/>
          <w:b/>
          <w:bCs/>
          <w:color w:val="1F3A68"/>
          <w:sz w:val="18"/>
          <w:szCs w:val="18"/>
        </w:rPr>
        <w:t xml:space="preserve">Pricing &amp; Tier-Strategie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1500"/>
        <w:gridCol w:w="2212"/>
      </w:tblGrid>
      <w:tr>
        <w:trPr>
          <w:tblHeader/>
        </w:trPr>
        <w:tc>
          <w:tcPr>
            <w:tcW w:type="dxa" w:w="3300"/>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Tier</w:t>
            </w:r>
          </w:p>
        </w:tc>
        <w:tc>
          <w:tcPr>
            <w:tcW w:type="dxa" w:w="3500"/>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Tenancy</w:t>
            </w:r>
          </w:p>
        </w:tc>
        <w:tc>
          <w:tcPr>
            <w:tcW w:type="dxa" w:w="1500"/>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Eng-Floor</w:t>
            </w:r>
          </w:p>
        </w:tc>
        <w:tc>
          <w:tcPr>
            <w:tcW w:type="dxa" w:w="2212"/>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Pro Eng / Mo</w:t>
            </w:r>
          </w:p>
        </w:tc>
      </w:tr>
      <w:tr>
        <w:tc>
          <w:tcPr>
            <w:tcW w:type="dxa" w:w="33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Map (MVP)</w:t>
            </w:r>
          </w:p>
        </w:tc>
        <w:tc>
          <w:tcPr>
            <w:tcW w:type="dxa" w:w="3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Pooled multi-tenant</w:t>
            </w:r>
          </w:p>
        </w:tc>
        <w:tc>
          <w:tcPr>
            <w:tcW w:type="dxa" w:w="1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30 Eng</w:t>
            </w:r>
          </w:p>
        </w:tc>
        <w:tc>
          <w:tcPr>
            <w:tcW w:type="dxa" w:w="2212"/>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$25</w:t>
            </w:r>
          </w:p>
        </w:tc>
      </w:tr>
      <w:tr>
        <w:tc>
          <w:tcPr>
            <w:tcW w:type="dxa" w:w="33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Map + Decide (Phase 2)</w:t>
            </w:r>
          </w:p>
        </w:tc>
        <w:tc>
          <w:tcPr>
            <w:tcW w:type="dxa" w:w="35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Per-Tenant DB</w:t>
            </w:r>
          </w:p>
        </w:tc>
        <w:tc>
          <w:tcPr>
            <w:tcW w:type="dxa" w:w="15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50 Eng</w:t>
            </w:r>
          </w:p>
        </w:tc>
        <w:tc>
          <w:tcPr>
            <w:tcW w:type="dxa" w:w="2212"/>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$45</w:t>
            </w:r>
          </w:p>
        </w:tc>
      </w:tr>
      <w:tr>
        <w:tc>
          <w:tcPr>
            <w:tcW w:type="dxa" w:w="33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Enterprise</w:t>
            </w:r>
          </w:p>
        </w:tc>
        <w:tc>
          <w:tcPr>
            <w:tcW w:type="dxa" w:w="3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Per-Tenant + Self-Host</w:t>
            </w:r>
          </w:p>
        </w:tc>
        <w:tc>
          <w:tcPr>
            <w:tcW w:type="dxa" w:w="1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100 Eng</w:t>
            </w:r>
          </w:p>
        </w:tc>
        <w:tc>
          <w:tcPr>
            <w:tcW w:type="dxa" w:w="2212"/>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$60+ (Custom)</w:t>
            </w:r>
          </w:p>
        </w:tc>
      </w:tr>
    </w:tbl>
    <w:p>
      <w:pPr>
        <w:spacing w:after="60" w:before="100"/>
      </w:pPr>
      <w:r>
        <w:rPr>
          <w:rFonts w:ascii="Arial" w:cs="Arial" w:eastAsia="Arial" w:hAnsi="Arial"/>
          <w:b/>
          <w:bCs/>
          <w:color w:val="1F3A68"/>
          <w:sz w:val="18"/>
          <w:szCs w:val="18"/>
        </w:rPr>
        <w:t xml:space="preserve">Year-1-Plan &amp; Funding</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5512"/>
        <w:gridCol w:w="2500"/>
        <w:gridCol w:w="2500"/>
      </w:tblGrid>
      <w:tr>
        <w:trPr>
          <w:tblHeader/>
        </w:trPr>
        <w:tc>
          <w:tcPr>
            <w:tcW w:type="dxa" w:w="5512"/>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Metrik</w:t>
            </w:r>
          </w:p>
        </w:tc>
        <w:tc>
          <w:tcPr>
            <w:tcW w:type="dxa" w:w="2500"/>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Min</w:t>
            </w:r>
          </w:p>
        </w:tc>
        <w:tc>
          <w:tcPr>
            <w:tcW w:type="dxa" w:w="2500"/>
            <w:tcBorders>
              <w:top w:val="single" w:color="BFC9D6" w:sz="4"/>
              <w:left w:val="single" w:color="BFC9D6" w:sz="4"/>
              <w:bottom w:val="single" w:color="BFC9D6" w:sz="4"/>
              <w:right w:val="single" w:color="BFC9D6" w:sz="4"/>
            </w:tcBorders>
            <w:shd w:fill="D5E0EE" w:val="clear"/>
            <w:tcMar>
              <w:top w:type="dxa" w:w="50"/>
              <w:left w:type="dxa" w:w="80"/>
              <w:bottom w:type="dxa" w:w="50"/>
              <w:right w:type="dxa" w:w="80"/>
            </w:tcMar>
          </w:tcPr>
          <w:p>
            <w:pPr>
              <w:spacing w:after="0" w:before="0"/>
            </w:pPr>
            <w:r>
              <w:rPr>
                <w:rFonts w:ascii="Arial" w:cs="Arial" w:eastAsia="Arial" w:hAnsi="Arial"/>
                <w:b/>
                <w:bCs/>
                <w:color w:val="1F3A68"/>
                <w:sz w:val="14"/>
                <w:szCs w:val="14"/>
              </w:rPr>
              <w:t xml:space="preserve">Stretch</w:t>
            </w:r>
          </w:p>
        </w:tc>
      </w:tr>
      <w:tr>
        <w:tc>
          <w:tcPr>
            <w:tcW w:type="dxa" w:w="5512"/>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Engineering Seats Activated (North Star)</w:t>
            </w:r>
          </w:p>
        </w:tc>
        <w:tc>
          <w:tcPr>
            <w:tcW w:type="dxa" w:w="2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3.000</w:t>
            </w:r>
          </w:p>
        </w:tc>
        <w:tc>
          <w:tcPr>
            <w:tcW w:type="dxa" w:w="2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8.000</w:t>
            </w:r>
          </w:p>
        </w:tc>
      </w:tr>
      <w:tr>
        <w:tc>
          <w:tcPr>
            <w:tcW w:type="dxa" w:w="5512"/>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ARR</w:t>
            </w:r>
          </w:p>
        </w:tc>
        <w:tc>
          <w:tcPr>
            <w:tcW w:type="dxa" w:w="25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$0,3M</w:t>
            </w:r>
          </w:p>
        </w:tc>
        <w:tc>
          <w:tcPr>
            <w:tcW w:type="dxa" w:w="25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$1,2M</w:t>
            </w:r>
          </w:p>
        </w:tc>
      </w:tr>
      <w:tr>
        <w:tc>
          <w:tcPr>
            <w:tcW w:type="dxa" w:w="5512"/>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Customer Count</w:t>
            </w:r>
          </w:p>
        </w:tc>
        <w:tc>
          <w:tcPr>
            <w:tcW w:type="dxa" w:w="2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15</w:t>
            </w:r>
          </w:p>
        </w:tc>
        <w:tc>
          <w:tcPr>
            <w:tcW w:type="dxa" w:w="2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50</w:t>
            </w:r>
          </w:p>
        </w:tc>
      </w:tr>
      <w:tr>
        <w:tc>
          <w:tcPr>
            <w:tcW w:type="dxa" w:w="5512"/>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Map → Decide Up-Sell-Rate</w:t>
            </w:r>
          </w:p>
        </w:tc>
        <w:tc>
          <w:tcPr>
            <w:tcW w:type="dxa" w:w="25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20% innerhalb 9 Mo</w:t>
            </w:r>
          </w:p>
        </w:tc>
        <w:tc>
          <w:tcPr>
            <w:tcW w:type="dxa" w:w="2500"/>
            <w:tcBorders>
              <w:top w:val="single" w:color="BFC9D6" w:sz="4"/>
              <w:left w:val="single" w:color="BFC9D6" w:sz="4"/>
              <w:bottom w:val="single" w:color="BFC9D6" w:sz="4"/>
              <w:right w:val="single" w:color="BFC9D6" w:sz="4"/>
            </w:tcBorders>
            <w:shd w:fill="F4F6F9" w:val="clear"/>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40%</w:t>
            </w:r>
          </w:p>
        </w:tc>
      </w:tr>
      <w:tr>
        <w:tc>
          <w:tcPr>
            <w:tcW w:type="dxa" w:w="5512"/>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Customer NPS</w:t>
            </w:r>
          </w:p>
        </w:tc>
        <w:tc>
          <w:tcPr>
            <w:tcW w:type="dxa" w:w="2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30+</w:t>
            </w:r>
          </w:p>
        </w:tc>
        <w:tc>
          <w:tcPr>
            <w:tcW w:type="dxa" w:w="2500"/>
            <w:tcBorders>
              <w:top w:val="single" w:color="BFC9D6" w:sz="4"/>
              <w:left w:val="single" w:color="BFC9D6" w:sz="4"/>
              <w:bottom w:val="single" w:color="BFC9D6" w:sz="4"/>
              <w:right w:val="single" w:color="BFC9D6" w:sz="4"/>
            </w:tcBorders>
            <w:tcMar>
              <w:top w:type="dxa" w:w="50"/>
              <w:left w:type="dxa" w:w="80"/>
              <w:bottom w:type="dxa" w:w="50"/>
              <w:right w:type="dxa" w:w="80"/>
            </w:tcMar>
          </w:tcPr>
          <w:p>
            <w:pPr>
              <w:spacing w:after="0" w:before="0"/>
            </w:pPr>
            <w:r>
              <w:rPr>
                <w:rFonts w:ascii="Arial" w:cs="Arial" w:eastAsia="Arial" w:hAnsi="Arial"/>
                <w:b w:val="false"/>
                <w:bCs w:val="false"/>
                <w:color w:val="222222"/>
                <w:sz w:val="14"/>
                <w:szCs w:val="14"/>
              </w:rPr>
              <w:t xml:space="preserve">50+</w:t>
            </w:r>
          </w:p>
        </w:tc>
      </w:tr>
    </w:tbl>
    <w:p>
      <w:pPr>
        <w:spacing w:after="30" w:before="30"/>
      </w:pPr>
      <w:r>
        <w:rPr>
          <w:rFonts w:ascii="Arial" w:cs="Arial" w:eastAsia="Arial" w:hAnsi="Arial"/>
          <w:b/>
          <w:bCs/>
          <w:sz w:val="16"/>
          <w:szCs w:val="16"/>
        </w:rPr>
        <w:t xml:space="preserve">Funding-Plan: </w:t>
      </w:r>
      <w:r>
        <w:rPr>
          <w:rFonts w:ascii="Arial" w:cs="Arial" w:eastAsia="Arial" w:hAnsi="Arial"/>
          <w:sz w:val="16"/>
          <w:szCs w:val="16"/>
        </w:rPr>
        <w:t xml:space="preserve">Seed $3–5M (24-Mo-Runway) → Series A $10–15M Ende Y1 / Q1–Q2 Y2 → Series B $25–40M Y3.</w:t>
      </w:r>
    </w:p>
    <w:p>
      <w:pPr>
        <w:spacing w:after="60" w:before="100"/>
      </w:pPr>
      <w:r>
        <w:rPr>
          <w:rFonts w:ascii="Arial" w:cs="Arial" w:eastAsia="Arial" w:hAnsi="Arial"/>
          <w:b/>
          <w:bCs/>
          <w:color w:val="1F3A68"/>
          <w:sz w:val="18"/>
          <w:szCs w:val="18"/>
        </w:rPr>
        <w:t xml:space="preserve">Top-Risiken &amp; Mitigationen</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"Workforce Resilience" ist Positionierung, nicht Kategorie — wir verkaufen in Engineering-Intelligence-Budget-Codes; Resilience ist Brand-Differenzierung.</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Tier-3-Features sind High-Risk unter EU AI Act + Colorado AI Act — Hard Human-in-the-Loop, Append-only Audit-Trails, Demographics-blocked Production ab Tag 1; Tier 3 deferred zu Phase 2 (post-SOC 2).</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Per-Tenant-DB-COGS bei Skalierung — mitigiert über Tier-aware Tenancy: Pooled multi-tenant für Map, Per-Tenant für Decide+.</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Y1-ARR trifft ggf. Series-A-Bar von $1,5M+ nicht — Seed-Runway auf 24 Monate verlängert; Series-A-Timing flexibel.</w:t>
      </w:r>
    </w:p>
    <w:p>
      <w:pPr>
        <w:spacing w:after="20" w:before="20"/>
        <w:ind w:left="200" w:hanging="160"/>
      </w:pPr>
      <w:r>
        <w:rPr>
          <w:rFonts w:ascii="Arial" w:cs="Arial" w:eastAsia="Arial" w:hAnsi="Arial"/>
          <w:b/>
          <w:bCs/>
          <w:color w:val="B85C00"/>
          <w:sz w:val="16"/>
          <w:szCs w:val="16"/>
        </w:rPr>
        <w:t xml:space="preserve">▸ </w:t>
      </w:r>
      <w:r>
        <w:rPr>
          <w:rFonts w:ascii="Arial" w:cs="Arial" w:eastAsia="Arial" w:hAnsi="Arial"/>
          <w:sz w:val="16"/>
          <w:szCs w:val="16"/>
        </w:rPr>
        <w:t xml:space="preserve">Noch kein GTM-Co-Founder — aktives Open-Item; Pre-Seed-Funding-Gate.</w:t>
      </w:r>
    </w:p>
    <w:p>
      <w:pPr>
        <w:spacing w:after="60" w:before="100"/>
      </w:pPr>
      <w:r>
        <w:rPr>
          <w:rFonts w:ascii="Arial" w:cs="Arial" w:eastAsia="Arial" w:hAnsi="Arial"/>
          <w:b/>
          <w:bCs/>
          <w:color w:val="1F3A68"/>
          <w:sz w:val="18"/>
          <w:szCs w:val="18"/>
        </w:rPr>
        <w:t xml:space="preserve">Why Now</w:t>
      </w:r>
    </w:p>
    <w:p>
      <w:pPr>
        <w:spacing w:after="30" w:before="30"/>
      </w:pPr>
      <w:r>
        <w:rPr>
          <w:rFonts w:ascii="Arial" w:cs="Arial" w:eastAsia="Arial" w:hAnsi="Arial"/>
          <w:sz w:val="16"/>
          <w:szCs w:val="16"/>
        </w:rPr>
        <w:t xml:space="preserve">Drei konvergierende Kräfte: (1) AI-Compliance-Welle — Colorado AI Act (Feb 2026), NYC Local Law 144, Illinois HB 3773 — erzeugt Audit-Trail-Nachfrage; (2) Post-2022-Layoff-Aftermath hat eine Generation von VPEs hervorgebracht, die "Wrong-Fire"-Fehler erlebt haben; (3) LLM-native Klassifikation macht endlich tiefes Skill-Mapping zu vertretbaren Kosten machbar.</w:t>
      </w:r>
    </w:p>
    <w:p>
      <w:pPr>
        <w:spacing w:after="60" w:before="100"/>
      </w:pPr>
      <w:r>
        <w:rPr>
          <w:rFonts w:ascii="Arial" w:cs="Arial" w:eastAsia="Arial" w:hAnsi="Arial"/>
          <w:b/>
          <w:bCs/>
          <w:color w:val="1F3A68"/>
          <w:sz w:val="18"/>
          <w:szCs w:val="18"/>
        </w:rPr>
        <w:t xml:space="preserve">Wettbewerbsposition</w:t>
      </w:r>
    </w:p>
    <w:p>
      <w:pPr>
        <w:spacing w:after="30" w:before="30"/>
      </w:pPr>
      <w:r>
        <w:rPr>
          <w:rFonts w:ascii="Arial" w:cs="Arial" w:eastAsia="Arial" w:hAnsi="Arial"/>
          <w:sz w:val="16"/>
          <w:szCs w:val="16"/>
        </w:rPr>
        <w:t xml:space="preserve">Direkte Wettbewerber (Jellyfish $130M+ raised, Swarmia, LinearB, Faros AI) sind productivity-fokussiert; keiner hat Engineering-natives Resilience-Framing, Customer-Taxonomy-Data-Flywheel oder AI-Act-ready Compliance-Posture ab Tag 1. HR-adjazente Player (Lattice, Visier, Eightfold) haben falsche DNA — Survey-basiert oder HR-derivat. Das Category-King-in-Niche-Pattern ist schneller als Category-Creation.</w:t>
      </w:r>
    </w:p>
    <w:p>
      <w:pPr>
        <w:pBdr>
          <w:top w:val="single" w:color="BFC9D6" w:sz="6" w:space="4"/>
        </w:pBdr>
        <w:spacing w:after="0" w:before="240"/>
      </w:pPr>
      <w:r>
        <w:rPr>
          <w:rFonts w:ascii="Arial" w:cs="Arial" w:eastAsia="Arial" w:hAnsi="Arial"/>
          <w:i/>
          <w:iCs/>
          <w:color w:val="666666"/>
          <w:sz w:val="14"/>
          <w:szCs w:val="14"/>
        </w:rPr>
        <w:t xml:space="preserve">Projektpapier v2 (post-Critique-Synthese)  ·  2026-05-09  ·  Autor: Richard Hondrich  ·  Working Name: Keystone</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Keystone — Executive Brief</dc:title>
  <dc:creator>Richard Hondrich</dc:creator>
  <dc:description>Workforce Resilience für Engineering-Leaders — 2-Pager</dc:description>
  <cp:lastModifiedBy>Un-named</cp:lastModifiedBy>
  <cp:revision>1</cp:revision>
  <dcterms:created xsi:type="dcterms:W3CDTF">2026-05-09T12:41:05.193Z</dcterms:created>
  <dcterms:modified xsi:type="dcterms:W3CDTF">2026-05-09T12:41:05.193Z</dcterms:modified>
</cp:coreProperties>
</file>

<file path=docProps/custom.xml><?xml version="1.0" encoding="utf-8"?>
<Properties xmlns="http://schemas.openxmlformats.org/officeDocument/2006/custom-properties" xmlns:vt="http://schemas.openxmlformats.org/officeDocument/2006/docPropsVTypes"/>
</file>