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Email Marketing Services for Brunel University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Service Name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Lead Nurturing Campaigns</w:t>
            </w:r>
          </w:p>
        </w:tc>
        <w:tc>
          <w:tcPr>
            <w:tcW w:type="dxa" w:w="4320"/>
          </w:tcPr>
          <w:p>
            <w:r>
              <w:t>Keep prospective students engaged with timely, helpful emails after they show interest or start an application.</w:t>
            </w:r>
          </w:p>
        </w:tc>
      </w:tr>
      <w:tr>
        <w:tc>
          <w:tcPr>
            <w:tcW w:type="dxa" w:w="4320"/>
          </w:tcPr>
          <w:p>
            <w:r>
              <w:t>Course-Specific Drip Sequences</w:t>
            </w:r>
          </w:p>
        </w:tc>
        <w:tc>
          <w:tcPr>
            <w:tcW w:type="dxa" w:w="4320"/>
          </w:tcPr>
          <w:p>
            <w:r>
              <w:t>Send automated email series based on course interest—highlighting curriculum, faculty, success stories, and how to apply.</w:t>
            </w:r>
          </w:p>
        </w:tc>
      </w:tr>
      <w:tr>
        <w:tc>
          <w:tcPr>
            <w:tcW w:type="dxa" w:w="4320"/>
          </w:tcPr>
          <w:p>
            <w:r>
              <w:t>Open Day &amp; Webinar Invitations</w:t>
            </w:r>
          </w:p>
        </w:tc>
        <w:tc>
          <w:tcPr>
            <w:tcW w:type="dxa" w:w="4320"/>
          </w:tcPr>
          <w:p>
            <w:r>
              <w:t>Promote events with personalized invites, automated reminders, and follow-ups to boost attendance and engagement.</w:t>
            </w:r>
          </w:p>
        </w:tc>
      </w:tr>
      <w:tr>
        <w:tc>
          <w:tcPr>
            <w:tcW w:type="dxa" w:w="4320"/>
          </w:tcPr>
          <w:p>
            <w:r>
              <w:t>Email List Segmentation</w:t>
            </w:r>
          </w:p>
        </w:tc>
        <w:tc>
          <w:tcPr>
            <w:tcW w:type="dxa" w:w="4320"/>
          </w:tcPr>
          <w:p>
            <w:r>
              <w:t>Target undergrads, postgrads, international students, and parents separately for more relevant and effective communication.</w:t>
            </w:r>
          </w:p>
        </w:tc>
      </w:tr>
      <w:tr>
        <w:tc>
          <w:tcPr>
            <w:tcW w:type="dxa" w:w="4320"/>
          </w:tcPr>
          <w:p>
            <w:r>
              <w:t>Behavior-Based Triggers</w:t>
            </w:r>
          </w:p>
        </w:tc>
        <w:tc>
          <w:tcPr>
            <w:tcW w:type="dxa" w:w="4320"/>
          </w:tcPr>
          <w:p>
            <w:r>
              <w:t>Send emails based on user actions—like abandoned forms or page visits—to re-engage and guide them forward.</w:t>
            </w:r>
          </w:p>
        </w:tc>
      </w:tr>
      <w:tr>
        <w:tc>
          <w:tcPr>
            <w:tcW w:type="dxa" w:w="4320"/>
          </w:tcPr>
          <w:p>
            <w:r>
              <w:t>Alumni &amp; Donor Campaigns</w:t>
            </w:r>
          </w:p>
        </w:tc>
        <w:tc>
          <w:tcPr>
            <w:tcW w:type="dxa" w:w="4320"/>
          </w:tcPr>
          <w:p>
            <w:r>
              <w:t>Maintain strong alumni relations and fundraising efforts with personalized email storytelling and donation calls-to-action.</w:t>
            </w:r>
          </w:p>
        </w:tc>
      </w:tr>
      <w:tr>
        <w:tc>
          <w:tcPr>
            <w:tcW w:type="dxa" w:w="4320"/>
          </w:tcPr>
          <w:p>
            <w:r>
              <w:t>Newsletter Creation &amp; Management</w:t>
            </w:r>
          </w:p>
        </w:tc>
        <w:tc>
          <w:tcPr>
            <w:tcW w:type="dxa" w:w="4320"/>
          </w:tcPr>
          <w:p>
            <w:r>
              <w:t>Keep your audience informed with beautifully designed monthly newsletters covering news, achievements, events, and updates.</w:t>
            </w:r>
          </w:p>
        </w:tc>
      </w:tr>
      <w:tr>
        <w:tc>
          <w:tcPr>
            <w:tcW w:type="dxa" w:w="4320"/>
          </w:tcPr>
          <w:p>
            <w:r>
              <w:t>Performance Tracking &amp; Optimization</w:t>
            </w:r>
          </w:p>
        </w:tc>
        <w:tc>
          <w:tcPr>
            <w:tcW w:type="dxa" w:w="4320"/>
          </w:tcPr>
          <w:p>
            <w:r>
              <w:t>Get detailed reports on open rates, clicks, and conversions—and continuously improve emails for better results.</w:t>
            </w:r>
          </w:p>
        </w:tc>
      </w:tr>
      <w:tr>
        <w:tc>
          <w:tcPr>
            <w:tcW w:type="dxa" w:w="4320"/>
          </w:tcPr>
          <w:p>
            <w:r>
              <w:t>Design &amp; Content Support</w:t>
            </w:r>
          </w:p>
        </w:tc>
        <w:tc>
          <w:tcPr>
            <w:tcW w:type="dxa" w:w="4320"/>
          </w:tcPr>
          <w:p>
            <w:r>
              <w:t>We design engaging templates and write compelling email content tailored to Brunel’s tone and academic audience.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