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1C24F7FE"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0F52CF">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0F52CF">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0F52CF">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0F52CF">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0F52CF">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0F52CF">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0F52CF">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0F52CF">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0F52CF">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0F52CF">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0F52CF">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0F52CF">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0F52CF">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0F52CF">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0F52CF">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0F52CF">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0F52CF">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0F52CF">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0F52CF">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0F52CF">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0F52CF">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18639DF3" w14:textId="77777777" w:rsidR="003A5E95" w:rsidRDefault="003A5E95" w:rsidP="003A5E95">
      <w:r>
        <w:t>De methoden die wij worden geacht te gebruiken is de SCRUM-methode. De SCRUM-methode maakt gebruik van meerdere sprints, waarin een resultaat wordt verzorgd. De kenmerkende ceremonies van een SCRUM-methode staan hieronder uitgelegd, daarin wordt beschreven wat er gaat gebeuren en hoe het team hiermee te werk zal gaan.</w:t>
      </w:r>
    </w:p>
    <w:p w14:paraId="40AF3D29" w14:textId="77777777" w:rsidR="003A5E95" w:rsidRDefault="003A5E95" w:rsidP="003A5E95">
      <w:pPr>
        <w:pStyle w:val="Geenafstand"/>
      </w:pPr>
      <w:r>
        <w:t>Sprint</w:t>
      </w:r>
    </w:p>
    <w:p w14:paraId="1DCA1C1F" w14:textId="77777777" w:rsidR="003A5E95" w:rsidRDefault="003A5E95" w:rsidP="003A5E95">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dus verbeterd. </w:t>
      </w:r>
    </w:p>
    <w:p w14:paraId="6DA59D03" w14:textId="77777777" w:rsidR="003A5E95" w:rsidRDefault="003A5E95" w:rsidP="003A5E95">
      <w:pPr>
        <w:pStyle w:val="Geenafstand"/>
      </w:pPr>
      <w:r>
        <w:t>Sprint Planning meeting</w:t>
      </w:r>
    </w:p>
    <w:p w14:paraId="05856E6F" w14:textId="77777777" w:rsidR="003A5E95" w:rsidRDefault="003A5E95" w:rsidP="003A5E95">
      <w:r>
        <w:t xml:space="preserve">De Sprint Planning meeting gebeurt één keer per sprint. Dit is de eerste gebeurtenis van de scrum ontwikkelmethode.  Hierin wordt gepland wat er in de sprint gedaan moet worden. </w:t>
      </w:r>
    </w:p>
    <w:p w14:paraId="6AEA52FE" w14:textId="77777777" w:rsidR="003A5E95" w:rsidRDefault="003A5E95" w:rsidP="003A5E95">
      <w:r>
        <w:t>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w:t>
      </w:r>
    </w:p>
    <w:p w14:paraId="3A7EBCBB" w14:textId="77777777" w:rsidR="003A5E95" w:rsidRDefault="003A5E95" w:rsidP="003A5E95">
      <w:pPr>
        <w:pStyle w:val="Geenafstand"/>
      </w:pPr>
      <w:r>
        <w:t>Daily Standup</w:t>
      </w:r>
    </w:p>
    <w:p w14:paraId="2B1B1F7C" w14:textId="77777777" w:rsidR="003A5E95" w:rsidRDefault="003A5E95" w:rsidP="003A5E95">
      <w:r>
        <w:t>Iedere werkdag bespreekt het scrum team in het kort de voorgang van het project en eventuele obstakels. Ieder persoon bespreekt individueel wat hij/zij de vorige dag gedaan heeft, wat ze vandaag gaan doen en of ze ergens tegenaan liepen.</w:t>
      </w:r>
    </w:p>
    <w:p w14:paraId="4A93B1D0" w14:textId="77777777" w:rsidR="003A5E95" w:rsidRDefault="003A5E95" w:rsidP="003A5E95">
      <w:pPr>
        <w:pStyle w:val="Geenafstand"/>
      </w:pPr>
      <w:r>
        <w:t>Sprint Retrospective meeting</w:t>
      </w:r>
    </w:p>
    <w:p w14:paraId="1F194345" w14:textId="77777777" w:rsidR="003A5E95" w:rsidRDefault="003A5E95" w:rsidP="003A5E95">
      <w:r>
        <w:t>Om het werkproces te verbeteren wordt er met de sprint retrospective meeting de prestaties van het scrum team besproken en werkafspraken gemaakt. Dit gebeurt voor een sprint review meeting, de reden hiervoor is dat de impact van vragen beter wordt ingeschat naar de product owner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w:t>
      </w:r>
    </w:p>
    <w:p w14:paraId="27366537" w14:textId="77777777" w:rsidR="003A5E95" w:rsidRDefault="003A5E95" w:rsidP="003A5E95">
      <w:pPr>
        <w:pStyle w:val="Geenafstand"/>
      </w:pPr>
      <w:r>
        <w:t>Sprint Review meeting</w:t>
      </w:r>
    </w:p>
    <w:p w14:paraId="6CD5BCD4" w14:textId="77777777" w:rsidR="003A5E95" w:rsidRDefault="003A5E95" w:rsidP="003A5E95">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EBA06A7" w14:textId="77777777" w:rsidR="003A5E95" w:rsidRDefault="003A5E95" w:rsidP="003A5E95"/>
    <w:p w14:paraId="219E1567" w14:textId="77777777" w:rsidR="003A5E95" w:rsidRDefault="003A5E95" w:rsidP="003A5E95">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owner iets anders in gedachten had dan is gerealiseerd, dan kan het </w:t>
      </w:r>
      <w:r>
        <w:lastRenderedPageBreak/>
        <w:t xml:space="preserve">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8A7D700" w14:textId="77777777" w:rsidR="003A5E95" w:rsidRDefault="003A5E95" w:rsidP="003A5E95">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15E6E87D"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bookmarkStart w:id="10" w:name="_GoBack"/>
      <w:bookmarkEnd w:id="10"/>
    </w:p>
    <w:tbl>
      <w:tblPr>
        <w:tblStyle w:val="Rastertabel4-Accent1"/>
        <w:tblW w:w="0" w:type="auto"/>
        <w:jc w:val="center"/>
        <w:tblLook w:val="04A0" w:firstRow="1" w:lastRow="0" w:firstColumn="1" w:lastColumn="0" w:noHBand="0" w:noVBand="1"/>
      </w:tblPr>
      <w:tblGrid>
        <w:gridCol w:w="1132"/>
        <w:gridCol w:w="1132"/>
        <w:gridCol w:w="1133"/>
        <w:gridCol w:w="1133"/>
        <w:gridCol w:w="1133"/>
        <w:gridCol w:w="1133"/>
      </w:tblGrid>
      <w:tr w:rsidR="000F52CF" w14:paraId="2E9A08D8" w14:textId="77777777" w:rsidTr="000F52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4" w:type="dxa"/>
            <w:gridSpan w:val="2"/>
            <w:shd w:val="clear" w:color="auto" w:fill="0070C0"/>
          </w:tcPr>
          <w:p w14:paraId="635F8CB1" w14:textId="77777777" w:rsidR="000F52CF" w:rsidRDefault="000F52CF" w:rsidP="001934F8">
            <w:pPr>
              <w:jc w:val="center"/>
            </w:pPr>
            <w:r>
              <w:t>Sprint 1</w:t>
            </w:r>
          </w:p>
        </w:tc>
        <w:tc>
          <w:tcPr>
            <w:tcW w:w="2266" w:type="dxa"/>
            <w:gridSpan w:val="2"/>
            <w:shd w:val="clear" w:color="auto" w:fill="0070C0"/>
          </w:tcPr>
          <w:p w14:paraId="63A53DB6" w14:textId="77777777" w:rsidR="000F52CF" w:rsidRDefault="000F52CF" w:rsidP="000F52CF">
            <w:pPr>
              <w:jc w:val="center"/>
              <w:cnfStyle w:val="100000000000" w:firstRow="1" w:lastRow="0" w:firstColumn="0" w:lastColumn="0" w:oddVBand="0" w:evenVBand="0" w:oddHBand="0" w:evenHBand="0" w:firstRowFirstColumn="0" w:firstRowLastColumn="0" w:lastRowFirstColumn="0" w:lastRowLastColumn="0"/>
            </w:pPr>
            <w:r>
              <w:t>Sprint 2</w:t>
            </w:r>
          </w:p>
        </w:tc>
        <w:tc>
          <w:tcPr>
            <w:tcW w:w="2266" w:type="dxa"/>
            <w:gridSpan w:val="2"/>
            <w:shd w:val="clear" w:color="auto" w:fill="0070C0"/>
          </w:tcPr>
          <w:p w14:paraId="553D6008" w14:textId="77777777" w:rsidR="000F52CF" w:rsidRDefault="000F52CF" w:rsidP="001934F8">
            <w:pPr>
              <w:jc w:val="center"/>
              <w:cnfStyle w:val="100000000000" w:firstRow="1" w:lastRow="0" w:firstColumn="0" w:lastColumn="0" w:oddVBand="0" w:evenVBand="0" w:oddHBand="0" w:evenHBand="0" w:firstRowFirstColumn="0" w:firstRowLastColumn="0" w:lastRowFirstColumn="0" w:lastRowLastColumn="0"/>
            </w:pPr>
            <w:r>
              <w:t>Sprint 3</w:t>
            </w:r>
          </w:p>
        </w:tc>
      </w:tr>
      <w:tr w:rsidR="000F52CF" w14:paraId="1A622872" w14:textId="77777777" w:rsidTr="000F52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14:paraId="66521C8F" w14:textId="77777777" w:rsidR="000F52CF" w:rsidRPr="00493562" w:rsidRDefault="000F52CF" w:rsidP="001934F8">
            <w:pPr>
              <w:rPr>
                <w:b w:val="0"/>
              </w:rPr>
            </w:pPr>
            <w:r w:rsidRPr="00493562">
              <w:rPr>
                <w:b w:val="0"/>
              </w:rPr>
              <w:t>Week 1</w:t>
            </w:r>
          </w:p>
        </w:tc>
        <w:tc>
          <w:tcPr>
            <w:tcW w:w="1132" w:type="dxa"/>
          </w:tcPr>
          <w:p w14:paraId="771E8ED6" w14:textId="77777777" w:rsidR="000F52CF" w:rsidRDefault="000F52CF" w:rsidP="001934F8">
            <w:pPr>
              <w:cnfStyle w:val="000000100000" w:firstRow="0" w:lastRow="0" w:firstColumn="0" w:lastColumn="0" w:oddVBand="0" w:evenVBand="0" w:oddHBand="1" w:evenHBand="0" w:firstRowFirstColumn="0" w:firstRowLastColumn="0" w:lastRowFirstColumn="0" w:lastRowLastColumn="0"/>
            </w:pPr>
            <w:r>
              <w:t>Week 2</w:t>
            </w:r>
          </w:p>
        </w:tc>
        <w:tc>
          <w:tcPr>
            <w:tcW w:w="1133" w:type="dxa"/>
          </w:tcPr>
          <w:p w14:paraId="6A5A8F5E" w14:textId="77777777" w:rsidR="000F52CF" w:rsidRDefault="000F52CF" w:rsidP="001934F8">
            <w:pPr>
              <w:cnfStyle w:val="000000100000" w:firstRow="0" w:lastRow="0" w:firstColumn="0" w:lastColumn="0" w:oddVBand="0" w:evenVBand="0" w:oddHBand="1" w:evenHBand="0" w:firstRowFirstColumn="0" w:firstRowLastColumn="0" w:lastRowFirstColumn="0" w:lastRowLastColumn="0"/>
            </w:pPr>
            <w:r>
              <w:t>Week 3</w:t>
            </w:r>
          </w:p>
        </w:tc>
        <w:tc>
          <w:tcPr>
            <w:tcW w:w="1133" w:type="dxa"/>
          </w:tcPr>
          <w:p w14:paraId="2F3AEB15" w14:textId="77777777" w:rsidR="000F52CF" w:rsidRDefault="000F52CF" w:rsidP="001934F8">
            <w:pPr>
              <w:cnfStyle w:val="000000100000" w:firstRow="0" w:lastRow="0" w:firstColumn="0" w:lastColumn="0" w:oddVBand="0" w:evenVBand="0" w:oddHBand="1" w:evenHBand="0" w:firstRowFirstColumn="0" w:firstRowLastColumn="0" w:lastRowFirstColumn="0" w:lastRowLastColumn="0"/>
            </w:pPr>
            <w:r>
              <w:t>Week 4</w:t>
            </w:r>
          </w:p>
        </w:tc>
        <w:tc>
          <w:tcPr>
            <w:tcW w:w="1133" w:type="dxa"/>
          </w:tcPr>
          <w:p w14:paraId="0259479E" w14:textId="77777777" w:rsidR="000F52CF" w:rsidRDefault="000F52CF" w:rsidP="001934F8">
            <w:pPr>
              <w:cnfStyle w:val="000000100000" w:firstRow="0" w:lastRow="0" w:firstColumn="0" w:lastColumn="0" w:oddVBand="0" w:evenVBand="0" w:oddHBand="1" w:evenHBand="0" w:firstRowFirstColumn="0" w:firstRowLastColumn="0" w:lastRowFirstColumn="0" w:lastRowLastColumn="0"/>
            </w:pPr>
            <w:r>
              <w:t>Week 5</w:t>
            </w:r>
          </w:p>
        </w:tc>
        <w:tc>
          <w:tcPr>
            <w:tcW w:w="1133" w:type="dxa"/>
          </w:tcPr>
          <w:p w14:paraId="361D3AB6" w14:textId="77777777" w:rsidR="000F52CF" w:rsidRDefault="000F52CF" w:rsidP="001934F8">
            <w:pPr>
              <w:cnfStyle w:val="000000100000" w:firstRow="0" w:lastRow="0" w:firstColumn="0" w:lastColumn="0" w:oddVBand="0" w:evenVBand="0" w:oddHBand="1" w:evenHBand="0" w:firstRowFirstColumn="0" w:firstRowLastColumn="0" w:lastRowFirstColumn="0" w:lastRowLastColumn="0"/>
            </w:pPr>
            <w:r>
              <w:t>Week 6</w:t>
            </w:r>
          </w:p>
        </w:tc>
      </w:tr>
      <w:tr w:rsidR="000F52CF" w14:paraId="660487B0" w14:textId="77777777" w:rsidTr="000F52CF">
        <w:trPr>
          <w:jc w:val="center"/>
        </w:trPr>
        <w:tc>
          <w:tcPr>
            <w:cnfStyle w:val="001000000000" w:firstRow="0" w:lastRow="0" w:firstColumn="1" w:lastColumn="0" w:oddVBand="0" w:evenVBand="0" w:oddHBand="0" w:evenHBand="0" w:firstRowFirstColumn="0" w:firstRowLastColumn="0" w:lastRowFirstColumn="0" w:lastRowLastColumn="0"/>
            <w:tcW w:w="1132" w:type="dxa"/>
          </w:tcPr>
          <w:p w14:paraId="42B65D1A" w14:textId="77777777" w:rsidR="000F52CF" w:rsidRPr="00493562" w:rsidRDefault="000F52CF" w:rsidP="001934F8">
            <w:pPr>
              <w:rPr>
                <w:b w:val="0"/>
              </w:rPr>
            </w:pPr>
            <w:r w:rsidRPr="00493562">
              <w:rPr>
                <w:b w:val="0"/>
              </w:rPr>
              <w:t>Mehmet</w:t>
            </w:r>
          </w:p>
        </w:tc>
        <w:tc>
          <w:tcPr>
            <w:tcW w:w="1132" w:type="dxa"/>
          </w:tcPr>
          <w:p w14:paraId="691E976B" w14:textId="77777777" w:rsidR="000F52CF" w:rsidRDefault="000F52CF" w:rsidP="001934F8">
            <w:pPr>
              <w:cnfStyle w:val="000000000000" w:firstRow="0" w:lastRow="0" w:firstColumn="0" w:lastColumn="0" w:oddVBand="0" w:evenVBand="0" w:oddHBand="0" w:evenHBand="0" w:firstRowFirstColumn="0" w:firstRowLastColumn="0" w:lastRowFirstColumn="0" w:lastRowLastColumn="0"/>
            </w:pPr>
            <w:r>
              <w:t>Hendrik</w:t>
            </w:r>
          </w:p>
        </w:tc>
        <w:tc>
          <w:tcPr>
            <w:tcW w:w="1133" w:type="dxa"/>
          </w:tcPr>
          <w:p w14:paraId="55A3D011" w14:textId="77777777" w:rsidR="000F52CF" w:rsidRDefault="000F52CF" w:rsidP="001934F8">
            <w:pPr>
              <w:cnfStyle w:val="000000000000" w:firstRow="0" w:lastRow="0" w:firstColumn="0" w:lastColumn="0" w:oddVBand="0" w:evenVBand="0" w:oddHBand="0" w:evenHBand="0" w:firstRowFirstColumn="0" w:firstRowLastColumn="0" w:lastRowFirstColumn="0" w:lastRowLastColumn="0"/>
            </w:pPr>
            <w:r>
              <w:t>Danny</w:t>
            </w:r>
          </w:p>
        </w:tc>
        <w:tc>
          <w:tcPr>
            <w:tcW w:w="1133" w:type="dxa"/>
          </w:tcPr>
          <w:p w14:paraId="0872011C" w14:textId="77777777" w:rsidR="000F52CF" w:rsidRDefault="000F52CF" w:rsidP="001934F8">
            <w:pPr>
              <w:cnfStyle w:val="000000000000" w:firstRow="0" w:lastRow="0" w:firstColumn="0" w:lastColumn="0" w:oddVBand="0" w:evenVBand="0" w:oddHBand="0" w:evenHBand="0" w:firstRowFirstColumn="0" w:firstRowLastColumn="0" w:lastRowFirstColumn="0" w:lastRowLastColumn="0"/>
            </w:pPr>
            <w:r>
              <w:t>Elviana</w:t>
            </w:r>
          </w:p>
        </w:tc>
        <w:tc>
          <w:tcPr>
            <w:tcW w:w="1133" w:type="dxa"/>
          </w:tcPr>
          <w:p w14:paraId="18A135FD" w14:textId="77777777" w:rsidR="000F52CF" w:rsidRDefault="000F52CF" w:rsidP="001934F8">
            <w:pPr>
              <w:cnfStyle w:val="000000000000" w:firstRow="0" w:lastRow="0" w:firstColumn="0" w:lastColumn="0" w:oddVBand="0" w:evenVBand="0" w:oddHBand="0" w:evenHBand="0" w:firstRowFirstColumn="0" w:firstRowLastColumn="0" w:lastRowFirstColumn="0" w:lastRowLastColumn="0"/>
            </w:pPr>
            <w:r>
              <w:t>Bram</w:t>
            </w:r>
          </w:p>
        </w:tc>
        <w:tc>
          <w:tcPr>
            <w:tcW w:w="1133" w:type="dxa"/>
          </w:tcPr>
          <w:p w14:paraId="7BA0E1D4" w14:textId="77777777" w:rsidR="000F52CF" w:rsidRDefault="000F52CF" w:rsidP="000F52CF">
            <w:pPr>
              <w:keepNext/>
              <w:cnfStyle w:val="000000000000" w:firstRow="0" w:lastRow="0" w:firstColumn="0" w:lastColumn="0" w:oddVBand="0" w:evenVBand="0" w:oddHBand="0" w:evenHBand="0" w:firstRowFirstColumn="0" w:firstRowLastColumn="0" w:lastRowFirstColumn="0" w:lastRowLastColumn="0"/>
            </w:pPr>
            <w:r>
              <w:t>Mehmet</w:t>
            </w:r>
          </w:p>
        </w:tc>
      </w:tr>
    </w:tbl>
    <w:p w14:paraId="5671B5FD" w14:textId="4841C825" w:rsidR="000F52CF" w:rsidRDefault="000F52CF" w:rsidP="000F52CF">
      <w:pPr>
        <w:pStyle w:val="Bijschrift"/>
      </w:pPr>
      <w:r>
        <w:t xml:space="preserve">Tabel </w:t>
      </w:r>
      <w:fldSimple w:instr=" SEQ Tabel \* ARABIC ">
        <w:r>
          <w:rPr>
            <w:noProof/>
          </w:rPr>
          <w:t>1</w:t>
        </w:r>
      </w:fldSimple>
      <w:r>
        <w:t>: R</w:t>
      </w:r>
      <w:r w:rsidRPr="00101CA1">
        <w:t xml:space="preserve">oulatieschema </w:t>
      </w:r>
      <w:r>
        <w:t>Scrum master</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788F1573"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sidR="000F52CF">
        <w:rPr>
          <w:noProof/>
        </w:rPr>
        <w:t>2</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lastRenderedPageBreak/>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2FD9CD95"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sidR="000F52CF">
        <w:rPr>
          <w:noProof/>
        </w:rPr>
        <w:t>3</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6165B2A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w:t>
      </w:r>
      <w:r w:rsidR="00D13DB2">
        <w:rPr>
          <w:color w:val="0D0D0D" w:themeColor="text1" w:themeTint="F2"/>
        </w:rPr>
        <w:t>,</w:t>
      </w:r>
      <w:r w:rsidR="001D5184">
        <w:rPr>
          <w:color w:val="0D0D0D" w:themeColor="text1" w:themeTint="F2"/>
        </w:rPr>
        <w:t xml:space="preserve"> zal de verandering wel </w:t>
      </w:r>
      <w:r w:rsidR="00D13DB2" w:rsidRPr="00D13DB2">
        <w:rPr>
          <w:color w:val="0D0D0D" w:themeColor="text1" w:themeTint="F2"/>
        </w:rPr>
        <w:t>'</w:t>
      </w:r>
      <w:proofErr w:type="spellStart"/>
      <w:r w:rsidR="001D5184">
        <w:rPr>
          <w:color w:val="0D0D0D" w:themeColor="text1" w:themeTint="F2"/>
        </w:rPr>
        <w:t>gepushed</w:t>
      </w:r>
      <w:proofErr w:type="spellEnd"/>
      <w:r w:rsidR="00D13DB2" w:rsidRPr="00D13DB2">
        <w:rPr>
          <w:color w:val="0D0D0D" w:themeColor="text1" w:themeTint="F2"/>
        </w:rPr>
        <w:t>'</w:t>
      </w:r>
      <w:r w:rsidR="001D5184">
        <w:rPr>
          <w:color w:val="0D0D0D" w:themeColor="text1" w:themeTint="F2"/>
        </w:rPr>
        <w:t xml:space="preserve">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lastRenderedPageBreak/>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(preGame)</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29CA0444" w:rsidR="005A396E" w:rsidRPr="003A5E95"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val="en-GB" w:eastAsia="nl-NL"/>
        </w:rPr>
      </w:pPr>
      <w:proofErr w:type="spellStart"/>
      <w:r w:rsidRPr="003A5E95">
        <w:rPr>
          <w:rFonts w:asciiTheme="minorHAnsi" w:eastAsiaTheme="minorEastAsia" w:hAnsiTheme="minorHAnsi" w:cstheme="minorHAnsi"/>
          <w:b w:val="0"/>
          <w:bCs w:val="0"/>
          <w:color w:val="auto"/>
          <w:sz w:val="22"/>
          <w:szCs w:val="24"/>
          <w:lang w:val="en-GB" w:eastAsia="nl-NL"/>
        </w:rPr>
        <w:t>Onderzoek</w:t>
      </w:r>
      <w:proofErr w:type="spellEnd"/>
      <w:r w:rsidRPr="003A5E95">
        <w:rPr>
          <w:rFonts w:asciiTheme="minorHAnsi" w:eastAsiaTheme="minorEastAsia" w:hAnsiTheme="minorHAnsi" w:cstheme="minorHAnsi"/>
          <w:b w:val="0"/>
          <w:bCs w:val="0"/>
          <w:color w:val="auto"/>
          <w:sz w:val="22"/>
          <w:szCs w:val="24"/>
          <w:lang w:val="en-GB" w:eastAsia="nl-NL"/>
        </w:rPr>
        <w:t xml:space="preserve"> </w:t>
      </w:r>
      <w:r w:rsidR="009C253E" w:rsidRPr="003A5E95">
        <w:rPr>
          <w:rFonts w:asciiTheme="minorHAnsi" w:eastAsiaTheme="minorEastAsia" w:hAnsiTheme="minorHAnsi" w:cstheme="minorHAnsi"/>
          <w:b w:val="0"/>
          <w:bCs w:val="0"/>
          <w:color w:val="auto"/>
          <w:sz w:val="22"/>
          <w:szCs w:val="24"/>
          <w:lang w:val="en-GB" w:eastAsia="nl-NL"/>
        </w:rPr>
        <w:t>Front-end</w:t>
      </w:r>
      <w:r w:rsidRPr="003A5E95">
        <w:rPr>
          <w:rFonts w:asciiTheme="minorHAnsi" w:eastAsiaTheme="minorEastAsia" w:hAnsiTheme="minorHAnsi" w:cstheme="minorHAnsi"/>
          <w:b w:val="0"/>
          <w:bCs w:val="0"/>
          <w:color w:val="auto"/>
          <w:sz w:val="22"/>
          <w:szCs w:val="24"/>
          <w:lang w:val="en-GB" w:eastAsia="nl-NL"/>
        </w:rPr>
        <w:t xml:space="preserve"> Framework, High level </w:t>
      </w:r>
      <w:proofErr w:type="spellStart"/>
      <w:r w:rsidRPr="003A5E95">
        <w:rPr>
          <w:rFonts w:asciiTheme="minorHAnsi" w:eastAsiaTheme="minorEastAsia" w:hAnsiTheme="minorHAnsi" w:cstheme="minorHAnsi"/>
          <w:b w:val="0"/>
          <w:bCs w:val="0"/>
          <w:color w:val="auto"/>
          <w:sz w:val="22"/>
          <w:szCs w:val="24"/>
          <w:lang w:val="en-GB" w:eastAsia="nl-NL"/>
        </w:rPr>
        <w:t>architectuur</w:t>
      </w:r>
      <w:proofErr w:type="spellEnd"/>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(postGame)</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6715" w14:textId="77777777" w:rsidR="00110F5A" w:rsidRDefault="00110F5A" w:rsidP="004A29A0">
      <w:pPr>
        <w:spacing w:after="0" w:line="240" w:lineRule="auto"/>
      </w:pPr>
      <w:r>
        <w:separator/>
      </w:r>
    </w:p>
  </w:endnote>
  <w:endnote w:type="continuationSeparator" w:id="0">
    <w:p w14:paraId="070CE03A" w14:textId="77777777" w:rsidR="00110F5A" w:rsidRDefault="00110F5A" w:rsidP="004A29A0">
      <w:pPr>
        <w:spacing w:after="0" w:line="240" w:lineRule="auto"/>
      </w:pPr>
      <w:r>
        <w:continuationSeparator/>
      </w:r>
    </w:p>
  </w:endnote>
  <w:endnote w:type="continuationNotice" w:id="1">
    <w:p w14:paraId="4A93F103" w14:textId="77777777" w:rsidR="00110F5A" w:rsidRDefault="00110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1BA58" w14:textId="77777777" w:rsidR="00110F5A" w:rsidRDefault="00110F5A" w:rsidP="004A29A0">
      <w:pPr>
        <w:spacing w:after="0" w:line="240" w:lineRule="auto"/>
      </w:pPr>
      <w:r>
        <w:separator/>
      </w:r>
    </w:p>
  </w:footnote>
  <w:footnote w:type="continuationSeparator" w:id="0">
    <w:p w14:paraId="43DE5153" w14:textId="77777777" w:rsidR="00110F5A" w:rsidRDefault="00110F5A" w:rsidP="004A29A0">
      <w:pPr>
        <w:spacing w:after="0" w:line="240" w:lineRule="auto"/>
      </w:pPr>
      <w:r>
        <w:continuationSeparator/>
      </w:r>
    </w:p>
  </w:footnote>
  <w:footnote w:type="continuationNotice" w:id="1">
    <w:p w14:paraId="0F0BBA84" w14:textId="77777777" w:rsidR="00110F5A" w:rsidRDefault="00110F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D23"/>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2CF"/>
    <w:rsid w:val="000F5351"/>
    <w:rsid w:val="000F5FA6"/>
    <w:rsid w:val="00100318"/>
    <w:rsid w:val="001022F9"/>
    <w:rsid w:val="00104552"/>
    <w:rsid w:val="00105741"/>
    <w:rsid w:val="00106337"/>
    <w:rsid w:val="001108D6"/>
    <w:rsid w:val="00110F5A"/>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5E95"/>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3DB2"/>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 w:type="table" w:styleId="Rastertabel4-Accent1">
    <w:name w:val="Grid Table 4 Accent 1"/>
    <w:basedOn w:val="Standaardtabel"/>
    <w:uiPriority w:val="49"/>
    <w:rsid w:val="000F52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467626241">
      <w:bodyDiv w:val="1"/>
      <w:marLeft w:val="0"/>
      <w:marRight w:val="0"/>
      <w:marTop w:val="0"/>
      <w:marBottom w:val="0"/>
      <w:divBdr>
        <w:top w:val="none" w:sz="0" w:space="0" w:color="auto"/>
        <w:left w:val="none" w:sz="0" w:space="0" w:color="auto"/>
        <w:bottom w:val="none" w:sz="0" w:space="0" w:color="auto"/>
        <w:right w:val="none" w:sz="0" w:space="0" w:color="auto"/>
      </w:divBdr>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6E05B-C9F1-44A6-BDC1-C1CDF9C1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4532</Words>
  <Characters>24929</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29403</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417</cp:revision>
  <dcterms:created xsi:type="dcterms:W3CDTF">2019-04-16T10:07:00Z</dcterms:created>
  <dcterms:modified xsi:type="dcterms:W3CDTF">2019-04-24T08:28:00Z</dcterms:modified>
</cp:coreProperties>
</file>